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32994">
      <w:pPr>
        <w:spacing w:before="31" w:beforeLines="10" w:line="360" w:lineRule="auto"/>
        <w:rPr>
          <w:rFonts w:ascii="楷体" w:hAnsi="楷体" w:eastAsia="楷体"/>
          <w:b/>
          <w:w w:val="95"/>
          <w:sz w:val="24"/>
        </w:rPr>
      </w:pPr>
      <w:r>
        <w:rPr>
          <w:rFonts w:hint="eastAsia" w:ascii="楷体" w:hAnsi="楷体" w:eastAsia="楷体" w:cs="宋体"/>
          <w:b/>
          <w:w w:val="95"/>
          <w:sz w:val="24"/>
        </w:rPr>
        <w:t xml:space="preserve">证券简称：华盛锂电 </w:t>
      </w:r>
      <w:r>
        <w:rPr>
          <w:rFonts w:ascii="楷体" w:hAnsi="楷体" w:eastAsia="楷体" w:cs="宋体"/>
          <w:b/>
          <w:w w:val="95"/>
          <w:sz w:val="24"/>
        </w:rPr>
        <w:t xml:space="preserve">                                         </w:t>
      </w:r>
      <w:r>
        <w:rPr>
          <w:rFonts w:hint="eastAsia" w:ascii="楷体" w:hAnsi="楷体" w:eastAsia="楷体" w:cs="宋体"/>
          <w:b/>
          <w:w w:val="95"/>
          <w:sz w:val="24"/>
        </w:rPr>
        <w:t>证券代码</w:t>
      </w:r>
      <w:r>
        <w:rPr>
          <w:rFonts w:ascii="楷体" w:hAnsi="楷体" w:eastAsia="楷体"/>
          <w:b/>
          <w:w w:val="95"/>
          <w:sz w:val="24"/>
        </w:rPr>
        <w:t>：</w:t>
      </w:r>
      <w:r>
        <w:rPr>
          <w:rFonts w:ascii="Times New Roman" w:hAnsi="Times New Roman" w:eastAsia="楷体"/>
          <w:b/>
          <w:w w:val="95"/>
          <w:sz w:val="24"/>
        </w:rPr>
        <w:t>688353</w:t>
      </w:r>
    </w:p>
    <w:p w14:paraId="4E9F933C">
      <w:pPr>
        <w:spacing w:before="31" w:beforeLines="10" w:line="360" w:lineRule="auto"/>
        <w:jc w:val="center"/>
        <w:rPr>
          <w:rFonts w:ascii="宋体" w:hAnsi="宋体" w:cs="宋体"/>
          <w:b/>
          <w:w w:val="95"/>
          <w:sz w:val="32"/>
          <w:szCs w:val="32"/>
        </w:rPr>
      </w:pPr>
    </w:p>
    <w:p w14:paraId="38342C33">
      <w:pPr>
        <w:spacing w:before="31" w:beforeLines="10" w:line="360" w:lineRule="auto"/>
        <w:jc w:val="center"/>
        <w:rPr>
          <w:rFonts w:ascii="楷体" w:hAnsi="楷体" w:eastAsia="楷体" w:cs="宋体"/>
          <w:b/>
          <w:w w:val="95"/>
          <w:sz w:val="36"/>
          <w:szCs w:val="36"/>
        </w:rPr>
      </w:pPr>
      <w:r>
        <w:rPr>
          <w:rFonts w:hint="eastAsia" w:ascii="楷体" w:hAnsi="楷体" w:eastAsia="楷体" w:cs="宋体"/>
          <w:b/>
          <w:w w:val="95"/>
          <w:sz w:val="36"/>
          <w:szCs w:val="36"/>
        </w:rPr>
        <w:t>江苏华盛锂电材料股份有限公司</w:t>
      </w:r>
    </w:p>
    <w:p w14:paraId="272E99C5">
      <w:pPr>
        <w:spacing w:line="360" w:lineRule="auto"/>
        <w:jc w:val="center"/>
        <w:rPr>
          <w:rFonts w:ascii="楷体" w:hAnsi="楷体" w:eastAsia="楷体" w:cs="宋体"/>
          <w:b/>
          <w:w w:val="95"/>
          <w:kern w:val="0"/>
          <w:sz w:val="36"/>
          <w:szCs w:val="36"/>
        </w:rPr>
      </w:pPr>
      <w:r>
        <w:rPr>
          <w:rFonts w:hint="eastAsia" w:ascii="楷体" w:hAnsi="楷体" w:eastAsia="楷体" w:cs="宋体"/>
          <w:b/>
          <w:w w:val="95"/>
          <w:kern w:val="0"/>
          <w:sz w:val="36"/>
          <w:szCs w:val="36"/>
        </w:rPr>
        <w:t>投资者关系活动记录表</w:t>
      </w:r>
    </w:p>
    <w:p w14:paraId="78E4C463">
      <w:pPr>
        <w:tabs>
          <w:tab w:val="left" w:pos="6106"/>
        </w:tabs>
        <w:spacing w:before="156" w:beforeLines="50" w:after="156" w:afterLines="50"/>
        <w:ind w:firstLine="240" w:firstLineChars="100"/>
        <w:jc w:val="right"/>
        <w:rPr>
          <w:rFonts w:ascii="宋体" w:hAnsi="宋体" w:cs="宋体"/>
          <w:sz w:val="24"/>
        </w:rPr>
      </w:pPr>
      <w:r>
        <w:rPr>
          <w:rFonts w:hint="eastAsia" w:ascii="楷体" w:hAnsi="楷体" w:eastAsia="楷体" w:cs="宋体"/>
          <w:sz w:val="24"/>
        </w:rPr>
        <w:t>编号</w:t>
      </w:r>
      <w:r>
        <w:rPr>
          <w:rFonts w:hint="eastAsia" w:ascii="宋体" w:hAnsi="宋体" w:cs="宋体"/>
          <w:sz w:val="24"/>
        </w:rPr>
        <w:t>：</w:t>
      </w:r>
      <w:r>
        <w:rPr>
          <w:rFonts w:ascii="Times New Roman" w:hAnsi="Times New Roman"/>
          <w:sz w:val="24"/>
        </w:rPr>
        <w:t>202</w:t>
      </w:r>
      <w:r>
        <w:rPr>
          <w:rFonts w:hint="eastAsia" w:ascii="Times New Roman" w:hAnsi="Times New Roman"/>
          <w:sz w:val="24"/>
        </w:rPr>
        <w:t>5</w:t>
      </w:r>
      <w:r>
        <w:rPr>
          <w:rFonts w:ascii="Times New Roman" w:hAnsi="Times New Roman"/>
          <w:sz w:val="24"/>
        </w:rPr>
        <w:t>-00</w:t>
      </w:r>
      <w:r>
        <w:rPr>
          <w:rFonts w:hint="eastAsia" w:ascii="Times New Roman" w:hAnsi="Times New Roman"/>
          <w:sz w:val="24"/>
        </w:rPr>
        <w:t>8</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6855"/>
      </w:tblGrid>
      <w:tr w14:paraId="0842D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tcBorders>
              <w:top w:val="single" w:color="auto" w:sz="12" w:space="0"/>
              <w:left w:val="single" w:color="auto" w:sz="12" w:space="0"/>
              <w:bottom w:val="single" w:color="auto" w:sz="4" w:space="0"/>
              <w:right w:val="single" w:color="auto" w:sz="4" w:space="0"/>
            </w:tcBorders>
            <w:vAlign w:val="center"/>
          </w:tcPr>
          <w:p w14:paraId="0D7CFCB0">
            <w:pPr>
              <w:jc w:val="center"/>
              <w:rPr>
                <w:rFonts w:ascii="Times New Roman" w:hAnsi="Times New Roman" w:eastAsia="楷体"/>
                <w:bCs/>
                <w:sz w:val="24"/>
              </w:rPr>
            </w:pPr>
            <w:r>
              <w:rPr>
                <w:rFonts w:ascii="Times New Roman" w:hAnsi="Times New Roman" w:eastAsia="楷体"/>
                <w:b/>
                <w:bCs/>
                <w:sz w:val="24"/>
              </w:rPr>
              <w:t>投资者关系活动类别</w:t>
            </w:r>
          </w:p>
        </w:tc>
        <w:tc>
          <w:tcPr>
            <w:tcW w:w="6855" w:type="dxa"/>
            <w:tcBorders>
              <w:top w:val="single" w:color="auto" w:sz="12" w:space="0"/>
              <w:left w:val="single" w:color="auto" w:sz="4" w:space="0"/>
              <w:bottom w:val="single" w:color="auto" w:sz="4" w:space="0"/>
              <w:right w:val="single" w:color="auto" w:sz="12" w:space="0"/>
            </w:tcBorders>
            <w:vAlign w:val="center"/>
          </w:tcPr>
          <w:p w14:paraId="58DFC9D5">
            <w:pPr>
              <w:widowControl/>
              <w:tabs>
                <w:tab w:val="left" w:pos="3480"/>
              </w:tabs>
              <w:spacing w:line="360" w:lineRule="auto"/>
              <w:rPr>
                <w:rFonts w:ascii="Times New Roman" w:hAnsi="Times New Roman" w:eastAsia="楷体"/>
                <w:bCs/>
                <w:sz w:val="24"/>
              </w:rPr>
            </w:pPr>
            <w:r>
              <w:rPr>
                <w:rFonts w:hint="eastAsia" w:ascii="Times New Roman" w:hAnsi="Times New Roman" w:eastAsia="楷体"/>
                <w:bCs/>
                <w:sz w:val="24"/>
              </w:rPr>
              <w:t>√特定对象调研</w:t>
            </w:r>
            <w:r>
              <w:rPr>
                <w:rFonts w:ascii="Times New Roman" w:hAnsi="Times New Roman" w:eastAsia="楷体"/>
                <w:bCs/>
                <w:sz w:val="24"/>
              </w:rPr>
              <w:t xml:space="preserve">   </w:t>
            </w:r>
            <w:r>
              <w:rPr>
                <w:rFonts w:hint="eastAsia" w:ascii="Times New Roman" w:hAnsi="Times New Roman" w:eastAsia="楷体"/>
                <w:bCs/>
                <w:sz w:val="24"/>
              </w:rPr>
              <w:t xml:space="preserve">□分析师会议 </w:t>
            </w:r>
            <w:r>
              <w:rPr>
                <w:rFonts w:ascii="Times New Roman" w:hAnsi="Times New Roman" w:eastAsia="楷体"/>
                <w:bCs/>
                <w:sz w:val="24"/>
              </w:rPr>
              <w:t xml:space="preserve">     </w:t>
            </w:r>
            <w:r>
              <w:rPr>
                <w:rFonts w:hint="eastAsia" w:ascii="Times New Roman" w:hAnsi="Times New Roman" w:eastAsia="楷体"/>
                <w:bCs/>
                <w:sz w:val="24"/>
              </w:rPr>
              <w:t>□媒体采访</w:t>
            </w:r>
          </w:p>
          <w:p w14:paraId="34EA1D45">
            <w:pPr>
              <w:widowControl/>
              <w:tabs>
                <w:tab w:val="left" w:pos="2040"/>
                <w:tab w:val="left" w:pos="3480"/>
              </w:tabs>
              <w:spacing w:line="360" w:lineRule="auto"/>
              <w:rPr>
                <w:rFonts w:ascii="Times New Roman" w:hAnsi="Times New Roman" w:eastAsia="楷体"/>
                <w:bCs/>
                <w:sz w:val="24"/>
              </w:rPr>
            </w:pPr>
            <w:r>
              <w:rPr>
                <w:rFonts w:hint="eastAsia" w:ascii="Times New Roman" w:hAnsi="Times New Roman" w:eastAsia="楷体"/>
                <w:bCs/>
                <w:sz w:val="24"/>
              </w:rPr>
              <w:t>□业绩说明会</w:t>
            </w:r>
            <w:r>
              <w:rPr>
                <w:rFonts w:ascii="Times New Roman" w:hAnsi="Times New Roman" w:eastAsia="楷体"/>
                <w:bCs/>
                <w:sz w:val="24"/>
              </w:rPr>
              <w:t xml:space="preserve">     </w:t>
            </w:r>
            <w:r>
              <w:rPr>
                <w:rFonts w:hint="eastAsia" w:ascii="Times New Roman" w:hAnsi="Times New Roman" w:eastAsia="楷体"/>
                <w:bCs/>
                <w:sz w:val="24"/>
              </w:rPr>
              <w:t xml:space="preserve">□新闻发布会 </w:t>
            </w:r>
            <w:r>
              <w:rPr>
                <w:rFonts w:ascii="Times New Roman" w:hAnsi="Times New Roman" w:eastAsia="楷体"/>
                <w:bCs/>
                <w:sz w:val="24"/>
              </w:rPr>
              <w:t xml:space="preserve">     </w:t>
            </w:r>
            <w:r>
              <w:rPr>
                <w:rFonts w:hint="eastAsia" w:ascii="Times New Roman" w:hAnsi="Times New Roman" w:eastAsia="楷体"/>
                <w:bCs/>
                <w:sz w:val="24"/>
              </w:rPr>
              <w:t>□路演活动</w:t>
            </w:r>
          </w:p>
          <w:p w14:paraId="3D55D310">
            <w:pPr>
              <w:spacing w:line="360" w:lineRule="auto"/>
              <w:rPr>
                <w:rFonts w:ascii="Times New Roman" w:hAnsi="Times New Roman" w:eastAsia="楷体"/>
                <w:bCs/>
                <w:sz w:val="24"/>
              </w:rPr>
            </w:pPr>
            <w:r>
              <w:rPr>
                <w:rFonts w:hint="eastAsia" w:ascii="Times New Roman" w:hAnsi="Times New Roman" w:eastAsia="楷体"/>
                <w:bCs/>
                <w:sz w:val="24"/>
              </w:rPr>
              <w:t>□现场参观</w:t>
            </w:r>
            <w:r>
              <w:rPr>
                <w:rFonts w:ascii="Times New Roman" w:hAnsi="Times New Roman" w:eastAsia="楷体"/>
                <w:bCs/>
                <w:sz w:val="24"/>
              </w:rPr>
              <w:t xml:space="preserve">       </w:t>
            </w:r>
            <w:r>
              <w:rPr>
                <w:rFonts w:hint="eastAsia" w:ascii="Times New Roman" w:hAnsi="Times New Roman" w:eastAsia="楷体"/>
                <w:bCs/>
                <w:sz w:val="24"/>
              </w:rPr>
              <w:t xml:space="preserve">□一对一沟通 </w:t>
            </w:r>
            <w:r>
              <w:rPr>
                <w:rFonts w:ascii="Times New Roman" w:hAnsi="Times New Roman" w:eastAsia="楷体"/>
                <w:bCs/>
                <w:sz w:val="24"/>
              </w:rPr>
              <w:t xml:space="preserve">     </w:t>
            </w:r>
            <w:r>
              <w:rPr>
                <w:rFonts w:hint="eastAsia" w:ascii="Times New Roman" w:hAnsi="Times New Roman" w:eastAsia="楷体"/>
                <w:bCs/>
                <w:sz w:val="24"/>
              </w:rPr>
              <w:t>□其他（电话会议）</w:t>
            </w:r>
          </w:p>
        </w:tc>
      </w:tr>
      <w:tr w14:paraId="11126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3E906A02">
            <w:pPr>
              <w:jc w:val="center"/>
              <w:rPr>
                <w:rFonts w:ascii="Times New Roman" w:hAnsi="Times New Roman" w:eastAsia="楷体"/>
                <w:b/>
                <w:bCs/>
                <w:sz w:val="24"/>
              </w:rPr>
            </w:pPr>
            <w:r>
              <w:rPr>
                <w:rFonts w:ascii="Times New Roman" w:hAnsi="Times New Roman" w:eastAsia="楷体"/>
                <w:b/>
                <w:bCs/>
                <w:sz w:val="24"/>
              </w:rPr>
              <w:t>参与单位</w:t>
            </w:r>
          </w:p>
        </w:tc>
        <w:tc>
          <w:tcPr>
            <w:tcW w:w="6855" w:type="dxa"/>
            <w:tcBorders>
              <w:top w:val="single" w:color="auto" w:sz="4" w:space="0"/>
              <w:left w:val="single" w:color="auto" w:sz="4" w:space="0"/>
              <w:bottom w:val="single" w:color="auto" w:sz="4" w:space="0"/>
              <w:right w:val="single" w:color="auto" w:sz="12" w:space="0"/>
            </w:tcBorders>
            <w:vAlign w:val="center"/>
          </w:tcPr>
          <w:p w14:paraId="57D15FEA">
            <w:pPr>
              <w:spacing w:line="480" w:lineRule="exact"/>
              <w:rPr>
                <w:rFonts w:ascii="Times New Roman" w:hAnsi="Times New Roman" w:eastAsia="楷体"/>
                <w:sz w:val="24"/>
              </w:rPr>
            </w:pPr>
            <w:r>
              <w:rPr>
                <w:rFonts w:hint="eastAsia" w:ascii="Times New Roman" w:hAnsi="Times New Roman" w:eastAsia="楷体"/>
                <w:sz w:val="24"/>
              </w:rPr>
              <w:t>国信证券</w:t>
            </w:r>
          </w:p>
        </w:tc>
      </w:tr>
      <w:tr w14:paraId="4E336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34A3A337">
            <w:pPr>
              <w:jc w:val="center"/>
              <w:rPr>
                <w:rFonts w:ascii="Times New Roman" w:hAnsi="Times New Roman" w:eastAsia="楷体"/>
                <w:b/>
                <w:bCs/>
                <w:sz w:val="24"/>
              </w:rPr>
            </w:pPr>
            <w:r>
              <w:rPr>
                <w:rFonts w:ascii="Times New Roman" w:hAnsi="Times New Roman" w:eastAsia="楷体"/>
                <w:b/>
                <w:bCs/>
                <w:sz w:val="24"/>
              </w:rPr>
              <w:t>时间</w:t>
            </w:r>
          </w:p>
        </w:tc>
        <w:tc>
          <w:tcPr>
            <w:tcW w:w="6855" w:type="dxa"/>
            <w:tcBorders>
              <w:top w:val="single" w:color="auto" w:sz="4" w:space="0"/>
              <w:left w:val="single" w:color="auto" w:sz="4" w:space="0"/>
              <w:bottom w:val="single" w:color="auto" w:sz="4" w:space="0"/>
              <w:right w:val="single" w:color="auto" w:sz="12" w:space="0"/>
            </w:tcBorders>
            <w:vAlign w:val="center"/>
          </w:tcPr>
          <w:p w14:paraId="46A8F852">
            <w:pPr>
              <w:rPr>
                <w:rFonts w:ascii="Times New Roman" w:hAnsi="Times New Roman" w:eastAsia="楷体"/>
                <w:sz w:val="24"/>
              </w:rPr>
            </w:pPr>
            <w:r>
              <w:rPr>
                <w:rFonts w:hint="eastAsia" w:ascii="Times New Roman" w:hAnsi="Times New Roman" w:eastAsia="楷体"/>
                <w:sz w:val="24"/>
              </w:rPr>
              <w:t>2025</w:t>
            </w:r>
            <w:r>
              <w:rPr>
                <w:rFonts w:ascii="Times New Roman" w:hAnsi="Times New Roman" w:eastAsia="楷体"/>
                <w:sz w:val="24"/>
              </w:rPr>
              <w:t>年</w:t>
            </w:r>
            <w:r>
              <w:rPr>
                <w:rFonts w:hint="eastAsia" w:ascii="Times New Roman" w:hAnsi="Times New Roman" w:eastAsia="楷体"/>
                <w:sz w:val="24"/>
              </w:rPr>
              <w:t>7</w:t>
            </w:r>
            <w:r>
              <w:rPr>
                <w:rFonts w:ascii="Times New Roman" w:hAnsi="Times New Roman" w:eastAsia="楷体"/>
                <w:sz w:val="24"/>
              </w:rPr>
              <w:t>月</w:t>
            </w:r>
            <w:r>
              <w:rPr>
                <w:rFonts w:hint="eastAsia" w:ascii="Times New Roman" w:hAnsi="Times New Roman" w:eastAsia="楷体"/>
                <w:sz w:val="24"/>
              </w:rPr>
              <w:t>22日</w:t>
            </w:r>
          </w:p>
        </w:tc>
      </w:tr>
      <w:tr w14:paraId="28E14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607FE316">
            <w:pPr>
              <w:jc w:val="center"/>
              <w:rPr>
                <w:rFonts w:ascii="Times New Roman" w:hAnsi="Times New Roman" w:eastAsia="楷体"/>
                <w:b/>
                <w:bCs/>
                <w:sz w:val="24"/>
              </w:rPr>
            </w:pPr>
            <w:r>
              <w:rPr>
                <w:rFonts w:ascii="Times New Roman" w:hAnsi="Times New Roman" w:eastAsia="楷体"/>
                <w:b/>
                <w:bCs/>
                <w:sz w:val="24"/>
              </w:rPr>
              <w:t>地点</w:t>
            </w:r>
          </w:p>
        </w:tc>
        <w:tc>
          <w:tcPr>
            <w:tcW w:w="6855" w:type="dxa"/>
            <w:tcBorders>
              <w:top w:val="single" w:color="auto" w:sz="4" w:space="0"/>
              <w:left w:val="single" w:color="auto" w:sz="4" w:space="0"/>
              <w:bottom w:val="single" w:color="auto" w:sz="4" w:space="0"/>
              <w:right w:val="single" w:color="auto" w:sz="12" w:space="0"/>
            </w:tcBorders>
            <w:vAlign w:val="center"/>
          </w:tcPr>
          <w:p w14:paraId="2A62A60F">
            <w:pPr>
              <w:rPr>
                <w:rFonts w:ascii="Times New Roman" w:hAnsi="Times New Roman" w:eastAsia="楷体"/>
                <w:sz w:val="24"/>
              </w:rPr>
            </w:pPr>
            <w:r>
              <w:rPr>
                <w:rFonts w:ascii="Times New Roman" w:hAnsi="Times New Roman" w:eastAsia="楷体"/>
                <w:sz w:val="24"/>
              </w:rPr>
              <w:t>江苏华盛锂电材料股份有限公司</w:t>
            </w:r>
            <w:r>
              <w:rPr>
                <w:rFonts w:hint="eastAsia" w:ascii="Times New Roman" w:hAnsi="Times New Roman" w:eastAsia="楷体"/>
                <w:sz w:val="24"/>
              </w:rPr>
              <w:t>三期会议室</w:t>
            </w:r>
          </w:p>
        </w:tc>
      </w:tr>
      <w:tr w14:paraId="0A5DE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4D93BA4E">
            <w:pPr>
              <w:jc w:val="center"/>
              <w:rPr>
                <w:rFonts w:ascii="Times New Roman" w:hAnsi="Times New Roman" w:eastAsia="楷体"/>
                <w:b/>
                <w:bCs/>
                <w:sz w:val="24"/>
              </w:rPr>
            </w:pPr>
            <w:r>
              <w:rPr>
                <w:rFonts w:ascii="Times New Roman" w:hAnsi="Times New Roman" w:eastAsia="楷体"/>
                <w:b/>
                <w:bCs/>
                <w:sz w:val="24"/>
              </w:rPr>
              <w:t>公司接待人员姓名</w:t>
            </w:r>
          </w:p>
        </w:tc>
        <w:tc>
          <w:tcPr>
            <w:tcW w:w="6855" w:type="dxa"/>
            <w:tcBorders>
              <w:top w:val="single" w:color="auto" w:sz="4" w:space="0"/>
              <w:left w:val="single" w:color="auto" w:sz="4" w:space="0"/>
              <w:bottom w:val="single" w:color="auto" w:sz="4" w:space="0"/>
              <w:right w:val="single" w:color="auto" w:sz="12" w:space="0"/>
            </w:tcBorders>
            <w:vAlign w:val="center"/>
          </w:tcPr>
          <w:p w14:paraId="17925436">
            <w:pPr>
              <w:spacing w:before="156" w:beforeLines="50" w:after="156" w:afterLines="50"/>
              <w:rPr>
                <w:rFonts w:ascii="Times New Roman" w:hAnsi="Times New Roman" w:eastAsia="楷体"/>
                <w:sz w:val="24"/>
              </w:rPr>
            </w:pPr>
            <w:r>
              <w:rPr>
                <w:rFonts w:hint="eastAsia" w:ascii="Times New Roman" w:hAnsi="Times New Roman" w:eastAsia="楷体"/>
                <w:sz w:val="24"/>
              </w:rPr>
              <w:t>证券事务代表</w:t>
            </w:r>
            <w:r>
              <w:rPr>
                <w:rFonts w:ascii="Times New Roman" w:hAnsi="Times New Roman" w:eastAsia="楷体"/>
                <w:sz w:val="24"/>
              </w:rPr>
              <w:t>：</w:t>
            </w:r>
            <w:r>
              <w:rPr>
                <w:rFonts w:hint="eastAsia" w:ascii="Times New Roman" w:hAnsi="Times New Roman" w:eastAsia="楷体"/>
                <w:sz w:val="24"/>
              </w:rPr>
              <w:t>陆海媛</w:t>
            </w:r>
          </w:p>
          <w:p w14:paraId="3D099D71">
            <w:pPr>
              <w:spacing w:before="156" w:beforeLines="50" w:after="156" w:afterLines="50"/>
              <w:rPr>
                <w:rFonts w:ascii="Times New Roman" w:hAnsi="Times New Roman" w:eastAsia="楷体"/>
                <w:sz w:val="24"/>
              </w:rPr>
            </w:pPr>
            <w:r>
              <w:rPr>
                <w:rFonts w:hint="eastAsia" w:ascii="Times New Roman" w:hAnsi="Times New Roman" w:eastAsia="楷体"/>
                <w:sz w:val="24"/>
              </w:rPr>
              <w:t>研发总监：王明华</w:t>
            </w:r>
          </w:p>
          <w:p w14:paraId="26D69DA4">
            <w:pPr>
              <w:spacing w:before="156" w:beforeLines="50" w:after="156" w:afterLines="50"/>
              <w:rPr>
                <w:rFonts w:ascii="Times New Roman" w:hAnsi="Times New Roman" w:eastAsia="楷体"/>
                <w:sz w:val="24"/>
              </w:rPr>
            </w:pPr>
            <w:r>
              <w:rPr>
                <w:rFonts w:hint="eastAsia" w:ascii="Times New Roman" w:hAnsi="Times New Roman" w:eastAsia="楷体"/>
                <w:sz w:val="24"/>
              </w:rPr>
              <w:t>研发经理：刘善勇</w:t>
            </w:r>
          </w:p>
        </w:tc>
      </w:tr>
      <w:tr w14:paraId="13A75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0EEC91B3">
            <w:pPr>
              <w:jc w:val="center"/>
              <w:rPr>
                <w:rFonts w:ascii="Times New Roman" w:hAnsi="Times New Roman" w:eastAsia="楷体"/>
                <w:b/>
                <w:bCs/>
                <w:sz w:val="24"/>
              </w:rPr>
            </w:pPr>
            <w:r>
              <w:rPr>
                <w:rFonts w:ascii="Times New Roman" w:hAnsi="Times New Roman" w:eastAsia="楷体"/>
                <w:b/>
                <w:bCs/>
                <w:sz w:val="24"/>
              </w:rPr>
              <w:t>投资者关系活动主要内容介绍</w:t>
            </w:r>
          </w:p>
        </w:tc>
        <w:tc>
          <w:tcPr>
            <w:tcW w:w="6855" w:type="dxa"/>
            <w:tcBorders>
              <w:top w:val="single" w:color="auto" w:sz="4" w:space="0"/>
              <w:left w:val="single" w:color="auto" w:sz="4" w:space="0"/>
              <w:bottom w:val="single" w:color="auto" w:sz="4" w:space="0"/>
              <w:right w:val="single" w:color="auto" w:sz="12" w:space="0"/>
            </w:tcBorders>
            <w:vAlign w:val="center"/>
          </w:tcPr>
          <w:p w14:paraId="1D4B3DCF">
            <w:pPr>
              <w:adjustRightInd w:val="0"/>
              <w:snapToGrid w:val="0"/>
              <w:spacing w:line="360" w:lineRule="auto"/>
              <w:ind w:firstLine="480" w:firstLineChars="200"/>
              <w:rPr>
                <w:rFonts w:ascii="Times New Roman" w:hAnsi="Times New Roman" w:eastAsia="楷体"/>
                <w:sz w:val="24"/>
                <w:shd w:val="clear" w:color="auto" w:fill="FFFFFF"/>
              </w:rPr>
            </w:pPr>
            <w:r>
              <w:rPr>
                <w:rFonts w:ascii="Times New Roman" w:hAnsi="Times New Roman" w:eastAsia="楷体"/>
                <w:sz w:val="24"/>
                <w:shd w:val="clear" w:color="auto" w:fill="FFFFFF"/>
              </w:rPr>
              <w:t>本次投资者交流会中，投资者重点关注的问题及公司的回复要点如下：</w:t>
            </w:r>
          </w:p>
          <w:p w14:paraId="0D02E213">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1、公司出于怎样的考量开展年产6万吨碳酸乙烯酯项目（一期3万吨）？该项目对公司发展会产生怎样的影响？</w:t>
            </w:r>
          </w:p>
          <w:p w14:paraId="75E79303">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答：随着新能源汽车行业快速发展，锂电池材料行业也随之步入了高速发展的快车道，电解液添加剂需求持续攀升，添加剂VC的生产和供应面临新挑战与机遇，公司开展该项目既是落实自身发展战略，也是保障上游原料供应的责任体现；公司深耕锂电池电解液添加剂行业多年，目前面临竞争加剧且现有产能难满足客户需求的局面，本次扩产将有助于公司增加市场份额，巩固行业地位，为下游客户提供更好的供应链保障；子公司祥和新能源氯代碳酸乙烯酯项目（一期）已试产，其产品作为VC中间产物，可以为新建VC项目提供供应保障，且可依托原有项目的基础设施，有效降低项目投入边际成本，提高项目经济性；公司持续升级锂电池电解液添加剂生产工艺，本项目将采用先进工艺和设备方案，缩短生产流程、提高纯化效率，实现产率、收率的提升和成本的有效降低，项目建成后将为客户提供优质产品，进一步增强公司的市场竞争优势。</w:t>
            </w:r>
          </w:p>
          <w:p w14:paraId="75AA5459">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2、请问公司在固态电池材料方面都有哪些布局？</w:t>
            </w:r>
            <w:r>
              <w:rPr>
                <w:rFonts w:ascii="Times New Roman" w:hAnsi="Times New Roman" w:eastAsia="楷体"/>
                <w:sz w:val="24"/>
                <w:shd w:val="clear" w:color="auto" w:fill="FFFFFF"/>
              </w:rPr>
              <w:t xml:space="preserve"> </w:t>
            </w:r>
          </w:p>
          <w:p w14:paraId="4A2A427F">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答：固态电池凭借其高能量密度、高安全性等优势,应用前景十分广阔，公司近年持续关注固态电池材料的研发，目前已完成了多种固态/半固态电池适配材料的实验室试制，比如半固态电解质添加剂双三氟甲磺酰亚胺锂、高纯硫化锂、新型硅碳负极、单壁纳米管导电剂等。公司始终密切关注固态电池的发展动态，并结合自身产业规划布局及客户需求开展相关产品的应用研究，持续提升产品的技术水平和研发力量，为公司长期发展提供新的增长点。</w:t>
            </w:r>
          </w:p>
          <w:p w14:paraId="02C7B47A">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3、请问原材料价格波动对公司业绩的影响大吗？</w:t>
            </w:r>
          </w:p>
          <w:p w14:paraId="79A371CB">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答：公司添加剂产品的主要原材料包括碳酸乙烯酯、碳酸二甲酯、氢氧化钾、液碱、三乙胺等。原材料价格的波动对业绩的影响较小，公司业绩下滑主要是国内各生产企业产能扩张和释放速度阶段性大于市场增长速度，产品销售价格出现大幅下降所致。</w:t>
            </w:r>
          </w:p>
          <w:p w14:paraId="2416CD95">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4、请介绍一下新建年产500吨二氟草酸硼酸锂、</w:t>
            </w:r>
            <w:r>
              <w:rPr>
                <w:rFonts w:hint="eastAsia" w:ascii="Times New Roman" w:hAnsi="Times New Roman" w:eastAsia="楷体"/>
                <w:sz w:val="24"/>
                <w:shd w:val="clear" w:color="auto" w:fill="FFFFFF"/>
                <w:lang w:val="en-US" w:eastAsia="zh-CN"/>
              </w:rPr>
              <w:t>2</w:t>
            </w:r>
            <w:r>
              <w:rPr>
                <w:rFonts w:hint="eastAsia" w:ascii="Times New Roman" w:hAnsi="Times New Roman" w:eastAsia="楷体"/>
                <w:sz w:val="24"/>
                <w:shd w:val="clear" w:color="auto" w:fill="FFFFFF"/>
              </w:rPr>
              <w:t>000吨甲烷二磺酸亚甲酯项目。该项目建成后对公司有何影响？</w:t>
            </w:r>
          </w:p>
          <w:p w14:paraId="1E4B47CE">
            <w:pPr>
              <w:adjustRightInd w:val="0"/>
              <w:snapToGrid w:val="0"/>
              <w:spacing w:line="360" w:lineRule="auto"/>
              <w:ind w:firstLine="480" w:firstLineChars="200"/>
              <w:rPr>
                <w:rFonts w:ascii="Times New Roman" w:hAnsi="Times New Roman" w:eastAsia="楷体"/>
                <w:sz w:val="24"/>
                <w:shd w:val="clear" w:color="auto" w:fill="FFFFFF"/>
              </w:rPr>
            </w:pPr>
            <w:r>
              <w:rPr>
                <w:rFonts w:hint="eastAsia" w:ascii="Times New Roman" w:hAnsi="Times New Roman" w:eastAsia="楷体"/>
                <w:sz w:val="24"/>
                <w:shd w:val="clear" w:color="auto" w:fill="FFFFFF"/>
              </w:rPr>
              <w:t>答：“新建年产500吨二氟草酸硼酸锂、</w:t>
            </w:r>
            <w:r>
              <w:rPr>
                <w:rFonts w:hint="eastAsia" w:ascii="Times New Roman" w:hAnsi="Times New Roman" w:eastAsia="楷体"/>
                <w:sz w:val="24"/>
                <w:shd w:val="clear" w:color="auto" w:fill="FFFFFF"/>
                <w:lang w:val="en-US" w:eastAsia="zh-CN"/>
              </w:rPr>
              <w:t>2</w:t>
            </w:r>
            <w:bookmarkStart w:id="0" w:name="_GoBack"/>
            <w:bookmarkEnd w:id="0"/>
            <w:r>
              <w:rPr>
                <w:rFonts w:hint="eastAsia" w:ascii="Times New Roman" w:hAnsi="Times New Roman" w:eastAsia="楷体"/>
                <w:sz w:val="24"/>
                <w:shd w:val="clear" w:color="auto" w:fill="FFFFFF"/>
              </w:rPr>
              <w:t>000吨甲烷二磺酸亚甲酯”项目是公司根据当前锂电行业发展趋势，依托公司多年来对锂电池电解液添加剂领域的技术储备而开展的，它们与传统锂电池添加剂相比，具有稳定性高、低温性能好的优点。项目建成后将丰富公司锂电池电解液添加剂的产品种类，提高生产能力，更好地满足客户产品产能配套的需求，提升公司综合竞争力。</w:t>
            </w:r>
          </w:p>
        </w:tc>
      </w:tr>
      <w:tr w14:paraId="15F81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4A7CC19">
            <w:pPr>
              <w:jc w:val="center"/>
              <w:rPr>
                <w:rFonts w:ascii="Times New Roman" w:hAnsi="Times New Roman" w:eastAsia="楷体"/>
                <w:b/>
                <w:bCs/>
                <w:sz w:val="24"/>
              </w:rPr>
            </w:pPr>
            <w:r>
              <w:rPr>
                <w:rFonts w:hint="eastAsia" w:ascii="Times New Roman" w:hAnsi="Times New Roman" w:eastAsia="楷体"/>
                <w:b/>
                <w:bCs/>
                <w:sz w:val="24"/>
              </w:rPr>
              <w:t>附件清单（如有）</w:t>
            </w:r>
          </w:p>
        </w:tc>
        <w:tc>
          <w:tcPr>
            <w:tcW w:w="6855" w:type="dxa"/>
            <w:tcBorders>
              <w:top w:val="single" w:color="auto" w:sz="4" w:space="0"/>
              <w:left w:val="single" w:color="auto" w:sz="4" w:space="0"/>
              <w:bottom w:val="single" w:color="auto" w:sz="4" w:space="0"/>
              <w:right w:val="single" w:color="auto" w:sz="12" w:space="0"/>
            </w:tcBorders>
            <w:vAlign w:val="center"/>
          </w:tcPr>
          <w:p w14:paraId="63F41A0E">
            <w:pPr>
              <w:rPr>
                <w:rFonts w:ascii="Times New Roman" w:hAnsi="Times New Roman" w:eastAsia="楷体"/>
                <w:sz w:val="24"/>
              </w:rPr>
            </w:pPr>
            <w:r>
              <w:rPr>
                <w:rFonts w:ascii="Times New Roman" w:hAnsi="Times New Roman" w:eastAsia="楷体"/>
                <w:sz w:val="24"/>
              </w:rPr>
              <w:t>无</w:t>
            </w:r>
          </w:p>
        </w:tc>
      </w:tr>
      <w:tr w14:paraId="25D46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17" w:type="dxa"/>
            <w:tcBorders>
              <w:top w:val="single" w:color="auto" w:sz="4" w:space="0"/>
              <w:left w:val="single" w:color="auto" w:sz="12" w:space="0"/>
              <w:bottom w:val="single" w:color="auto" w:sz="12" w:space="0"/>
              <w:right w:val="single" w:color="auto" w:sz="4" w:space="0"/>
            </w:tcBorders>
            <w:vAlign w:val="center"/>
          </w:tcPr>
          <w:p w14:paraId="13ECEF98">
            <w:pPr>
              <w:jc w:val="center"/>
              <w:rPr>
                <w:rFonts w:ascii="Times New Roman" w:hAnsi="Times New Roman" w:eastAsia="楷体"/>
                <w:b/>
                <w:bCs/>
                <w:sz w:val="24"/>
              </w:rPr>
            </w:pPr>
            <w:r>
              <w:rPr>
                <w:rFonts w:hint="eastAsia" w:ascii="Times New Roman" w:hAnsi="Times New Roman" w:eastAsia="楷体"/>
                <w:b/>
                <w:bCs/>
                <w:sz w:val="24"/>
              </w:rPr>
              <w:t>日期</w:t>
            </w:r>
          </w:p>
        </w:tc>
        <w:tc>
          <w:tcPr>
            <w:tcW w:w="6855" w:type="dxa"/>
            <w:tcBorders>
              <w:top w:val="single" w:color="auto" w:sz="4" w:space="0"/>
              <w:left w:val="single" w:color="auto" w:sz="4" w:space="0"/>
              <w:bottom w:val="single" w:color="auto" w:sz="12" w:space="0"/>
              <w:right w:val="single" w:color="auto" w:sz="12" w:space="0"/>
            </w:tcBorders>
            <w:vAlign w:val="center"/>
          </w:tcPr>
          <w:p w14:paraId="7C845008">
            <w:pPr>
              <w:rPr>
                <w:rFonts w:ascii="Times New Roman" w:hAnsi="Times New Roman" w:eastAsia="楷体"/>
                <w:sz w:val="24"/>
              </w:rPr>
            </w:pPr>
            <w:r>
              <w:rPr>
                <w:rFonts w:hint="eastAsia" w:ascii="Times New Roman" w:hAnsi="Times New Roman" w:eastAsia="楷体"/>
                <w:sz w:val="24"/>
              </w:rPr>
              <w:t>2025</w:t>
            </w:r>
            <w:r>
              <w:rPr>
                <w:rFonts w:ascii="Times New Roman" w:hAnsi="Times New Roman" w:eastAsia="楷体"/>
                <w:sz w:val="24"/>
              </w:rPr>
              <w:t>年</w:t>
            </w:r>
            <w:r>
              <w:rPr>
                <w:rFonts w:hint="eastAsia" w:ascii="Times New Roman" w:hAnsi="Times New Roman" w:eastAsia="楷体"/>
                <w:sz w:val="24"/>
              </w:rPr>
              <w:t>7</w:t>
            </w:r>
            <w:r>
              <w:rPr>
                <w:rFonts w:ascii="Times New Roman" w:hAnsi="Times New Roman" w:eastAsia="楷体"/>
                <w:sz w:val="24"/>
              </w:rPr>
              <w:t>月</w:t>
            </w:r>
            <w:r>
              <w:rPr>
                <w:rFonts w:hint="eastAsia" w:ascii="Times New Roman" w:hAnsi="Times New Roman" w:eastAsia="楷体"/>
                <w:sz w:val="24"/>
              </w:rPr>
              <w:t>22日</w:t>
            </w:r>
          </w:p>
        </w:tc>
      </w:tr>
    </w:tbl>
    <w:p w14:paraId="5DA6318D">
      <w:pPr>
        <w:widowControl/>
        <w:spacing w:line="20" w:lineRule="exact"/>
        <w:jc w:val="left"/>
      </w:pPr>
    </w:p>
    <w:sectPr>
      <w:head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3D67">
    <w:pPr>
      <w:pStyle w:val="5"/>
      <w:rPr>
        <w:rFonts w:ascii="楷体" w:hAnsi="楷体" w:eastAsia="楷体"/>
      </w:rPr>
    </w:pPr>
    <w:r>
      <w:rPr>
        <w:rFonts w:hint="eastAsia" w:ascii="楷体" w:hAnsi="楷体" w:eastAsia="楷体"/>
      </w:rPr>
      <w:t xml:space="preserve">江苏华盛锂电材料股份有限公司 </w:t>
    </w:r>
    <w:r>
      <w:rPr>
        <w:rFonts w:ascii="楷体" w:hAnsi="楷体" w:eastAsia="楷体"/>
      </w:rPr>
      <w:t xml:space="preserve">                                               </w:t>
    </w:r>
    <w:r>
      <w:rPr>
        <w:rFonts w:hint="eastAsia" w:ascii="楷体" w:hAnsi="楷体" w:eastAsia="楷体"/>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18"/>
    <w:rsid w:val="00001488"/>
    <w:rsid w:val="000076A8"/>
    <w:rsid w:val="0001014A"/>
    <w:rsid w:val="0001396B"/>
    <w:rsid w:val="00013B2C"/>
    <w:rsid w:val="000251BC"/>
    <w:rsid w:val="0002600A"/>
    <w:rsid w:val="00031EDC"/>
    <w:rsid w:val="00032FBF"/>
    <w:rsid w:val="0004190F"/>
    <w:rsid w:val="0006665D"/>
    <w:rsid w:val="00075208"/>
    <w:rsid w:val="000752AD"/>
    <w:rsid w:val="000A0D5D"/>
    <w:rsid w:val="000B7145"/>
    <w:rsid w:val="000C0917"/>
    <w:rsid w:val="000D1EEA"/>
    <w:rsid w:val="000E0A29"/>
    <w:rsid w:val="000E4A02"/>
    <w:rsid w:val="000F7A15"/>
    <w:rsid w:val="00106CE5"/>
    <w:rsid w:val="00110AC1"/>
    <w:rsid w:val="00110FC0"/>
    <w:rsid w:val="00114A39"/>
    <w:rsid w:val="00114B26"/>
    <w:rsid w:val="00121DE3"/>
    <w:rsid w:val="00127A0C"/>
    <w:rsid w:val="0013291D"/>
    <w:rsid w:val="001356DC"/>
    <w:rsid w:val="00135DE9"/>
    <w:rsid w:val="00136571"/>
    <w:rsid w:val="0014063C"/>
    <w:rsid w:val="001716C9"/>
    <w:rsid w:val="00172A27"/>
    <w:rsid w:val="001764CF"/>
    <w:rsid w:val="00177FA6"/>
    <w:rsid w:val="00180E8C"/>
    <w:rsid w:val="001C3E04"/>
    <w:rsid w:val="001C65A5"/>
    <w:rsid w:val="001D107B"/>
    <w:rsid w:val="001D76A0"/>
    <w:rsid w:val="002051B0"/>
    <w:rsid w:val="00214F3F"/>
    <w:rsid w:val="0021568D"/>
    <w:rsid w:val="002421F3"/>
    <w:rsid w:val="0025795E"/>
    <w:rsid w:val="002707AC"/>
    <w:rsid w:val="002824F1"/>
    <w:rsid w:val="002A5DDA"/>
    <w:rsid w:val="002B1EA1"/>
    <w:rsid w:val="002B2792"/>
    <w:rsid w:val="002B5738"/>
    <w:rsid w:val="002E7DD1"/>
    <w:rsid w:val="003046C0"/>
    <w:rsid w:val="003146EB"/>
    <w:rsid w:val="003168B2"/>
    <w:rsid w:val="00342805"/>
    <w:rsid w:val="00356C12"/>
    <w:rsid w:val="0036096D"/>
    <w:rsid w:val="00362CEE"/>
    <w:rsid w:val="003712F0"/>
    <w:rsid w:val="00372B7B"/>
    <w:rsid w:val="00382BB7"/>
    <w:rsid w:val="00384A01"/>
    <w:rsid w:val="00385F42"/>
    <w:rsid w:val="003864BC"/>
    <w:rsid w:val="00391142"/>
    <w:rsid w:val="00394720"/>
    <w:rsid w:val="003A22AA"/>
    <w:rsid w:val="003A4773"/>
    <w:rsid w:val="003C56D1"/>
    <w:rsid w:val="003D2184"/>
    <w:rsid w:val="003D561B"/>
    <w:rsid w:val="003E6473"/>
    <w:rsid w:val="003F6DC0"/>
    <w:rsid w:val="00402082"/>
    <w:rsid w:val="00415566"/>
    <w:rsid w:val="0042296F"/>
    <w:rsid w:val="00422A0C"/>
    <w:rsid w:val="00426B09"/>
    <w:rsid w:val="00432FC9"/>
    <w:rsid w:val="004413F5"/>
    <w:rsid w:val="00452094"/>
    <w:rsid w:val="00453D13"/>
    <w:rsid w:val="00456D35"/>
    <w:rsid w:val="00461E20"/>
    <w:rsid w:val="004646BB"/>
    <w:rsid w:val="00464AC6"/>
    <w:rsid w:val="004672FD"/>
    <w:rsid w:val="00476C84"/>
    <w:rsid w:val="004853F9"/>
    <w:rsid w:val="0049067C"/>
    <w:rsid w:val="00496215"/>
    <w:rsid w:val="00496ED9"/>
    <w:rsid w:val="004A033B"/>
    <w:rsid w:val="004A215B"/>
    <w:rsid w:val="004A227A"/>
    <w:rsid w:val="004B35E2"/>
    <w:rsid w:val="004B42FE"/>
    <w:rsid w:val="004C7EAD"/>
    <w:rsid w:val="004D001F"/>
    <w:rsid w:val="004D3F22"/>
    <w:rsid w:val="004D45FF"/>
    <w:rsid w:val="004E3115"/>
    <w:rsid w:val="004F3029"/>
    <w:rsid w:val="0050067C"/>
    <w:rsid w:val="005026B6"/>
    <w:rsid w:val="00502E9C"/>
    <w:rsid w:val="00520FE3"/>
    <w:rsid w:val="005211EF"/>
    <w:rsid w:val="0052527D"/>
    <w:rsid w:val="00530F80"/>
    <w:rsid w:val="00532959"/>
    <w:rsid w:val="005515C2"/>
    <w:rsid w:val="00556BB3"/>
    <w:rsid w:val="0056159D"/>
    <w:rsid w:val="00563FA2"/>
    <w:rsid w:val="005703A5"/>
    <w:rsid w:val="005761E2"/>
    <w:rsid w:val="005858D9"/>
    <w:rsid w:val="0059023D"/>
    <w:rsid w:val="00593A35"/>
    <w:rsid w:val="005B02EB"/>
    <w:rsid w:val="005C7A1B"/>
    <w:rsid w:val="005D4B0E"/>
    <w:rsid w:val="005F4618"/>
    <w:rsid w:val="0060293E"/>
    <w:rsid w:val="00605E6F"/>
    <w:rsid w:val="00612D1C"/>
    <w:rsid w:val="00613EDC"/>
    <w:rsid w:val="0062262A"/>
    <w:rsid w:val="006264DF"/>
    <w:rsid w:val="00627ADB"/>
    <w:rsid w:val="006439B3"/>
    <w:rsid w:val="00646058"/>
    <w:rsid w:val="006469A4"/>
    <w:rsid w:val="00653097"/>
    <w:rsid w:val="00661F6B"/>
    <w:rsid w:val="00664FF6"/>
    <w:rsid w:val="006655B9"/>
    <w:rsid w:val="006672F6"/>
    <w:rsid w:val="006B0D03"/>
    <w:rsid w:val="006B22F5"/>
    <w:rsid w:val="006C7C57"/>
    <w:rsid w:val="006D217D"/>
    <w:rsid w:val="006D2E8D"/>
    <w:rsid w:val="006D389E"/>
    <w:rsid w:val="0071100A"/>
    <w:rsid w:val="00711238"/>
    <w:rsid w:val="0071206F"/>
    <w:rsid w:val="00712771"/>
    <w:rsid w:val="00714B40"/>
    <w:rsid w:val="00720F84"/>
    <w:rsid w:val="0073320D"/>
    <w:rsid w:val="00736A80"/>
    <w:rsid w:val="00742D08"/>
    <w:rsid w:val="00744CAC"/>
    <w:rsid w:val="007460EB"/>
    <w:rsid w:val="00746C2A"/>
    <w:rsid w:val="007477DF"/>
    <w:rsid w:val="007713DA"/>
    <w:rsid w:val="00792EEF"/>
    <w:rsid w:val="007A4530"/>
    <w:rsid w:val="007A6F30"/>
    <w:rsid w:val="007A7D7C"/>
    <w:rsid w:val="007B371D"/>
    <w:rsid w:val="007B4CF9"/>
    <w:rsid w:val="007C1B43"/>
    <w:rsid w:val="007D738A"/>
    <w:rsid w:val="007E1D4D"/>
    <w:rsid w:val="007E6A6F"/>
    <w:rsid w:val="007F2858"/>
    <w:rsid w:val="007F717B"/>
    <w:rsid w:val="007F74C6"/>
    <w:rsid w:val="007F7552"/>
    <w:rsid w:val="00800D77"/>
    <w:rsid w:val="00804834"/>
    <w:rsid w:val="00804B8F"/>
    <w:rsid w:val="00804DE1"/>
    <w:rsid w:val="008057B4"/>
    <w:rsid w:val="00805B1D"/>
    <w:rsid w:val="008414A2"/>
    <w:rsid w:val="0085027B"/>
    <w:rsid w:val="00854B7A"/>
    <w:rsid w:val="00870B23"/>
    <w:rsid w:val="00891E31"/>
    <w:rsid w:val="008A10B2"/>
    <w:rsid w:val="008B1C28"/>
    <w:rsid w:val="008B1EEB"/>
    <w:rsid w:val="008B5547"/>
    <w:rsid w:val="008C24CC"/>
    <w:rsid w:val="008C7A2E"/>
    <w:rsid w:val="008C7E7C"/>
    <w:rsid w:val="008D1D7F"/>
    <w:rsid w:val="008F010B"/>
    <w:rsid w:val="008F64E9"/>
    <w:rsid w:val="008F77EE"/>
    <w:rsid w:val="00904EA2"/>
    <w:rsid w:val="00940831"/>
    <w:rsid w:val="00950339"/>
    <w:rsid w:val="00960FAA"/>
    <w:rsid w:val="009626AA"/>
    <w:rsid w:val="0097726C"/>
    <w:rsid w:val="0098145D"/>
    <w:rsid w:val="00981912"/>
    <w:rsid w:val="009830FD"/>
    <w:rsid w:val="009918C4"/>
    <w:rsid w:val="009A084D"/>
    <w:rsid w:val="009B005C"/>
    <w:rsid w:val="009B0125"/>
    <w:rsid w:val="009B58AF"/>
    <w:rsid w:val="009C379C"/>
    <w:rsid w:val="009D40D8"/>
    <w:rsid w:val="009D718A"/>
    <w:rsid w:val="009E1B35"/>
    <w:rsid w:val="009E74AD"/>
    <w:rsid w:val="009F29D5"/>
    <w:rsid w:val="009F3DC7"/>
    <w:rsid w:val="009F3F06"/>
    <w:rsid w:val="00A02568"/>
    <w:rsid w:val="00A04DD5"/>
    <w:rsid w:val="00A05634"/>
    <w:rsid w:val="00A127DE"/>
    <w:rsid w:val="00A24A6E"/>
    <w:rsid w:val="00A55870"/>
    <w:rsid w:val="00A62859"/>
    <w:rsid w:val="00A6428F"/>
    <w:rsid w:val="00A73B46"/>
    <w:rsid w:val="00A75413"/>
    <w:rsid w:val="00A82D19"/>
    <w:rsid w:val="00A87B8F"/>
    <w:rsid w:val="00A9103F"/>
    <w:rsid w:val="00A93B61"/>
    <w:rsid w:val="00A950CC"/>
    <w:rsid w:val="00A96029"/>
    <w:rsid w:val="00AA1054"/>
    <w:rsid w:val="00AB3F05"/>
    <w:rsid w:val="00AC1815"/>
    <w:rsid w:val="00AC36A7"/>
    <w:rsid w:val="00AE1D23"/>
    <w:rsid w:val="00AF121D"/>
    <w:rsid w:val="00B029F9"/>
    <w:rsid w:val="00B0524B"/>
    <w:rsid w:val="00B16C30"/>
    <w:rsid w:val="00B273B0"/>
    <w:rsid w:val="00B418A3"/>
    <w:rsid w:val="00B4214A"/>
    <w:rsid w:val="00B533A2"/>
    <w:rsid w:val="00B5658A"/>
    <w:rsid w:val="00B62C32"/>
    <w:rsid w:val="00B64DFA"/>
    <w:rsid w:val="00B667E4"/>
    <w:rsid w:val="00B85A0D"/>
    <w:rsid w:val="00B90446"/>
    <w:rsid w:val="00B94B98"/>
    <w:rsid w:val="00BA14F2"/>
    <w:rsid w:val="00BA5BFE"/>
    <w:rsid w:val="00BA7DD1"/>
    <w:rsid w:val="00BB4944"/>
    <w:rsid w:val="00BC37C2"/>
    <w:rsid w:val="00BC3D46"/>
    <w:rsid w:val="00BD0C60"/>
    <w:rsid w:val="00BE08B7"/>
    <w:rsid w:val="00BE2645"/>
    <w:rsid w:val="00BE67F0"/>
    <w:rsid w:val="00C064EA"/>
    <w:rsid w:val="00C3372B"/>
    <w:rsid w:val="00C358B5"/>
    <w:rsid w:val="00C42CBD"/>
    <w:rsid w:val="00C4451C"/>
    <w:rsid w:val="00C510B0"/>
    <w:rsid w:val="00C51B18"/>
    <w:rsid w:val="00C5461F"/>
    <w:rsid w:val="00C61A3F"/>
    <w:rsid w:val="00C63FD3"/>
    <w:rsid w:val="00C70626"/>
    <w:rsid w:val="00C80A5E"/>
    <w:rsid w:val="00C947D4"/>
    <w:rsid w:val="00C95434"/>
    <w:rsid w:val="00CA27D4"/>
    <w:rsid w:val="00CA6F63"/>
    <w:rsid w:val="00CC62F4"/>
    <w:rsid w:val="00CC75B4"/>
    <w:rsid w:val="00CD0BE4"/>
    <w:rsid w:val="00CE3455"/>
    <w:rsid w:val="00CF0E73"/>
    <w:rsid w:val="00CF47E1"/>
    <w:rsid w:val="00CF6E94"/>
    <w:rsid w:val="00D0634E"/>
    <w:rsid w:val="00D1386F"/>
    <w:rsid w:val="00D156EC"/>
    <w:rsid w:val="00D320C3"/>
    <w:rsid w:val="00D57B48"/>
    <w:rsid w:val="00D80139"/>
    <w:rsid w:val="00D83A19"/>
    <w:rsid w:val="00DA0D89"/>
    <w:rsid w:val="00DA3C8F"/>
    <w:rsid w:val="00DB2152"/>
    <w:rsid w:val="00DB35E3"/>
    <w:rsid w:val="00DB738F"/>
    <w:rsid w:val="00DC6FE4"/>
    <w:rsid w:val="00DD0014"/>
    <w:rsid w:val="00DD1BCC"/>
    <w:rsid w:val="00DD5690"/>
    <w:rsid w:val="00DD5E20"/>
    <w:rsid w:val="00DE1B2B"/>
    <w:rsid w:val="00DE7187"/>
    <w:rsid w:val="00DF0E83"/>
    <w:rsid w:val="00DF2823"/>
    <w:rsid w:val="00DF3D1C"/>
    <w:rsid w:val="00E01EEA"/>
    <w:rsid w:val="00E04B86"/>
    <w:rsid w:val="00E055F9"/>
    <w:rsid w:val="00E11158"/>
    <w:rsid w:val="00E23166"/>
    <w:rsid w:val="00E27593"/>
    <w:rsid w:val="00E33B82"/>
    <w:rsid w:val="00E37D7D"/>
    <w:rsid w:val="00E42839"/>
    <w:rsid w:val="00E43D1B"/>
    <w:rsid w:val="00E43E56"/>
    <w:rsid w:val="00E46E07"/>
    <w:rsid w:val="00E509DB"/>
    <w:rsid w:val="00E51087"/>
    <w:rsid w:val="00E5460E"/>
    <w:rsid w:val="00E751D8"/>
    <w:rsid w:val="00E90C93"/>
    <w:rsid w:val="00E91FB3"/>
    <w:rsid w:val="00E9483C"/>
    <w:rsid w:val="00E95915"/>
    <w:rsid w:val="00EA151C"/>
    <w:rsid w:val="00EA7263"/>
    <w:rsid w:val="00EC7D20"/>
    <w:rsid w:val="00ED7D6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D02B3"/>
    <w:rsid w:val="00FD33E7"/>
    <w:rsid w:val="00FE2E5A"/>
    <w:rsid w:val="00FF4AE9"/>
    <w:rsid w:val="00FF5BE3"/>
    <w:rsid w:val="173C7D72"/>
    <w:rsid w:val="23DB3F63"/>
    <w:rsid w:val="24465EFD"/>
    <w:rsid w:val="2E7712D2"/>
    <w:rsid w:val="2EF861C1"/>
    <w:rsid w:val="38EF7122"/>
    <w:rsid w:val="3F855194"/>
    <w:rsid w:val="64421FF9"/>
    <w:rsid w:val="67E5006B"/>
    <w:rsid w:val="7143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0"/>
    <w:pPr>
      <w:jc w:val="left"/>
    </w:pPr>
  </w:style>
  <w:style w:type="paragraph" w:styleId="3">
    <w:name w:val="Balloon Text"/>
    <w:basedOn w:val="1"/>
    <w:link w:val="20"/>
    <w:semiHidden/>
    <w:unhideWhenUsed/>
    <w:qFormat/>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uiPriority w:val="0"/>
    <w:rPr>
      <w:b/>
      <w:bCs/>
    </w:rPr>
  </w:style>
  <w:style w:type="table" w:styleId="8">
    <w:name w:val="Table Grid"/>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0"/>
    <w:rPr>
      <w:sz w:val="21"/>
      <w:szCs w:val="21"/>
    </w:rPr>
  </w:style>
  <w:style w:type="paragraph" w:customStyle="1" w:styleId="11">
    <w:name w:val="Table Paragraph"/>
    <w:basedOn w:val="1"/>
    <w:qFormat/>
    <w:uiPriority w:val="0"/>
    <w:pPr>
      <w:jc w:val="left"/>
    </w:pPr>
    <w:rPr>
      <w:kern w:val="0"/>
      <w:sz w:val="22"/>
      <w:szCs w:val="22"/>
    </w:rPr>
  </w:style>
  <w:style w:type="table" w:customStyle="1" w:styleId="12">
    <w:name w:val="Table Normal"/>
    <w:basedOn w:val="7"/>
    <w:semiHidden/>
    <w:qFormat/>
    <w:uiPriority w:val="0"/>
    <w:tblPr>
      <w:tblCellMar>
        <w:top w:w="0" w:type="dxa"/>
        <w:left w:w="0" w:type="dxa"/>
        <w:bottom w:w="0" w:type="dxa"/>
        <w:right w:w="0" w:type="dxa"/>
      </w:tblCellMar>
    </w:tblPr>
  </w:style>
  <w:style w:type="character" w:customStyle="1" w:styleId="13">
    <w:name w:val="页眉 Char"/>
    <w:link w:val="5"/>
    <w:qFormat/>
    <w:uiPriority w:val="0"/>
    <w:rPr>
      <w:rFonts w:cs="Times New Roman"/>
      <w:kern w:val="2"/>
      <w:sz w:val="18"/>
      <w:szCs w:val="18"/>
    </w:rPr>
  </w:style>
  <w:style w:type="character" w:customStyle="1" w:styleId="14">
    <w:name w:val="页脚 Char"/>
    <w:link w:val="4"/>
    <w:qFormat/>
    <w:uiPriority w:val="0"/>
    <w:rPr>
      <w:rFonts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oli-avatar-text"/>
    <w:basedOn w:val="9"/>
    <w:uiPriority w:val="0"/>
  </w:style>
  <w:style w:type="paragraph" w:styleId="17">
    <w:name w:val="List Paragraph"/>
    <w:basedOn w:val="1"/>
    <w:qFormat/>
    <w:uiPriority w:val="34"/>
    <w:pPr>
      <w:ind w:firstLine="420" w:firstLineChars="200"/>
    </w:pPr>
  </w:style>
  <w:style w:type="character" w:customStyle="1" w:styleId="18">
    <w:name w:val="批注文字 Char"/>
    <w:basedOn w:val="9"/>
    <w:link w:val="2"/>
    <w:semiHidden/>
    <w:uiPriority w:val="0"/>
    <w:rPr>
      <w:rFonts w:cs="Times New Roman"/>
      <w:kern w:val="2"/>
      <w:sz w:val="21"/>
      <w:szCs w:val="24"/>
    </w:rPr>
  </w:style>
  <w:style w:type="character" w:customStyle="1" w:styleId="19">
    <w:name w:val="批注主题 Char"/>
    <w:basedOn w:val="18"/>
    <w:link w:val="6"/>
    <w:semiHidden/>
    <w:uiPriority w:val="0"/>
    <w:rPr>
      <w:rFonts w:cs="Times New Roman"/>
      <w:b/>
      <w:bCs/>
      <w:kern w:val="2"/>
      <w:sz w:val="21"/>
      <w:szCs w:val="24"/>
    </w:rPr>
  </w:style>
  <w:style w:type="character" w:customStyle="1" w:styleId="20">
    <w:name w:val="批注框文本 Char"/>
    <w:basedOn w:val="9"/>
    <w:link w:val="3"/>
    <w:semiHidden/>
    <w:uiPriority w:val="0"/>
    <w:rPr>
      <w:rFonts w:cs="Times New Roman"/>
      <w:kern w:val="2"/>
      <w:sz w:val="18"/>
      <w:szCs w:val="18"/>
    </w:rPr>
  </w:style>
  <w:style w:type="paragraph" w:customStyle="1" w:styleId="21">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修订1"/>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E3D9-4A68-492D-9711-B8344FDBE20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1227</Words>
  <Characters>1260</Characters>
  <Lines>9</Lines>
  <Paragraphs>2</Paragraphs>
  <TotalTime>833</TotalTime>
  <ScaleCrop>false</ScaleCrop>
  <LinksUpToDate>false</LinksUpToDate>
  <CharactersWithSpaces>1336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2022-11-25T07:23:00Z</dcterms:created>
  <dc:creator>86186</dc:creator>
  <cp:lastModifiedBy>朱凯</cp:lastModifiedBy>
  <cp:lastPrinted>2022-03-16T07:42:00Z</cp:lastPrinted>
  <dcterms:modified xsi:type="dcterms:W3CDTF">2025-07-22T08:55:10Z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eyJoZGlkIjoiMzJiNTAyNjNlNjExZTE1ZWNkNTRlNTMyM2Y4Yzk5NjMiLCJ1c2VySWQiOiIyNDc2OTg4OTYifQ==</vt:lpwstr>
  </property>
  <property fmtid="{D5CDD505-2E9C-101B-9397-08002B2CF9AE}" pid="4" name="ICV">
    <vt:lpwstr>4CD4D632F1844D1AB2351DA18E5F27BB_12</vt:lpwstr>
  </property>
</Properties>
</file>