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6D" w:rsidRDefault="00285A9D" w:rsidP="005C7B01">
      <w:pPr>
        <w:spacing w:beforeLines="50" w:afterLines="50" w:line="340" w:lineRule="exact"/>
        <w:jc w:val="center"/>
        <w:rPr>
          <w:rFonts w:ascii="方正小标宋简体" w:eastAsia="方正小标宋简体" w:hAnsiTheme="minorEastAsia"/>
          <w:bCs/>
          <w:iCs/>
          <w:sz w:val="32"/>
          <w:szCs w:val="32"/>
        </w:rPr>
      </w:pPr>
      <w:r>
        <w:rPr>
          <w:rFonts w:ascii="方正小标宋简体" w:eastAsia="方正小标宋简体" w:hAnsiTheme="minorEastAsia" w:hint="eastAsia"/>
          <w:bCs/>
          <w:iCs/>
          <w:sz w:val="32"/>
          <w:szCs w:val="32"/>
        </w:rPr>
        <w:t>国机重型装备集团股份有限公司</w:t>
      </w:r>
    </w:p>
    <w:p w:rsidR="00F2606D" w:rsidRDefault="00285A9D" w:rsidP="005C7B01">
      <w:pPr>
        <w:spacing w:beforeLines="50" w:afterLines="50" w:line="340" w:lineRule="exact"/>
        <w:jc w:val="center"/>
        <w:rPr>
          <w:rFonts w:ascii="方正小标宋简体" w:eastAsia="方正小标宋简体" w:hAnsiTheme="minorEastAsia"/>
          <w:bCs/>
          <w:iCs/>
          <w:sz w:val="32"/>
          <w:szCs w:val="32"/>
        </w:rPr>
      </w:pPr>
      <w:r>
        <w:rPr>
          <w:rFonts w:ascii="方正小标宋简体" w:eastAsia="方正小标宋简体" w:hAnsiTheme="minorEastAsia" w:hint="eastAsia"/>
          <w:bCs/>
          <w:iCs/>
          <w:sz w:val="32"/>
          <w:szCs w:val="32"/>
        </w:rPr>
        <w:t>投资者关系活动记录表</w:t>
      </w:r>
    </w:p>
    <w:p w:rsidR="00F2606D" w:rsidRDefault="00285A9D">
      <w:pPr>
        <w:spacing w:line="400" w:lineRule="exact"/>
        <w:jc w:val="righ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                                                      编号：2025-</w:t>
      </w:r>
      <w:r>
        <w:rPr>
          <w:rFonts w:asciiTheme="minorEastAsia" w:eastAsiaTheme="minorEastAsia" w:hAnsiTheme="minorEastAsia"/>
          <w:bCs/>
          <w:iCs/>
          <w:sz w:val="24"/>
          <w:szCs w:val="24"/>
        </w:rPr>
        <w:t>0</w:t>
      </w:r>
      <w:r w:rsidR="001D5330">
        <w:rPr>
          <w:rFonts w:asciiTheme="minorEastAsia" w:eastAsiaTheme="minorEastAsia" w:hAnsiTheme="minorEastAsia" w:hint="eastAsia"/>
          <w:bCs/>
          <w:iCs/>
          <w:sz w:val="24"/>
          <w:szCs w:val="24"/>
        </w:rPr>
        <w:t>4</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6614"/>
      </w:tblGrid>
      <w:tr w:rsidR="00F2606D">
        <w:trPr>
          <w:jc w:val="center"/>
        </w:trPr>
        <w:tc>
          <w:tcPr>
            <w:tcW w:w="2325" w:type="dxa"/>
            <w:shd w:val="clear" w:color="auto" w:fill="auto"/>
            <w:vAlign w:val="center"/>
          </w:tcPr>
          <w:p w:rsidR="00F2606D" w:rsidRDefault="00285A9D" w:rsidP="00E062B3">
            <w:pPr>
              <w:spacing w:line="380" w:lineRule="exact"/>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投资者关系活动类别</w:t>
            </w:r>
          </w:p>
        </w:tc>
        <w:tc>
          <w:tcPr>
            <w:tcW w:w="6614" w:type="dxa"/>
            <w:shd w:val="clear" w:color="auto" w:fill="auto"/>
            <w:vAlign w:val="center"/>
          </w:tcPr>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szCs w:val="21"/>
              </w:rPr>
              <w:t xml:space="preserve">√特定对象调研        </w:t>
            </w:r>
            <w:r>
              <w:rPr>
                <w:rFonts w:asciiTheme="minorEastAsia" w:eastAsiaTheme="minorEastAsia" w:hAnsiTheme="minorEastAsia" w:hint="eastAsia"/>
                <w:bCs/>
                <w:iCs/>
                <w:szCs w:val="21"/>
              </w:rPr>
              <w:t>□</w:t>
            </w:r>
            <w:r>
              <w:rPr>
                <w:rFonts w:asciiTheme="minorEastAsia" w:eastAsiaTheme="minorEastAsia" w:hAnsiTheme="minorEastAsia" w:hint="eastAsia"/>
                <w:szCs w:val="21"/>
              </w:rPr>
              <w:t>分析师会议</w:t>
            </w:r>
          </w:p>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媒体采访            </w:t>
            </w:r>
            <w:r>
              <w:rPr>
                <w:rFonts w:asciiTheme="minorEastAsia" w:eastAsiaTheme="minorEastAsia" w:hAnsiTheme="minorEastAsia" w:hint="eastAsia"/>
                <w:bCs/>
                <w:iCs/>
                <w:szCs w:val="21"/>
              </w:rPr>
              <w:t>□</w:t>
            </w:r>
            <w:r>
              <w:rPr>
                <w:rFonts w:asciiTheme="minorEastAsia" w:eastAsiaTheme="minorEastAsia" w:hAnsiTheme="minorEastAsia" w:hint="eastAsia"/>
                <w:szCs w:val="21"/>
              </w:rPr>
              <w:t>业绩说明会</w:t>
            </w:r>
          </w:p>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新闻发布会          </w:t>
            </w:r>
            <w:r>
              <w:rPr>
                <w:rFonts w:asciiTheme="minorEastAsia" w:eastAsiaTheme="minorEastAsia" w:hAnsiTheme="minorEastAsia" w:hint="eastAsia"/>
                <w:bCs/>
                <w:iCs/>
                <w:szCs w:val="21"/>
              </w:rPr>
              <w:t>□</w:t>
            </w:r>
            <w:r>
              <w:rPr>
                <w:rFonts w:asciiTheme="minorEastAsia" w:eastAsiaTheme="minorEastAsia" w:hAnsiTheme="minorEastAsia" w:hint="eastAsia"/>
                <w:szCs w:val="21"/>
              </w:rPr>
              <w:t>路演活动</w:t>
            </w:r>
          </w:p>
          <w:p w:rsidR="00F2606D" w:rsidRDefault="00285A9D" w:rsidP="00E062B3">
            <w:pPr>
              <w:tabs>
                <w:tab w:val="left" w:pos="3045"/>
                <w:tab w:val="center" w:pos="3199"/>
              </w:tabs>
              <w:spacing w:line="380" w:lineRule="exact"/>
              <w:rPr>
                <w:rFonts w:asciiTheme="minorEastAsia" w:eastAsiaTheme="minorEastAsia" w:hAnsiTheme="minorEastAsia"/>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现场参观            </w:t>
            </w:r>
            <w:r>
              <w:rPr>
                <w:rFonts w:asciiTheme="minorEastAsia" w:eastAsiaTheme="minorEastAsia" w:hAnsiTheme="minorEastAsia" w:hint="eastAsia"/>
                <w:bCs/>
                <w:iCs/>
                <w:szCs w:val="21"/>
              </w:rPr>
              <w:t>□</w:t>
            </w:r>
            <w:r>
              <w:rPr>
                <w:rFonts w:asciiTheme="minorEastAsia" w:eastAsiaTheme="minorEastAsia" w:hAnsiTheme="minorEastAsia" w:hint="eastAsia"/>
                <w:szCs w:val="21"/>
              </w:rPr>
              <w:t>其他</w:t>
            </w:r>
          </w:p>
        </w:tc>
      </w:tr>
      <w:tr w:rsidR="00F2606D">
        <w:trPr>
          <w:jc w:val="center"/>
        </w:trPr>
        <w:tc>
          <w:tcPr>
            <w:tcW w:w="2325" w:type="dxa"/>
            <w:shd w:val="clear" w:color="auto" w:fill="auto"/>
            <w:vAlign w:val="center"/>
          </w:tcPr>
          <w:p w:rsidR="00F2606D" w:rsidRDefault="00285A9D" w:rsidP="00E062B3">
            <w:pPr>
              <w:spacing w:line="380" w:lineRule="exact"/>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参与单位名称</w:t>
            </w:r>
          </w:p>
        </w:tc>
        <w:tc>
          <w:tcPr>
            <w:tcW w:w="6614" w:type="dxa"/>
            <w:shd w:val="clear" w:color="auto" w:fill="auto"/>
            <w:vAlign w:val="center"/>
          </w:tcPr>
          <w:p w:rsidR="001D5330" w:rsidRDefault="001D5330" w:rsidP="00E062B3">
            <w:pPr>
              <w:spacing w:line="380" w:lineRule="exact"/>
              <w:rPr>
                <w:rFonts w:asciiTheme="minorEastAsia" w:eastAsiaTheme="minorEastAsia" w:hAnsiTheme="minorEastAsia"/>
                <w:iCs/>
                <w:szCs w:val="21"/>
              </w:rPr>
            </w:pPr>
            <w:r w:rsidRPr="001D5330">
              <w:rPr>
                <w:rFonts w:asciiTheme="minorEastAsia" w:eastAsiaTheme="minorEastAsia" w:hAnsiTheme="minorEastAsia" w:hint="eastAsia"/>
                <w:iCs/>
                <w:szCs w:val="21"/>
              </w:rPr>
              <w:t>爱建证券有限责任公司</w:t>
            </w:r>
          </w:p>
          <w:p w:rsidR="00F2606D" w:rsidRDefault="001D5330" w:rsidP="00E062B3">
            <w:pPr>
              <w:spacing w:line="380" w:lineRule="exact"/>
              <w:rPr>
                <w:rFonts w:asciiTheme="minorEastAsia" w:eastAsiaTheme="minorEastAsia" w:hAnsiTheme="minorEastAsia"/>
                <w:bCs/>
                <w:iCs/>
                <w:szCs w:val="21"/>
              </w:rPr>
            </w:pPr>
            <w:r w:rsidRPr="001D5330">
              <w:rPr>
                <w:rFonts w:asciiTheme="minorEastAsia" w:eastAsiaTheme="minorEastAsia" w:hAnsiTheme="minorEastAsia" w:hint="eastAsia"/>
                <w:bCs/>
                <w:iCs/>
                <w:szCs w:val="21"/>
              </w:rPr>
              <w:t>国投证券股份有限公司</w:t>
            </w:r>
          </w:p>
          <w:p w:rsidR="001D5330" w:rsidRDefault="001D5330" w:rsidP="00E062B3">
            <w:pPr>
              <w:spacing w:line="380" w:lineRule="exact"/>
              <w:rPr>
                <w:rFonts w:asciiTheme="minorEastAsia" w:eastAsiaTheme="minorEastAsia" w:hAnsiTheme="minorEastAsia"/>
                <w:bCs/>
                <w:iCs/>
                <w:szCs w:val="21"/>
              </w:rPr>
            </w:pPr>
            <w:r w:rsidRPr="001D5330">
              <w:rPr>
                <w:rFonts w:asciiTheme="minorEastAsia" w:eastAsiaTheme="minorEastAsia" w:hAnsiTheme="minorEastAsia" w:hint="eastAsia"/>
                <w:bCs/>
                <w:iCs/>
                <w:szCs w:val="21"/>
              </w:rPr>
              <w:t>乐盈(珠海)私募证券投资管理有限公司</w:t>
            </w:r>
          </w:p>
          <w:p w:rsidR="001D5330" w:rsidRDefault="00E648A5" w:rsidP="00E062B3">
            <w:pPr>
              <w:spacing w:line="380" w:lineRule="exact"/>
              <w:rPr>
                <w:rFonts w:asciiTheme="minorEastAsia" w:eastAsiaTheme="minorEastAsia" w:hAnsiTheme="minorEastAsia"/>
                <w:bCs/>
                <w:iCs/>
                <w:szCs w:val="21"/>
              </w:rPr>
            </w:pPr>
            <w:r w:rsidRPr="00E648A5">
              <w:rPr>
                <w:rFonts w:asciiTheme="minorEastAsia" w:eastAsiaTheme="minorEastAsia" w:hAnsiTheme="minorEastAsia" w:hint="eastAsia"/>
                <w:bCs/>
                <w:iCs/>
                <w:szCs w:val="21"/>
              </w:rPr>
              <w:t>成都开元诚投私募基金管理有限公司</w:t>
            </w:r>
          </w:p>
          <w:p w:rsidR="000D008B" w:rsidRPr="000D008B" w:rsidRDefault="000D008B" w:rsidP="00E062B3">
            <w:pPr>
              <w:spacing w:line="380" w:lineRule="exact"/>
              <w:rPr>
                <w:rFonts w:asciiTheme="minorEastAsia" w:eastAsiaTheme="minorEastAsia" w:hAnsiTheme="minorEastAsia"/>
                <w:iCs/>
                <w:szCs w:val="21"/>
              </w:rPr>
            </w:pPr>
            <w:r>
              <w:rPr>
                <w:rFonts w:asciiTheme="minorEastAsia" w:eastAsiaTheme="minorEastAsia" w:hAnsiTheme="minorEastAsia"/>
                <w:iCs/>
                <w:szCs w:val="21"/>
              </w:rPr>
              <w:t>（以上排名不分先后）</w:t>
            </w:r>
          </w:p>
        </w:tc>
      </w:tr>
      <w:tr w:rsidR="00F2606D">
        <w:trPr>
          <w:jc w:val="center"/>
        </w:trPr>
        <w:tc>
          <w:tcPr>
            <w:tcW w:w="2325" w:type="dxa"/>
            <w:shd w:val="clear" w:color="auto" w:fill="auto"/>
            <w:vAlign w:val="center"/>
          </w:tcPr>
          <w:p w:rsidR="00F2606D" w:rsidRDefault="00285A9D" w:rsidP="00E062B3">
            <w:pPr>
              <w:spacing w:line="380" w:lineRule="exact"/>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时间</w:t>
            </w:r>
          </w:p>
        </w:tc>
        <w:tc>
          <w:tcPr>
            <w:tcW w:w="6614" w:type="dxa"/>
            <w:shd w:val="clear" w:color="auto" w:fill="auto"/>
            <w:vAlign w:val="center"/>
          </w:tcPr>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2025年</w:t>
            </w:r>
            <w:r w:rsidR="00E648A5">
              <w:rPr>
                <w:rFonts w:asciiTheme="minorEastAsia" w:eastAsiaTheme="minorEastAsia" w:hAnsiTheme="minorEastAsia" w:hint="eastAsia"/>
                <w:bCs/>
                <w:iCs/>
                <w:szCs w:val="21"/>
              </w:rPr>
              <w:t>7</w:t>
            </w:r>
            <w:r>
              <w:rPr>
                <w:rFonts w:asciiTheme="minorEastAsia" w:eastAsiaTheme="minorEastAsia" w:hAnsiTheme="minorEastAsia" w:hint="eastAsia"/>
                <w:bCs/>
                <w:iCs/>
                <w:szCs w:val="21"/>
              </w:rPr>
              <w:t>月1</w:t>
            </w:r>
            <w:r w:rsidR="00E648A5">
              <w:rPr>
                <w:rFonts w:asciiTheme="minorEastAsia" w:eastAsiaTheme="minorEastAsia" w:hAnsiTheme="minorEastAsia" w:hint="eastAsia"/>
                <w:bCs/>
                <w:iCs/>
                <w:szCs w:val="21"/>
              </w:rPr>
              <w:t>7</w:t>
            </w:r>
            <w:r>
              <w:rPr>
                <w:rFonts w:asciiTheme="minorEastAsia" w:eastAsiaTheme="minorEastAsia" w:hAnsiTheme="minorEastAsia" w:hint="eastAsia"/>
                <w:bCs/>
                <w:iCs/>
                <w:szCs w:val="21"/>
              </w:rPr>
              <w:t>日</w:t>
            </w:r>
          </w:p>
        </w:tc>
      </w:tr>
      <w:tr w:rsidR="00F2606D">
        <w:trPr>
          <w:jc w:val="center"/>
        </w:trPr>
        <w:tc>
          <w:tcPr>
            <w:tcW w:w="2325" w:type="dxa"/>
            <w:shd w:val="clear" w:color="auto" w:fill="auto"/>
            <w:vAlign w:val="center"/>
          </w:tcPr>
          <w:p w:rsidR="00F2606D" w:rsidRDefault="00285A9D" w:rsidP="00E062B3">
            <w:pPr>
              <w:spacing w:line="380" w:lineRule="exact"/>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地点</w:t>
            </w:r>
          </w:p>
        </w:tc>
        <w:tc>
          <w:tcPr>
            <w:tcW w:w="6614" w:type="dxa"/>
            <w:shd w:val="clear" w:color="auto" w:fill="auto"/>
            <w:vAlign w:val="center"/>
          </w:tcPr>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四川德阳</w:t>
            </w:r>
          </w:p>
        </w:tc>
      </w:tr>
      <w:tr w:rsidR="00F2606D">
        <w:trPr>
          <w:jc w:val="center"/>
        </w:trPr>
        <w:tc>
          <w:tcPr>
            <w:tcW w:w="2325" w:type="dxa"/>
            <w:shd w:val="clear" w:color="auto" w:fill="auto"/>
            <w:vAlign w:val="center"/>
          </w:tcPr>
          <w:p w:rsidR="00F2606D" w:rsidRDefault="00285A9D" w:rsidP="00E062B3">
            <w:pPr>
              <w:spacing w:line="380" w:lineRule="exact"/>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上市公司接待人员姓名</w:t>
            </w:r>
          </w:p>
        </w:tc>
        <w:tc>
          <w:tcPr>
            <w:tcW w:w="6614" w:type="dxa"/>
            <w:shd w:val="clear" w:color="auto" w:fill="auto"/>
            <w:vAlign w:val="center"/>
          </w:tcPr>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公司副总经理、董事会秘书：李俊辉</w:t>
            </w:r>
          </w:p>
          <w:p w:rsidR="00F2606D" w:rsidRDefault="00285A9D" w:rsidP="00E062B3">
            <w:pPr>
              <w:spacing w:line="380" w:lineRule="exact"/>
              <w:rPr>
                <w:rFonts w:asciiTheme="minorEastAsia" w:eastAsiaTheme="minorEastAsia" w:hAnsiTheme="minorEastAsia"/>
                <w:bCs/>
                <w:iCs/>
                <w:szCs w:val="21"/>
              </w:rPr>
            </w:pPr>
            <w:r>
              <w:rPr>
                <w:rFonts w:asciiTheme="minorEastAsia" w:eastAsiaTheme="minorEastAsia" w:hAnsiTheme="minorEastAsia" w:hint="eastAsia"/>
                <w:bCs/>
                <w:iCs/>
                <w:szCs w:val="21"/>
              </w:rPr>
              <w:t>公司董事会办公室副主任、证券</w:t>
            </w:r>
            <w:r>
              <w:rPr>
                <w:rFonts w:asciiTheme="minorEastAsia" w:eastAsiaTheme="minorEastAsia" w:hAnsiTheme="minorEastAsia"/>
                <w:bCs/>
                <w:iCs/>
                <w:szCs w:val="21"/>
              </w:rPr>
              <w:t>事务代表</w:t>
            </w:r>
            <w:r>
              <w:rPr>
                <w:rFonts w:asciiTheme="minorEastAsia" w:eastAsiaTheme="minorEastAsia" w:hAnsiTheme="minorEastAsia" w:hint="eastAsia"/>
                <w:bCs/>
                <w:iCs/>
                <w:szCs w:val="21"/>
              </w:rPr>
              <w:t>：吴成柒</w:t>
            </w:r>
          </w:p>
        </w:tc>
      </w:tr>
      <w:tr w:rsidR="00F2606D">
        <w:trPr>
          <w:trHeight w:val="1757"/>
          <w:jc w:val="center"/>
        </w:trPr>
        <w:tc>
          <w:tcPr>
            <w:tcW w:w="2325" w:type="dxa"/>
            <w:shd w:val="clear" w:color="auto" w:fill="auto"/>
            <w:vAlign w:val="center"/>
          </w:tcPr>
          <w:p w:rsidR="00F2606D" w:rsidRDefault="00285A9D" w:rsidP="00E062B3">
            <w:pPr>
              <w:jc w:val="center"/>
              <w:rPr>
                <w:rFonts w:asciiTheme="minorEastAsia" w:eastAsiaTheme="minorEastAsia" w:hAnsiTheme="minorEastAsia"/>
                <w:b/>
                <w:bCs/>
                <w:iCs/>
                <w:szCs w:val="21"/>
              </w:rPr>
            </w:pPr>
            <w:r>
              <w:rPr>
                <w:rFonts w:asciiTheme="minorEastAsia" w:eastAsiaTheme="minorEastAsia" w:hAnsiTheme="minorEastAsia" w:hint="eastAsia"/>
                <w:b/>
                <w:bCs/>
                <w:iCs/>
                <w:szCs w:val="21"/>
              </w:rPr>
              <w:t>投资者关系活动主要内容介绍</w:t>
            </w:r>
          </w:p>
        </w:tc>
        <w:tc>
          <w:tcPr>
            <w:tcW w:w="6614" w:type="dxa"/>
            <w:shd w:val="clear" w:color="auto" w:fill="auto"/>
            <w:vAlign w:val="center"/>
          </w:tcPr>
          <w:p w:rsidR="00275EDF" w:rsidRDefault="00275EDF" w:rsidP="000D008B">
            <w:pPr>
              <w:spacing w:line="380" w:lineRule="exact"/>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一、参观公司展厅及生产车间</w:t>
            </w:r>
          </w:p>
          <w:p w:rsidR="00275EDF" w:rsidRDefault="00275EDF" w:rsidP="000D008B">
            <w:pPr>
              <w:spacing w:line="380" w:lineRule="exact"/>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二、互动交流主要内容</w:t>
            </w:r>
          </w:p>
          <w:p w:rsidR="00F2606D" w:rsidRDefault="00285A9D" w:rsidP="000D008B">
            <w:pPr>
              <w:spacing w:line="380" w:lineRule="exact"/>
              <w:ind w:firstLineChars="200" w:firstLine="422"/>
              <w:rPr>
                <w:rFonts w:asciiTheme="minorEastAsia" w:eastAsiaTheme="minorEastAsia" w:hAnsiTheme="minorEastAsia" w:cs="仿宋_GB2312"/>
                <w:b/>
                <w:sz w:val="18"/>
                <w:szCs w:val="21"/>
              </w:rPr>
            </w:pPr>
            <w:r>
              <w:rPr>
                <w:rFonts w:asciiTheme="minorEastAsia" w:eastAsiaTheme="minorEastAsia" w:hAnsiTheme="minorEastAsia" w:cs="仿宋_GB2312" w:hint="eastAsia"/>
                <w:b/>
                <w:szCs w:val="21"/>
              </w:rPr>
              <w:t>1．请公司介绍一下公司的主要业务情况。</w:t>
            </w:r>
          </w:p>
          <w:p w:rsidR="00CE472E" w:rsidRDefault="00CE472E" w:rsidP="000D008B">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机重装是我国高端重型装备研制旗舰企业，是世界重大技术装备领域少数具备极限制造能力的企业，柔性制造优势突出，覆盖重型装备全产业链。主营业务包括研发与制造、工程与服务、投资与运营三大板块。其中，研发与制造板块主要从事高端大型铸锻件（水电、火电、核电等）和成台套装备（冶金装备、锻压挤压装备、石化装备等）的研制，以及储能、节能环保、新材料等新兴业务领域产品研制；工程与服务板块主要从事国内外相关领域的工程总包及供应链服务、检验检测、物流运输、工程安装等业务；投资与运营板块主要从事清洁能源项目的投资运营。</w:t>
            </w:r>
          </w:p>
          <w:p w:rsidR="00CE472E" w:rsidRPr="00FF5BE5" w:rsidRDefault="00CE472E" w:rsidP="000D008B">
            <w:pPr>
              <w:spacing w:line="380" w:lineRule="exact"/>
              <w:ind w:firstLineChars="200" w:firstLine="422"/>
              <w:rPr>
                <w:rFonts w:asciiTheme="minorEastAsia" w:eastAsiaTheme="minorEastAsia" w:hAnsiTheme="minorEastAsia"/>
                <w:b/>
                <w:szCs w:val="21"/>
              </w:rPr>
            </w:pPr>
            <w:r w:rsidRPr="00FF5BE5">
              <w:rPr>
                <w:rFonts w:asciiTheme="minorEastAsia" w:eastAsiaTheme="minorEastAsia" w:hAnsiTheme="minorEastAsia" w:hint="eastAsia"/>
                <w:b/>
                <w:szCs w:val="21"/>
              </w:rPr>
              <w:t>2.</w:t>
            </w:r>
            <w:r w:rsidR="00FF5BE5" w:rsidRPr="00FF5BE5">
              <w:rPr>
                <w:rFonts w:asciiTheme="minorEastAsia" w:eastAsiaTheme="minorEastAsia" w:hAnsiTheme="minorEastAsia" w:hint="eastAsia"/>
                <w:b/>
                <w:szCs w:val="21"/>
              </w:rPr>
              <w:t>公司是否为小型堆核电提供产品？</w:t>
            </w:r>
          </w:p>
          <w:p w:rsidR="00FF5BE5" w:rsidRPr="00FF5BE5" w:rsidRDefault="00FF5BE5" w:rsidP="000D008B">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w:t>
            </w:r>
            <w:r w:rsidRPr="00FF5BE5">
              <w:rPr>
                <w:rFonts w:ascii="宋体" w:hAnsi="宋体" w:hint="eastAsia"/>
                <w:szCs w:val="21"/>
              </w:rPr>
              <w:t>，</w:t>
            </w:r>
            <w:r>
              <w:rPr>
                <w:rFonts w:ascii="宋体" w:hAnsi="宋体" w:hint="eastAsia"/>
                <w:szCs w:val="21"/>
              </w:rPr>
              <w:t>公司</w:t>
            </w:r>
            <w:r w:rsidRPr="00FF5BE5">
              <w:rPr>
                <w:rFonts w:ascii="宋体" w:hAnsi="宋体"/>
                <w:color w:val="333333"/>
                <w:szCs w:val="21"/>
                <w:shd w:val="clear" w:color="auto" w:fill="FFFFFF"/>
              </w:rPr>
              <w:t>研制的玲龙一号（ACP100）小型堆波动管评定件通过中国核动力研究设计院核级设备制品技术评定中心专家组评定，各项技术指标均满足技术规格书和产品图纸要求，产品质量优异，标志着</w:t>
            </w:r>
            <w:r>
              <w:rPr>
                <w:rFonts w:ascii="宋体" w:hAnsi="宋体" w:hint="eastAsia"/>
                <w:color w:val="333333"/>
                <w:szCs w:val="21"/>
                <w:shd w:val="clear" w:color="auto" w:fill="FFFFFF"/>
              </w:rPr>
              <w:t>公司</w:t>
            </w:r>
            <w:r w:rsidRPr="00FF5BE5">
              <w:rPr>
                <w:rFonts w:ascii="宋体" w:hAnsi="宋体"/>
                <w:color w:val="333333"/>
                <w:szCs w:val="21"/>
                <w:shd w:val="clear" w:color="auto" w:fill="FFFFFF"/>
              </w:rPr>
              <w:t>完全掌握了该堆型波动管制造技术，并具备批量化生产能力。</w:t>
            </w:r>
            <w:r w:rsidRPr="00FF5BE5">
              <w:rPr>
                <w:rFonts w:asciiTheme="minorEastAsia" w:eastAsiaTheme="minorEastAsia" w:hAnsiTheme="minorEastAsia"/>
                <w:color w:val="333333"/>
                <w:szCs w:val="21"/>
                <w:shd w:val="clear" w:color="auto" w:fill="FFFFFF"/>
              </w:rPr>
              <w:t>玲龙一号（ACP100）波动管评定件形成的关键制造技术可覆盖海南昌江多用途模块式小型堆波动管产品。此外，玲龙一号（ACP100）小型</w:t>
            </w:r>
            <w:r w:rsidRPr="00FF5BE5">
              <w:rPr>
                <w:rFonts w:asciiTheme="minorEastAsia" w:eastAsiaTheme="minorEastAsia" w:hAnsiTheme="minorEastAsia"/>
                <w:color w:val="333333"/>
                <w:szCs w:val="21"/>
                <w:shd w:val="clear" w:color="auto" w:fill="FFFFFF"/>
              </w:rPr>
              <w:lastRenderedPageBreak/>
              <w:t>堆为全球首个陆上商用模块化小堆，是多功能模块化小型压水堆堆型，是继“华龙一号”后的又一自主创新重大成果。</w:t>
            </w:r>
          </w:p>
          <w:p w:rsidR="00CE472E" w:rsidRPr="006B1DAE" w:rsidRDefault="006B1DAE" w:rsidP="000D008B">
            <w:pPr>
              <w:spacing w:line="380" w:lineRule="exact"/>
              <w:ind w:firstLineChars="200" w:firstLine="422"/>
              <w:rPr>
                <w:rFonts w:ascii="宋体" w:hAnsi="宋体"/>
                <w:b/>
                <w:szCs w:val="21"/>
              </w:rPr>
            </w:pPr>
            <w:r w:rsidRPr="006B1DAE">
              <w:rPr>
                <w:rFonts w:ascii="宋体" w:hAnsi="宋体" w:hint="eastAsia"/>
                <w:b/>
                <w:szCs w:val="21"/>
              </w:rPr>
              <w:t>3.公司的制造服务业务主要包括哪些？</w:t>
            </w:r>
          </w:p>
          <w:p w:rsidR="006B1DAE" w:rsidRPr="00FF5BE5" w:rsidRDefault="006B1DAE" w:rsidP="000D008B">
            <w:pPr>
              <w:spacing w:line="380" w:lineRule="exact"/>
              <w:ind w:firstLineChars="200" w:firstLine="420"/>
              <w:rPr>
                <w:rFonts w:ascii="宋体" w:hAnsi="宋体"/>
                <w:szCs w:val="21"/>
              </w:rPr>
            </w:pPr>
            <w:r>
              <w:rPr>
                <w:rFonts w:ascii="宋体" w:hAnsi="宋体" w:hint="eastAsia"/>
                <w:szCs w:val="21"/>
              </w:rPr>
              <w:t>公司制造服务业务主要是利用公司重大技术装备研发、设计与制造等方面优势，为国内外客户提供高端装备、备品备件等产品贸易、检验检测、物流运输等服务业务。</w:t>
            </w:r>
          </w:p>
          <w:p w:rsidR="00F2606D" w:rsidRPr="000D008B" w:rsidRDefault="000D008B" w:rsidP="000D008B">
            <w:pPr>
              <w:spacing w:line="380" w:lineRule="exact"/>
              <w:ind w:firstLineChars="200" w:firstLine="422"/>
              <w:rPr>
                <w:rFonts w:asciiTheme="minorEastAsia" w:eastAsiaTheme="minorEastAsia" w:hAnsiTheme="minorEastAsia" w:cstheme="minorBidi"/>
                <w:b/>
                <w:bCs/>
                <w:sz w:val="18"/>
                <w:szCs w:val="18"/>
              </w:rPr>
            </w:pPr>
            <w:r w:rsidRPr="000D008B">
              <w:rPr>
                <w:rFonts w:ascii="宋体" w:hAnsi="宋体" w:hint="eastAsia"/>
                <w:b/>
                <w:szCs w:val="21"/>
              </w:rPr>
              <w:t>4.公司在可控核聚变方面主要有哪些布局和产品？</w:t>
            </w:r>
          </w:p>
          <w:p w:rsidR="00F2606D" w:rsidRDefault="00285A9D" w:rsidP="000D008B">
            <w:pPr>
              <w:spacing w:line="380" w:lineRule="exact"/>
              <w:ind w:firstLineChars="200" w:firstLine="420"/>
              <w:rPr>
                <w:rFonts w:asciiTheme="minorEastAsia" w:eastAsiaTheme="minorEastAsia" w:hAnsiTheme="minorEastAsia" w:cstheme="minorBidi"/>
              </w:rPr>
            </w:pPr>
            <w:r>
              <w:rPr>
                <w:rFonts w:asciiTheme="minorEastAsia" w:eastAsiaTheme="minorEastAsia" w:hAnsiTheme="minorEastAsia" w:cstheme="minorBidi" w:hint="eastAsia"/>
              </w:rPr>
              <w:t>“十四五”以来，公司积极布局未来产业，加强可控核聚变装置关键零部件技术研发及产业化应用研究，先后突破了低温超导磁体材料制备、超深坡口焊接、超大构件加工变形控制等关键核心技术，完成了聚变堆主机关键系统综合研究设施CRATFTF线圈盒AU3先行件、全球首台全高温超导托卡马克装置HH-70TF线圈盒等产品的制造。基于前期的技术研发成果和制造业绩，公司于2023年11月获得了紧凑型聚变能实验装置BEST TF线圈盒的首套制造项目，目前项目推进顺利，将于近期完工交货。今年一季度，公司又成功签订了BEST TF线圈盒的批量化制造订单，推动公司产业结构调整迈出坚实一步。</w:t>
            </w:r>
          </w:p>
        </w:tc>
      </w:tr>
      <w:tr w:rsidR="00F2606D">
        <w:trPr>
          <w:trHeight w:val="706"/>
          <w:jc w:val="center"/>
        </w:trPr>
        <w:tc>
          <w:tcPr>
            <w:tcW w:w="2325" w:type="dxa"/>
            <w:shd w:val="clear" w:color="auto" w:fill="auto"/>
            <w:vAlign w:val="center"/>
          </w:tcPr>
          <w:p w:rsidR="00F2606D" w:rsidRDefault="00285A9D">
            <w:pPr>
              <w:jc w:val="center"/>
              <w:rPr>
                <w:rFonts w:asciiTheme="minorEastAsia" w:hAnsiTheme="minorEastAsia"/>
                <w:b/>
                <w:sz w:val="24"/>
                <w:szCs w:val="24"/>
              </w:rPr>
            </w:pPr>
            <w:r>
              <w:rPr>
                <w:rFonts w:asciiTheme="minorEastAsia" w:hAnsiTheme="minorEastAsia" w:hint="eastAsia"/>
                <w:b/>
                <w:sz w:val="24"/>
                <w:szCs w:val="24"/>
              </w:rPr>
              <w:lastRenderedPageBreak/>
              <w:t>附件清单</w:t>
            </w:r>
          </w:p>
          <w:p w:rsidR="00F2606D" w:rsidRDefault="00285A9D">
            <w:pPr>
              <w:jc w:val="center"/>
              <w:rPr>
                <w:rFonts w:asciiTheme="minorEastAsia" w:hAnsiTheme="minorEastAsia"/>
                <w:b/>
                <w:sz w:val="24"/>
                <w:szCs w:val="24"/>
              </w:rPr>
            </w:pPr>
            <w:r>
              <w:rPr>
                <w:rFonts w:asciiTheme="minorEastAsia" w:hAnsiTheme="minorEastAsia" w:hint="eastAsia"/>
                <w:b/>
                <w:sz w:val="24"/>
                <w:szCs w:val="24"/>
              </w:rPr>
              <w:t>（如有）</w:t>
            </w:r>
          </w:p>
        </w:tc>
        <w:tc>
          <w:tcPr>
            <w:tcW w:w="6614" w:type="dxa"/>
            <w:shd w:val="clear" w:color="auto" w:fill="auto"/>
            <w:vAlign w:val="center"/>
          </w:tcPr>
          <w:p w:rsidR="00F2606D" w:rsidRDefault="00285A9D">
            <w:pPr>
              <w:pStyle w:val="ac"/>
              <w:spacing w:line="360" w:lineRule="exact"/>
              <w:ind w:firstLineChars="0" w:firstLine="0"/>
              <w:rPr>
                <w:rFonts w:asciiTheme="minorEastAsia" w:hAnsiTheme="minorEastAsia"/>
                <w:b/>
                <w:sz w:val="24"/>
                <w:szCs w:val="21"/>
              </w:rPr>
            </w:pPr>
            <w:r>
              <w:rPr>
                <w:rFonts w:asciiTheme="minorEastAsia" w:hAnsiTheme="minorEastAsia" w:hint="eastAsia"/>
                <w:b/>
                <w:sz w:val="24"/>
                <w:szCs w:val="21"/>
              </w:rPr>
              <w:t>无</w:t>
            </w:r>
          </w:p>
        </w:tc>
      </w:tr>
      <w:tr w:rsidR="00F2606D">
        <w:trPr>
          <w:trHeight w:val="460"/>
          <w:jc w:val="center"/>
        </w:trPr>
        <w:tc>
          <w:tcPr>
            <w:tcW w:w="2325" w:type="dxa"/>
            <w:shd w:val="clear" w:color="auto" w:fill="auto"/>
            <w:vAlign w:val="center"/>
          </w:tcPr>
          <w:p w:rsidR="00F2606D" w:rsidRDefault="00285A9D">
            <w:pPr>
              <w:jc w:val="center"/>
              <w:rPr>
                <w:rFonts w:asciiTheme="minorEastAsia" w:hAnsiTheme="minorEastAsia"/>
                <w:b/>
                <w:sz w:val="24"/>
                <w:szCs w:val="24"/>
              </w:rPr>
            </w:pPr>
            <w:r>
              <w:rPr>
                <w:rFonts w:asciiTheme="minorEastAsia" w:hAnsiTheme="minorEastAsia" w:hint="eastAsia"/>
                <w:b/>
                <w:sz w:val="24"/>
                <w:szCs w:val="24"/>
              </w:rPr>
              <w:t>日期</w:t>
            </w:r>
          </w:p>
        </w:tc>
        <w:tc>
          <w:tcPr>
            <w:tcW w:w="6614" w:type="dxa"/>
            <w:shd w:val="clear" w:color="auto" w:fill="auto"/>
            <w:vAlign w:val="center"/>
          </w:tcPr>
          <w:p w:rsidR="00F2606D" w:rsidRDefault="00285A9D" w:rsidP="00FF5BE5">
            <w:pPr>
              <w:rPr>
                <w:rFonts w:asciiTheme="minorEastAsia" w:hAnsiTheme="minorEastAsia"/>
                <w:b/>
                <w:sz w:val="24"/>
                <w:szCs w:val="21"/>
              </w:rPr>
            </w:pPr>
            <w:r>
              <w:rPr>
                <w:rFonts w:asciiTheme="minorEastAsia" w:hAnsiTheme="minorEastAsia" w:hint="eastAsia"/>
                <w:b/>
                <w:sz w:val="24"/>
                <w:szCs w:val="21"/>
              </w:rPr>
              <w:t>2</w:t>
            </w:r>
            <w:r>
              <w:rPr>
                <w:rFonts w:asciiTheme="minorEastAsia" w:hAnsiTheme="minorEastAsia"/>
                <w:b/>
                <w:sz w:val="24"/>
                <w:szCs w:val="21"/>
              </w:rPr>
              <w:t>02</w:t>
            </w:r>
            <w:r>
              <w:rPr>
                <w:rFonts w:asciiTheme="minorEastAsia" w:hAnsiTheme="minorEastAsia" w:hint="eastAsia"/>
                <w:b/>
                <w:sz w:val="24"/>
                <w:szCs w:val="21"/>
              </w:rPr>
              <w:t>5年</w:t>
            </w:r>
            <w:r w:rsidR="00FF5BE5">
              <w:rPr>
                <w:rFonts w:asciiTheme="minorEastAsia" w:hAnsiTheme="minorEastAsia" w:hint="eastAsia"/>
                <w:b/>
                <w:sz w:val="24"/>
                <w:szCs w:val="21"/>
              </w:rPr>
              <w:t>7</w:t>
            </w:r>
            <w:r>
              <w:rPr>
                <w:rFonts w:asciiTheme="minorEastAsia" w:hAnsiTheme="minorEastAsia" w:hint="eastAsia"/>
                <w:b/>
                <w:sz w:val="24"/>
                <w:szCs w:val="21"/>
              </w:rPr>
              <w:t>月1</w:t>
            </w:r>
            <w:r w:rsidR="00FF5BE5">
              <w:rPr>
                <w:rFonts w:asciiTheme="minorEastAsia" w:hAnsiTheme="minorEastAsia" w:hint="eastAsia"/>
                <w:b/>
                <w:sz w:val="24"/>
                <w:szCs w:val="21"/>
              </w:rPr>
              <w:t>7</w:t>
            </w:r>
            <w:r>
              <w:rPr>
                <w:rFonts w:asciiTheme="minorEastAsia" w:hAnsiTheme="minorEastAsia" w:hint="eastAsia"/>
                <w:b/>
                <w:sz w:val="24"/>
                <w:szCs w:val="21"/>
              </w:rPr>
              <w:t>日</w:t>
            </w:r>
          </w:p>
        </w:tc>
      </w:tr>
    </w:tbl>
    <w:p w:rsidR="00F2606D" w:rsidRDefault="00F2606D">
      <w:pPr>
        <w:ind w:firstLineChars="200" w:firstLine="480"/>
        <w:rPr>
          <w:rFonts w:asciiTheme="minorEastAsia" w:eastAsiaTheme="minorEastAsia" w:hAnsiTheme="minorEastAsia"/>
          <w:sz w:val="24"/>
          <w:szCs w:val="24"/>
        </w:rPr>
      </w:pPr>
    </w:p>
    <w:sectPr w:rsidR="00F2606D" w:rsidSect="00F2606D">
      <w:headerReference w:type="default" r:id="rId7"/>
      <w:footerReference w:type="default" r:id="rId8"/>
      <w:pgSz w:w="11906" w:h="16838"/>
      <w:pgMar w:top="1440" w:right="1644" w:bottom="1588" w:left="1644"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4A" w:rsidRDefault="004F304A" w:rsidP="00F2606D">
      <w:r>
        <w:separator/>
      </w:r>
    </w:p>
  </w:endnote>
  <w:endnote w:type="continuationSeparator" w:id="1">
    <w:p w:rsidR="004F304A" w:rsidRDefault="004F304A" w:rsidP="00F26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539715"/>
    </w:sdtPr>
    <w:sdtContent>
      <w:p w:rsidR="00F2606D" w:rsidRDefault="00BE6082">
        <w:pPr>
          <w:pStyle w:val="a6"/>
          <w:jc w:val="center"/>
        </w:pPr>
        <w:r>
          <w:rPr>
            <w:rFonts w:asciiTheme="minorEastAsia" w:eastAsiaTheme="minorEastAsia" w:hAnsiTheme="minorEastAsia"/>
            <w:sz w:val="21"/>
            <w:szCs w:val="21"/>
          </w:rPr>
          <w:fldChar w:fldCharType="begin"/>
        </w:r>
        <w:r w:rsidR="00285A9D">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sidR="005C7B01" w:rsidRPr="005C7B01">
          <w:rPr>
            <w:rFonts w:asciiTheme="minorEastAsia" w:eastAsiaTheme="minorEastAsia" w:hAnsiTheme="minorEastAsia"/>
            <w:noProof/>
            <w:sz w:val="21"/>
            <w:szCs w:val="21"/>
            <w:lang w:val="zh-CN"/>
          </w:rPr>
          <w:t>-</w:t>
        </w:r>
        <w:r w:rsidR="005C7B01">
          <w:rPr>
            <w:rFonts w:asciiTheme="minorEastAsia" w:eastAsiaTheme="minorEastAsia" w:hAnsiTheme="minorEastAsia"/>
            <w:noProof/>
            <w:sz w:val="21"/>
            <w:szCs w:val="21"/>
          </w:rPr>
          <w:t xml:space="preserve"> 1 -</w:t>
        </w:r>
        <w:r>
          <w:rPr>
            <w:rFonts w:asciiTheme="minorEastAsia" w:eastAsiaTheme="minorEastAsia" w:hAnsiTheme="minorEastAsia"/>
            <w:sz w:val="21"/>
            <w:szCs w:val="21"/>
          </w:rPr>
          <w:fldChar w:fldCharType="end"/>
        </w:r>
      </w:p>
    </w:sdtContent>
  </w:sdt>
  <w:p w:rsidR="00F2606D" w:rsidRDefault="00F260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4A" w:rsidRDefault="004F304A" w:rsidP="00F2606D">
      <w:r>
        <w:separator/>
      </w:r>
    </w:p>
  </w:footnote>
  <w:footnote w:type="continuationSeparator" w:id="1">
    <w:p w:rsidR="004F304A" w:rsidRDefault="004F304A" w:rsidP="00F26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6D" w:rsidRDefault="00285A9D">
    <w:pPr>
      <w:pStyle w:val="a7"/>
    </w:pPr>
    <w:r>
      <w:rPr>
        <w:rFonts w:hint="eastAsia"/>
      </w:rPr>
      <w:t>证券代码：</w:t>
    </w:r>
    <w:r>
      <w:rPr>
        <w:rFonts w:hint="eastAsia"/>
      </w:rPr>
      <w:t xml:space="preserve">601399                                                          </w:t>
    </w:r>
    <w:r>
      <w:rPr>
        <w:rFonts w:hint="eastAsia"/>
      </w:rPr>
      <w:t>证券简称：国机重装</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九龙珠">
    <w15:presenceInfo w15:providerId="WPS Office" w15:userId="4119538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QyYTIxMjk0YmVkZWQ3MTZhNzJmNDlmZTNiMWM0NDgifQ=="/>
  </w:docVars>
  <w:rsids>
    <w:rsidRoot w:val="00D0027B"/>
    <w:rsid w:val="0004356F"/>
    <w:rsid w:val="00043AC7"/>
    <w:rsid w:val="00045DC9"/>
    <w:rsid w:val="00055062"/>
    <w:rsid w:val="00083617"/>
    <w:rsid w:val="000861EA"/>
    <w:rsid w:val="00087A92"/>
    <w:rsid w:val="000D008B"/>
    <w:rsid w:val="000D0BCE"/>
    <w:rsid w:val="00116051"/>
    <w:rsid w:val="00120DB3"/>
    <w:rsid w:val="00125F02"/>
    <w:rsid w:val="001465CA"/>
    <w:rsid w:val="00173F52"/>
    <w:rsid w:val="001D5330"/>
    <w:rsid w:val="001E5897"/>
    <w:rsid w:val="00220552"/>
    <w:rsid w:val="00226D8C"/>
    <w:rsid w:val="00231B20"/>
    <w:rsid w:val="002569A8"/>
    <w:rsid w:val="002616E4"/>
    <w:rsid w:val="00264AC8"/>
    <w:rsid w:val="00275EDF"/>
    <w:rsid w:val="0027634C"/>
    <w:rsid w:val="0027732E"/>
    <w:rsid w:val="00285A9D"/>
    <w:rsid w:val="002B14D9"/>
    <w:rsid w:val="002E4FB5"/>
    <w:rsid w:val="002E5347"/>
    <w:rsid w:val="002F71A0"/>
    <w:rsid w:val="00303330"/>
    <w:rsid w:val="003034E6"/>
    <w:rsid w:val="00345648"/>
    <w:rsid w:val="003511E8"/>
    <w:rsid w:val="0037747A"/>
    <w:rsid w:val="00380FA4"/>
    <w:rsid w:val="003C2B11"/>
    <w:rsid w:val="003E2C4F"/>
    <w:rsid w:val="003E3B3A"/>
    <w:rsid w:val="00406449"/>
    <w:rsid w:val="00416CBC"/>
    <w:rsid w:val="00424884"/>
    <w:rsid w:val="00447985"/>
    <w:rsid w:val="004617EA"/>
    <w:rsid w:val="004631D5"/>
    <w:rsid w:val="00480ED6"/>
    <w:rsid w:val="004A73F3"/>
    <w:rsid w:val="004E281C"/>
    <w:rsid w:val="004F1AAE"/>
    <w:rsid w:val="004F304A"/>
    <w:rsid w:val="004F41E7"/>
    <w:rsid w:val="00511DEC"/>
    <w:rsid w:val="0051263E"/>
    <w:rsid w:val="0051719A"/>
    <w:rsid w:val="00521924"/>
    <w:rsid w:val="005A5BAF"/>
    <w:rsid w:val="005C4248"/>
    <w:rsid w:val="005C7B01"/>
    <w:rsid w:val="005E6E36"/>
    <w:rsid w:val="005F7D08"/>
    <w:rsid w:val="006104D6"/>
    <w:rsid w:val="00630447"/>
    <w:rsid w:val="00632EEC"/>
    <w:rsid w:val="006374F9"/>
    <w:rsid w:val="00661A5B"/>
    <w:rsid w:val="00676CED"/>
    <w:rsid w:val="00682CF2"/>
    <w:rsid w:val="006B1DAE"/>
    <w:rsid w:val="006B3C5E"/>
    <w:rsid w:val="006C1952"/>
    <w:rsid w:val="006C4CBB"/>
    <w:rsid w:val="006D0E74"/>
    <w:rsid w:val="0070537C"/>
    <w:rsid w:val="007061D3"/>
    <w:rsid w:val="00713E10"/>
    <w:rsid w:val="007549F3"/>
    <w:rsid w:val="007601B9"/>
    <w:rsid w:val="007934A7"/>
    <w:rsid w:val="007C608A"/>
    <w:rsid w:val="007C6FA4"/>
    <w:rsid w:val="007D3C0F"/>
    <w:rsid w:val="00804856"/>
    <w:rsid w:val="00845BF7"/>
    <w:rsid w:val="0086391A"/>
    <w:rsid w:val="00864EF0"/>
    <w:rsid w:val="00895007"/>
    <w:rsid w:val="00895DA7"/>
    <w:rsid w:val="008A67AE"/>
    <w:rsid w:val="008C5B67"/>
    <w:rsid w:val="008E5C3B"/>
    <w:rsid w:val="008F0A8B"/>
    <w:rsid w:val="0090522B"/>
    <w:rsid w:val="00914530"/>
    <w:rsid w:val="00926FAD"/>
    <w:rsid w:val="00951B61"/>
    <w:rsid w:val="009624F8"/>
    <w:rsid w:val="00981122"/>
    <w:rsid w:val="009B609B"/>
    <w:rsid w:val="009D04AE"/>
    <w:rsid w:val="009E17C1"/>
    <w:rsid w:val="00A01867"/>
    <w:rsid w:val="00A24651"/>
    <w:rsid w:val="00A41AD5"/>
    <w:rsid w:val="00A43551"/>
    <w:rsid w:val="00A471DA"/>
    <w:rsid w:val="00A506DC"/>
    <w:rsid w:val="00A7001E"/>
    <w:rsid w:val="00A95CFC"/>
    <w:rsid w:val="00AA7C15"/>
    <w:rsid w:val="00AB39B5"/>
    <w:rsid w:val="00AB3E6F"/>
    <w:rsid w:val="00AC14A5"/>
    <w:rsid w:val="00AC4CE6"/>
    <w:rsid w:val="00AD3B86"/>
    <w:rsid w:val="00AE1360"/>
    <w:rsid w:val="00AE59A0"/>
    <w:rsid w:val="00AF402E"/>
    <w:rsid w:val="00AF678F"/>
    <w:rsid w:val="00B119B5"/>
    <w:rsid w:val="00B228D6"/>
    <w:rsid w:val="00B23004"/>
    <w:rsid w:val="00B4092B"/>
    <w:rsid w:val="00B443ED"/>
    <w:rsid w:val="00B93079"/>
    <w:rsid w:val="00B931E8"/>
    <w:rsid w:val="00B96BA7"/>
    <w:rsid w:val="00BE1D06"/>
    <w:rsid w:val="00BE6082"/>
    <w:rsid w:val="00C0557D"/>
    <w:rsid w:val="00C12C0A"/>
    <w:rsid w:val="00C247E6"/>
    <w:rsid w:val="00C30AE5"/>
    <w:rsid w:val="00C77602"/>
    <w:rsid w:val="00C82924"/>
    <w:rsid w:val="00CA337F"/>
    <w:rsid w:val="00CA5A45"/>
    <w:rsid w:val="00CC7331"/>
    <w:rsid w:val="00CD32B3"/>
    <w:rsid w:val="00CE472E"/>
    <w:rsid w:val="00CE58D5"/>
    <w:rsid w:val="00CF08FA"/>
    <w:rsid w:val="00CF0B1E"/>
    <w:rsid w:val="00CF6ED3"/>
    <w:rsid w:val="00D0027B"/>
    <w:rsid w:val="00D05850"/>
    <w:rsid w:val="00D067AF"/>
    <w:rsid w:val="00D1126D"/>
    <w:rsid w:val="00D40193"/>
    <w:rsid w:val="00D465EE"/>
    <w:rsid w:val="00D54E00"/>
    <w:rsid w:val="00D67852"/>
    <w:rsid w:val="00D71010"/>
    <w:rsid w:val="00DF4D0B"/>
    <w:rsid w:val="00E062B3"/>
    <w:rsid w:val="00E1107F"/>
    <w:rsid w:val="00E2508A"/>
    <w:rsid w:val="00E35025"/>
    <w:rsid w:val="00E43ECD"/>
    <w:rsid w:val="00E45885"/>
    <w:rsid w:val="00E50D70"/>
    <w:rsid w:val="00E52CFC"/>
    <w:rsid w:val="00E561E7"/>
    <w:rsid w:val="00E648A5"/>
    <w:rsid w:val="00E932A2"/>
    <w:rsid w:val="00ED50A7"/>
    <w:rsid w:val="00EF3611"/>
    <w:rsid w:val="00F13F78"/>
    <w:rsid w:val="00F15DB1"/>
    <w:rsid w:val="00F2606D"/>
    <w:rsid w:val="00F33094"/>
    <w:rsid w:val="00F3549F"/>
    <w:rsid w:val="00F62AF3"/>
    <w:rsid w:val="00F77931"/>
    <w:rsid w:val="00F82DCD"/>
    <w:rsid w:val="00F90161"/>
    <w:rsid w:val="00FB5341"/>
    <w:rsid w:val="00FC0063"/>
    <w:rsid w:val="00FC0543"/>
    <w:rsid w:val="00FC1649"/>
    <w:rsid w:val="00FC21C6"/>
    <w:rsid w:val="00FF5BE5"/>
    <w:rsid w:val="023F2FE7"/>
    <w:rsid w:val="03525F75"/>
    <w:rsid w:val="037B54CB"/>
    <w:rsid w:val="045B52FD"/>
    <w:rsid w:val="09D753ED"/>
    <w:rsid w:val="0BA57785"/>
    <w:rsid w:val="0E474548"/>
    <w:rsid w:val="1053332C"/>
    <w:rsid w:val="14B82C55"/>
    <w:rsid w:val="178339E8"/>
    <w:rsid w:val="19F4079A"/>
    <w:rsid w:val="1BB235FD"/>
    <w:rsid w:val="21333461"/>
    <w:rsid w:val="21DC439F"/>
    <w:rsid w:val="227D7AA0"/>
    <w:rsid w:val="282E4521"/>
    <w:rsid w:val="29971577"/>
    <w:rsid w:val="2A473AAA"/>
    <w:rsid w:val="2DF45098"/>
    <w:rsid w:val="349B6ECC"/>
    <w:rsid w:val="367F090C"/>
    <w:rsid w:val="3E7E351E"/>
    <w:rsid w:val="4A0B51AB"/>
    <w:rsid w:val="4B017CA9"/>
    <w:rsid w:val="4D5A127B"/>
    <w:rsid w:val="50152FAF"/>
    <w:rsid w:val="50647D7E"/>
    <w:rsid w:val="5D8F7BE2"/>
    <w:rsid w:val="5F1579E4"/>
    <w:rsid w:val="66DC63AD"/>
    <w:rsid w:val="6B2F3693"/>
    <w:rsid w:val="6B9C0E4F"/>
    <w:rsid w:val="6BA51E03"/>
    <w:rsid w:val="6D3A2C9F"/>
    <w:rsid w:val="78A70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6D"/>
    <w:pPr>
      <w:widowControl w:val="0"/>
      <w:jc w:val="both"/>
    </w:pPr>
    <w:rPr>
      <w:kern w:val="2"/>
      <w:sz w:val="21"/>
    </w:rPr>
  </w:style>
  <w:style w:type="paragraph" w:styleId="1">
    <w:name w:val="heading 1"/>
    <w:basedOn w:val="a"/>
    <w:next w:val="a"/>
    <w:link w:val="1Char"/>
    <w:uiPriority w:val="99"/>
    <w:qFormat/>
    <w:rsid w:val="00F260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60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260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2606D"/>
    <w:pPr>
      <w:spacing w:after="120"/>
    </w:pPr>
    <w:rPr>
      <w:szCs w:val="21"/>
    </w:rPr>
  </w:style>
  <w:style w:type="paragraph" w:styleId="a4">
    <w:name w:val="Plain Text"/>
    <w:basedOn w:val="a"/>
    <w:qFormat/>
    <w:rsid w:val="00F2606D"/>
    <w:rPr>
      <w:rFonts w:ascii="宋体" w:hAnsi="Courier New"/>
    </w:rPr>
  </w:style>
  <w:style w:type="paragraph" w:styleId="a5">
    <w:name w:val="Balloon Text"/>
    <w:basedOn w:val="a"/>
    <w:link w:val="Char0"/>
    <w:uiPriority w:val="99"/>
    <w:semiHidden/>
    <w:unhideWhenUsed/>
    <w:qFormat/>
    <w:rsid w:val="00F2606D"/>
    <w:rPr>
      <w:sz w:val="18"/>
      <w:szCs w:val="18"/>
    </w:rPr>
  </w:style>
  <w:style w:type="paragraph" w:styleId="a6">
    <w:name w:val="footer"/>
    <w:basedOn w:val="a"/>
    <w:link w:val="Char1"/>
    <w:uiPriority w:val="99"/>
    <w:unhideWhenUsed/>
    <w:qFormat/>
    <w:rsid w:val="00F2606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260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2606D"/>
    <w:rPr>
      <w:sz w:val="28"/>
    </w:rPr>
  </w:style>
  <w:style w:type="paragraph" w:styleId="20">
    <w:name w:val="toc 2"/>
    <w:basedOn w:val="a"/>
    <w:next w:val="a"/>
    <w:uiPriority w:val="39"/>
    <w:unhideWhenUsed/>
    <w:qFormat/>
    <w:rsid w:val="00F2606D"/>
    <w:pPr>
      <w:ind w:leftChars="200" w:left="420"/>
    </w:pPr>
    <w:rPr>
      <w:sz w:val="28"/>
    </w:rPr>
  </w:style>
  <w:style w:type="paragraph" w:styleId="a8">
    <w:name w:val="Normal (Web)"/>
    <w:basedOn w:val="a"/>
    <w:uiPriority w:val="99"/>
    <w:qFormat/>
    <w:rsid w:val="00F2606D"/>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character" w:styleId="a9">
    <w:name w:val="Strong"/>
    <w:basedOn w:val="a0"/>
    <w:uiPriority w:val="22"/>
    <w:qFormat/>
    <w:rsid w:val="00F2606D"/>
    <w:rPr>
      <w:b/>
      <w:bCs/>
    </w:rPr>
  </w:style>
  <w:style w:type="character" w:styleId="aa">
    <w:name w:val="Hyperlink"/>
    <w:basedOn w:val="a0"/>
    <w:uiPriority w:val="99"/>
    <w:unhideWhenUsed/>
    <w:qFormat/>
    <w:rsid w:val="00F2606D"/>
    <w:rPr>
      <w:color w:val="0000FF" w:themeColor="hyperlink"/>
      <w:u w:val="single"/>
    </w:rPr>
  </w:style>
  <w:style w:type="character" w:customStyle="1" w:styleId="1Char">
    <w:name w:val="标题 1 Char"/>
    <w:basedOn w:val="a0"/>
    <w:link w:val="1"/>
    <w:uiPriority w:val="99"/>
    <w:qFormat/>
    <w:rsid w:val="00F2606D"/>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F2606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F2606D"/>
    <w:rPr>
      <w:rFonts w:ascii="Times New Roman" w:eastAsia="宋体" w:hAnsi="Times New Roman" w:cs="Times New Roman"/>
      <w:b/>
      <w:bCs/>
      <w:sz w:val="32"/>
      <w:szCs w:val="32"/>
    </w:rPr>
  </w:style>
  <w:style w:type="paragraph" w:styleId="ab">
    <w:name w:val="No Spacing"/>
    <w:link w:val="Char3"/>
    <w:uiPriority w:val="1"/>
    <w:qFormat/>
    <w:rsid w:val="00F2606D"/>
    <w:rPr>
      <w:rFonts w:asciiTheme="minorHAnsi" w:eastAsiaTheme="minorEastAsia" w:hAnsiTheme="minorHAnsi" w:cstheme="minorBidi"/>
      <w:sz w:val="22"/>
      <w:szCs w:val="22"/>
    </w:rPr>
  </w:style>
  <w:style w:type="character" w:customStyle="1" w:styleId="Char3">
    <w:name w:val="无间隔 Char"/>
    <w:basedOn w:val="a0"/>
    <w:link w:val="ab"/>
    <w:uiPriority w:val="1"/>
    <w:qFormat/>
    <w:rsid w:val="00F2606D"/>
    <w:rPr>
      <w:kern w:val="0"/>
      <w:sz w:val="22"/>
    </w:rPr>
  </w:style>
  <w:style w:type="character" w:customStyle="1" w:styleId="Char0">
    <w:name w:val="批注框文本 Char"/>
    <w:basedOn w:val="a0"/>
    <w:link w:val="a5"/>
    <w:uiPriority w:val="99"/>
    <w:semiHidden/>
    <w:qFormat/>
    <w:rsid w:val="00F2606D"/>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F2606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7"/>
    <w:uiPriority w:val="99"/>
    <w:qFormat/>
    <w:rsid w:val="00F2606D"/>
    <w:rPr>
      <w:rFonts w:ascii="Times New Roman" w:eastAsia="宋体" w:hAnsi="Times New Roman" w:cs="Times New Roman"/>
      <w:sz w:val="18"/>
      <w:szCs w:val="18"/>
    </w:rPr>
  </w:style>
  <w:style w:type="character" w:customStyle="1" w:styleId="Char1">
    <w:name w:val="页脚 Char"/>
    <w:basedOn w:val="a0"/>
    <w:link w:val="a6"/>
    <w:uiPriority w:val="99"/>
    <w:qFormat/>
    <w:rsid w:val="00F2606D"/>
    <w:rPr>
      <w:rFonts w:ascii="Times New Roman" w:eastAsia="宋体" w:hAnsi="Times New Roman" w:cs="Times New Roman"/>
      <w:sz w:val="18"/>
      <w:szCs w:val="18"/>
    </w:rPr>
  </w:style>
  <w:style w:type="paragraph" w:styleId="ac">
    <w:name w:val="List Paragraph"/>
    <w:basedOn w:val="a"/>
    <w:uiPriority w:val="99"/>
    <w:qFormat/>
    <w:rsid w:val="00F2606D"/>
    <w:pPr>
      <w:ind w:firstLineChars="200" w:firstLine="420"/>
    </w:pPr>
    <w:rPr>
      <w:rFonts w:asciiTheme="minorHAnsi" w:eastAsiaTheme="minorEastAsia" w:hAnsiTheme="minorHAnsi" w:cstheme="minorBidi"/>
      <w:szCs w:val="22"/>
    </w:rPr>
  </w:style>
  <w:style w:type="paragraph" w:customStyle="1" w:styleId="0">
    <w:name w:val="@0正文"/>
    <w:basedOn w:val="a"/>
    <w:link w:val="00"/>
    <w:qFormat/>
    <w:rsid w:val="00F2606D"/>
    <w:pPr>
      <w:ind w:firstLineChars="200" w:firstLine="600"/>
    </w:pPr>
    <w:rPr>
      <w:rFonts w:ascii="仿宋_GB2312" w:eastAsia="仿宋_GB2312" w:hAnsi="仿宋" w:cstheme="minorBidi"/>
      <w:sz w:val="32"/>
      <w:szCs w:val="30"/>
    </w:rPr>
  </w:style>
  <w:style w:type="character" w:customStyle="1" w:styleId="00">
    <w:name w:val="@0正文 字符"/>
    <w:link w:val="0"/>
    <w:qFormat/>
    <w:rsid w:val="00F2606D"/>
    <w:rPr>
      <w:rFonts w:ascii="仿宋_GB2312" w:eastAsia="仿宋_GB2312" w:hAnsi="仿宋"/>
      <w:kern w:val="2"/>
      <w:sz w:val="32"/>
      <w:szCs w:val="30"/>
    </w:rPr>
  </w:style>
  <w:style w:type="paragraph" w:customStyle="1" w:styleId="11">
    <w:name w:val="修订1"/>
    <w:hidden/>
    <w:uiPriority w:val="99"/>
    <w:unhideWhenUsed/>
    <w:qFormat/>
    <w:rsid w:val="00F2606D"/>
    <w:rPr>
      <w:kern w:val="2"/>
      <w:sz w:val="21"/>
    </w:rPr>
  </w:style>
  <w:style w:type="character" w:customStyle="1" w:styleId="Char">
    <w:name w:val="正文文本 Char"/>
    <w:basedOn w:val="a0"/>
    <w:link w:val="a3"/>
    <w:uiPriority w:val="99"/>
    <w:qFormat/>
    <w:rsid w:val="00F2606D"/>
    <w:rPr>
      <w:kern w:val="2"/>
      <w:sz w:val="21"/>
      <w:szCs w:val="21"/>
    </w:rPr>
  </w:style>
  <w:style w:type="paragraph" w:customStyle="1" w:styleId="21">
    <w:name w:val="修订2"/>
    <w:hidden/>
    <w:uiPriority w:val="99"/>
    <w:unhideWhenUsed/>
    <w:rsid w:val="00F2606D"/>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4B8B-806B-492D-8558-F5F507B9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王忻[xinwang]</dc:creator>
  <cp:lastModifiedBy>GCJ</cp:lastModifiedBy>
  <cp:revision>2</cp:revision>
  <dcterms:created xsi:type="dcterms:W3CDTF">2025-07-23T08:41:00Z</dcterms:created>
  <dcterms:modified xsi:type="dcterms:W3CDTF">2025-07-23T08:41:00Z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8928786184464847B695DF66A26EDCF0_12</vt:lpwstr>
  </property>
  <property fmtid="{D5CDD505-2E9C-101B-9397-08002B2CF9AE}" pid="4" name="KSOTemplateDocerSaveRecord">
    <vt:lpwstr>eyJoZGlkIjoiNzQyYTIxMjk0YmVkZWQ3MTZhNzJmNDlmZTNiMWM0NDgiLCJ1c2VySWQiOiIzMzEyODI1OTUifQ==</vt:lpwstr>
  </property>
</Properties>
</file>