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5D7CF2">
      <w:pPr>
        <w:spacing w:line="351" w:lineRule="auto"/>
        <w:ind w:firstLine="420" w:firstLineChars="200"/>
        <w:rPr>
          <w:rFonts w:hint="eastAsia" w:ascii="宋体" w:hAnsi="宋体" w:eastAsia="宋体" w:cs="宋体"/>
        </w:rPr>
      </w:pPr>
      <w:r>
        <w:rPr>
          <w:rFonts w:hint="eastAsia" w:ascii="宋体" w:hAnsi="宋体" w:eastAsia="宋体" w:cs="宋体"/>
        </w:rPr>
        <w:t xml:space="preserve">证券代码：688143     </w:t>
      </w:r>
      <w:r>
        <w:t xml:space="preserve">                                                                    </w:t>
      </w:r>
      <w:r>
        <w:rPr>
          <w:rFonts w:hint="eastAsia" w:ascii="宋体" w:hAnsi="宋体" w:eastAsia="宋体" w:cs="宋体"/>
        </w:rPr>
        <w:t>证券简称：长盈通</w:t>
      </w:r>
    </w:p>
    <w:p w14:paraId="60285EC1">
      <w:pPr>
        <w:spacing w:line="351" w:lineRule="auto"/>
        <w:ind w:firstLine="420" w:firstLineChars="200"/>
      </w:pPr>
      <w:r>
        <w:t xml:space="preserve"> </w:t>
      </w:r>
    </w:p>
    <w:p w14:paraId="2F97ADCB">
      <w:pPr>
        <w:spacing w:before="130" w:line="218" w:lineRule="auto"/>
        <w:jc w:val="center"/>
        <w:rPr>
          <w:rFonts w:ascii="黑体" w:hAnsi="黑体" w:eastAsia="黑体" w:cs="黑体"/>
          <w:sz w:val="40"/>
          <w:szCs w:val="40"/>
        </w:rPr>
      </w:pPr>
      <w:r>
        <w:rPr>
          <w:rFonts w:ascii="黑体" w:hAnsi="黑体" w:eastAsia="黑体" w:cs="黑体"/>
          <w:spacing w:val="1"/>
          <w:sz w:val="40"/>
          <w:szCs w:val="40"/>
          <w14:textOutline w14:w="7277" w14:cap="flat" w14:cmpd="sng" w14:algn="ctr">
            <w14:solidFill>
              <w14:srgbClr w14:val="000000"/>
            </w14:solidFill>
            <w14:prstDash w14:val="solid"/>
            <w14:miter w14:val="0"/>
          </w14:textOutline>
        </w:rPr>
        <w:t>武</w:t>
      </w:r>
      <w:r>
        <w:rPr>
          <w:rFonts w:ascii="黑体" w:hAnsi="黑体" w:eastAsia="黑体" w:cs="黑体"/>
          <w:sz w:val="40"/>
          <w:szCs w:val="40"/>
          <w14:textOutline w14:w="7277" w14:cap="flat" w14:cmpd="sng" w14:algn="ctr">
            <w14:solidFill>
              <w14:srgbClr w14:val="000000"/>
            </w14:solidFill>
            <w14:prstDash w14:val="solid"/>
            <w14:miter w14:val="0"/>
          </w14:textOutline>
        </w:rPr>
        <w:t>汉长盈通光电技术股份有限公司</w:t>
      </w:r>
    </w:p>
    <w:p w14:paraId="1F2E83B0">
      <w:pPr>
        <w:spacing w:before="151" w:line="219" w:lineRule="auto"/>
        <w:jc w:val="center"/>
        <w:rPr>
          <w:rFonts w:ascii="黑体" w:hAnsi="黑体" w:eastAsia="黑体" w:cs="黑体"/>
          <w:sz w:val="40"/>
          <w:szCs w:val="40"/>
          <w14:textOutline w14:w="7277" w14:cap="flat" w14:cmpd="sng" w14:algn="ctr">
            <w14:solidFill>
              <w14:srgbClr w14:val="000000"/>
            </w14:solidFill>
            <w14:prstDash w14:val="solid"/>
            <w14:miter w14:val="0"/>
          </w14:textOutline>
        </w:rPr>
      </w:pPr>
      <w:r>
        <w:rPr>
          <w:rFonts w:ascii="黑体" w:hAnsi="黑体" w:eastAsia="黑体" w:cs="黑体"/>
          <w:spacing w:val="1"/>
          <w:sz w:val="40"/>
          <w:szCs w:val="40"/>
          <w14:textOutline w14:w="7277" w14:cap="flat" w14:cmpd="sng" w14:algn="ctr">
            <w14:solidFill>
              <w14:srgbClr w14:val="000000"/>
            </w14:solidFill>
            <w14:prstDash w14:val="solid"/>
            <w14:miter w14:val="0"/>
          </w14:textOutline>
        </w:rPr>
        <w:t>投</w:t>
      </w:r>
      <w:r>
        <w:rPr>
          <w:rFonts w:ascii="黑体" w:hAnsi="黑体" w:eastAsia="黑体" w:cs="黑体"/>
          <w:sz w:val="40"/>
          <w:szCs w:val="40"/>
          <w14:textOutline w14:w="7277" w14:cap="flat" w14:cmpd="sng" w14:algn="ctr">
            <w14:solidFill>
              <w14:srgbClr w14:val="000000"/>
            </w14:solidFill>
            <w14:prstDash w14:val="solid"/>
            <w14:miter w14:val="0"/>
          </w14:textOutline>
        </w:rPr>
        <w:t>资者关系活动记录表</w:t>
      </w:r>
    </w:p>
    <w:p w14:paraId="75BC3E32">
      <w:pPr>
        <w:wordWrap w:val="0"/>
        <w:spacing w:before="71" w:line="360" w:lineRule="auto"/>
        <w:ind w:right="384" w:firstLine="476" w:firstLineChars="200"/>
        <w:jc w:val="right"/>
        <w:rPr>
          <w:rFonts w:hint="default" w:ascii="黑体" w:hAnsi="黑体" w:eastAsia="黑体" w:cs="黑体"/>
          <w:spacing w:val="-1"/>
          <w:sz w:val="24"/>
          <w:szCs w:val="24"/>
          <w:lang w:val="en-US" w:eastAsia="zh-CN"/>
        </w:rPr>
      </w:pPr>
      <w:r>
        <w:rPr>
          <w:rFonts w:ascii="黑体" w:hAnsi="黑体" w:eastAsia="黑体" w:cs="黑体"/>
          <w:spacing w:val="-1"/>
          <w:sz w:val="24"/>
          <w:szCs w:val="24"/>
        </w:rPr>
        <w:t>编号</w:t>
      </w:r>
      <w:r>
        <w:rPr>
          <w:rFonts w:hint="eastAsia" w:ascii="黑体" w:hAnsi="黑体" w:eastAsia="黑体" w:cs="黑体"/>
          <w:spacing w:val="-1"/>
          <w:sz w:val="24"/>
          <w:szCs w:val="24"/>
          <w:lang w:eastAsia="zh-CN"/>
        </w:rPr>
        <w:t>：</w:t>
      </w:r>
      <w:r>
        <w:rPr>
          <w:rFonts w:ascii="黑体" w:hAnsi="黑体" w:eastAsia="黑体" w:cs="黑体"/>
          <w:spacing w:val="-1"/>
          <w:sz w:val="24"/>
          <w:szCs w:val="24"/>
        </w:rPr>
        <w:t>202</w:t>
      </w:r>
      <w:r>
        <w:rPr>
          <w:rFonts w:hint="eastAsia" w:ascii="黑体" w:hAnsi="黑体" w:eastAsia="黑体" w:cs="黑体"/>
          <w:spacing w:val="-1"/>
          <w:sz w:val="24"/>
          <w:szCs w:val="24"/>
          <w:lang w:val="en-US" w:eastAsia="zh-CN"/>
        </w:rPr>
        <w:t>5</w:t>
      </w:r>
      <w:r>
        <w:rPr>
          <w:rFonts w:hint="eastAsia" w:ascii="黑体" w:hAnsi="黑体" w:eastAsia="黑体" w:cs="黑体"/>
          <w:spacing w:val="-1"/>
          <w:sz w:val="24"/>
          <w:szCs w:val="24"/>
          <w:lang w:eastAsia="zh-CN"/>
        </w:rPr>
        <w:t>-00</w:t>
      </w:r>
      <w:r>
        <w:rPr>
          <w:rFonts w:hint="default" w:ascii="黑体" w:hAnsi="黑体" w:eastAsia="黑体" w:cs="黑体"/>
          <w:spacing w:val="-1"/>
          <w:sz w:val="24"/>
          <w:szCs w:val="24"/>
          <w:lang w:val="en-US" w:eastAsia="zh-CN"/>
        </w:rPr>
        <w:t>6</w:t>
      </w:r>
    </w:p>
    <w:tbl>
      <w:tblPr>
        <w:tblStyle w:val="7"/>
        <w:tblpPr w:leftFromText="180" w:rightFromText="180" w:vertAnchor="text" w:tblpX="2" w:tblpY="1"/>
        <w:tblOverlap w:val="never"/>
        <w:tblW w:w="90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83"/>
        <w:gridCol w:w="2534"/>
        <w:gridCol w:w="3256"/>
      </w:tblGrid>
      <w:tr w14:paraId="7375F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0" w:hRule="atLeast"/>
        </w:trPr>
        <w:tc>
          <w:tcPr>
            <w:tcW w:w="3283" w:type="dxa"/>
            <w:vAlign w:val="center"/>
          </w:tcPr>
          <w:p w14:paraId="124DDFBB">
            <w:pPr>
              <w:spacing w:before="78" w:line="360" w:lineRule="auto"/>
              <w:ind w:left="434"/>
              <w:jc w:val="left"/>
              <w:rPr>
                <w:rFonts w:ascii="黑体" w:hAnsi="黑体" w:eastAsia="黑体" w:cs="黑体"/>
                <w:sz w:val="24"/>
                <w:szCs w:val="24"/>
              </w:rPr>
            </w:pPr>
            <w:r>
              <w:rPr>
                <w:rFonts w:ascii="黑体" w:hAnsi="黑体" w:eastAsia="黑体" w:cs="黑体"/>
                <w:spacing w:val="1"/>
                <w:sz w:val="24"/>
                <w:szCs w:val="24"/>
                <w14:textOutline w14:w="4356" w14:cap="flat" w14:cmpd="sng" w14:algn="ctr">
                  <w14:solidFill>
                    <w14:srgbClr w14:val="000000"/>
                  </w14:solidFill>
                  <w14:prstDash w14:val="solid"/>
                  <w14:miter w14:val="0"/>
                </w14:textOutline>
              </w:rPr>
              <w:t>投</w:t>
            </w:r>
            <w:r>
              <w:rPr>
                <w:rFonts w:ascii="黑体" w:hAnsi="黑体" w:eastAsia="黑体" w:cs="黑体"/>
                <w:sz w:val="24"/>
                <w:szCs w:val="24"/>
                <w14:textOutline w14:w="4356" w14:cap="flat" w14:cmpd="sng" w14:algn="ctr">
                  <w14:solidFill>
                    <w14:srgbClr w14:val="000000"/>
                  </w14:solidFill>
                  <w14:prstDash w14:val="solid"/>
                  <w14:miter w14:val="0"/>
                </w14:textOutline>
              </w:rPr>
              <w:t>资者关系活动类别</w:t>
            </w:r>
          </w:p>
        </w:tc>
        <w:tc>
          <w:tcPr>
            <w:tcW w:w="2534" w:type="dxa"/>
            <w:tcBorders>
              <w:right w:val="nil"/>
            </w:tcBorders>
          </w:tcPr>
          <w:p w14:paraId="557DECA4">
            <w:pPr>
              <w:spacing w:before="195" w:line="240" w:lineRule="auto"/>
              <w:ind w:left="23"/>
              <w:rPr>
                <w:rFonts w:ascii="宋体" w:hAnsi="宋体" w:eastAsia="宋体" w:cs="宋体"/>
              </w:rPr>
            </w:pPr>
            <w:r>
              <w:rPr>
                <w:rFonts w:ascii="Times New Roman" w:hAnsi="Times New Roman" w:eastAsia="Times New Roman" w:cs="Times New Roman"/>
                <w:spacing w:val="-1"/>
              </w:rPr>
              <w:t>■</w:t>
            </w:r>
            <w:r>
              <w:rPr>
                <w:rFonts w:ascii="宋体" w:hAnsi="宋体" w:eastAsia="宋体" w:cs="宋体"/>
                <w:spacing w:val="-3"/>
              </w:rPr>
              <w:t>实</w:t>
            </w:r>
            <w:r>
              <w:rPr>
                <w:rFonts w:ascii="宋体" w:hAnsi="宋体" w:eastAsia="宋体" w:cs="宋体"/>
                <w:spacing w:val="-2"/>
              </w:rPr>
              <w:t>地调研</w:t>
            </w:r>
          </w:p>
          <w:p w14:paraId="45D5A93B">
            <w:pPr>
              <w:spacing w:line="240" w:lineRule="auto"/>
            </w:pPr>
          </w:p>
          <w:p w14:paraId="2ECCA2DC">
            <w:pPr>
              <w:spacing w:before="68" w:line="240" w:lineRule="auto"/>
              <w:ind w:left="23"/>
              <w:rPr>
                <w:rFonts w:ascii="宋体" w:hAnsi="宋体" w:eastAsia="宋体" w:cs="宋体"/>
              </w:rPr>
            </w:pPr>
            <w:r>
              <w:rPr>
                <w:rFonts w:ascii="Times New Roman" w:hAnsi="Times New Roman" w:eastAsia="Times New Roman" w:cs="Times New Roman"/>
                <w:spacing w:val="-4"/>
              </w:rPr>
              <w:t>□</w:t>
            </w:r>
            <w:r>
              <w:rPr>
                <w:rFonts w:ascii="宋体" w:hAnsi="宋体" w:eastAsia="宋体" w:cs="宋体"/>
                <w:spacing w:val="-3"/>
              </w:rPr>
              <w:t>媒</w:t>
            </w:r>
            <w:r>
              <w:rPr>
                <w:rFonts w:ascii="宋体" w:hAnsi="宋体" w:eastAsia="宋体" w:cs="宋体"/>
                <w:spacing w:val="-2"/>
              </w:rPr>
              <w:t>体采访</w:t>
            </w:r>
          </w:p>
          <w:p w14:paraId="4C5A6237">
            <w:pPr>
              <w:spacing w:line="240" w:lineRule="auto"/>
            </w:pPr>
          </w:p>
          <w:p w14:paraId="1BC410E5">
            <w:pPr>
              <w:spacing w:before="68" w:line="240" w:lineRule="auto"/>
              <w:ind w:left="23"/>
              <w:rPr>
                <w:rFonts w:ascii="宋体" w:hAnsi="宋体" w:eastAsia="宋体" w:cs="宋体"/>
              </w:rPr>
            </w:pPr>
            <w:r>
              <w:rPr>
                <w:rFonts w:ascii="Times New Roman" w:hAnsi="Times New Roman" w:eastAsia="Times New Roman" w:cs="Times New Roman"/>
                <w:spacing w:val="-3"/>
              </w:rPr>
              <w:t>□</w:t>
            </w:r>
            <w:r>
              <w:rPr>
                <w:rFonts w:ascii="宋体" w:hAnsi="宋体" w:eastAsia="宋体" w:cs="宋体"/>
                <w:spacing w:val="-2"/>
              </w:rPr>
              <w:t>新闻发布会</w:t>
            </w:r>
          </w:p>
          <w:p w14:paraId="6E724FE7">
            <w:pPr>
              <w:spacing w:line="240" w:lineRule="auto"/>
            </w:pPr>
          </w:p>
          <w:p w14:paraId="17BD432F">
            <w:pPr>
              <w:spacing w:before="68" w:line="240" w:lineRule="auto"/>
              <w:ind w:left="23"/>
              <w:rPr>
                <w:rFonts w:ascii="宋体" w:hAnsi="宋体" w:eastAsia="宋体" w:cs="宋体"/>
              </w:rPr>
            </w:pPr>
            <w:r>
              <w:rPr>
                <w:rFonts w:ascii="Times New Roman" w:hAnsi="Times New Roman" w:eastAsia="Times New Roman" w:cs="Times New Roman"/>
                <w:spacing w:val="-3"/>
              </w:rPr>
              <w:t>■</w:t>
            </w:r>
            <w:r>
              <w:rPr>
                <w:rFonts w:ascii="宋体" w:hAnsi="宋体" w:eastAsia="宋体" w:cs="宋体"/>
                <w:spacing w:val="-2"/>
              </w:rPr>
              <w:t>投资者交流</w:t>
            </w:r>
          </w:p>
          <w:p w14:paraId="19FCF95E">
            <w:pPr>
              <w:spacing w:line="240" w:lineRule="auto"/>
            </w:pPr>
          </w:p>
          <w:p w14:paraId="679ED1D7">
            <w:pPr>
              <w:spacing w:before="68" w:line="360" w:lineRule="auto"/>
              <w:ind w:left="23"/>
              <w:rPr>
                <w:rFonts w:hint="default" w:ascii="宋体" w:hAnsi="宋体" w:eastAsia="宋体" w:cs="宋体"/>
                <w:lang w:val="en-US" w:eastAsia="zh-CN"/>
              </w:rPr>
            </w:pPr>
            <w:r>
              <w:rPr>
                <w:rFonts w:ascii="Times New Roman" w:hAnsi="Times New Roman" w:eastAsia="Times New Roman" w:cs="Times New Roman"/>
                <w:spacing w:val="-3"/>
              </w:rPr>
              <w:t>□</w:t>
            </w:r>
            <w:r>
              <w:rPr>
                <w:rFonts w:ascii="宋体" w:hAnsi="宋体" w:eastAsia="宋体" w:cs="宋体"/>
                <w:spacing w:val="-1"/>
              </w:rPr>
              <w:t>其他</w:t>
            </w:r>
          </w:p>
        </w:tc>
        <w:tc>
          <w:tcPr>
            <w:tcW w:w="3256" w:type="dxa"/>
            <w:tcBorders>
              <w:left w:val="nil"/>
            </w:tcBorders>
          </w:tcPr>
          <w:p w14:paraId="490EC49F">
            <w:pPr>
              <w:spacing w:before="194" w:line="240" w:lineRule="auto"/>
              <w:ind w:left="462"/>
              <w:rPr>
                <w:rFonts w:ascii="宋体" w:hAnsi="宋体" w:eastAsia="宋体" w:cs="宋体"/>
              </w:rPr>
            </w:pPr>
            <w:r>
              <w:rPr>
                <w:rFonts w:ascii="Times New Roman" w:hAnsi="Times New Roman" w:eastAsia="Times New Roman" w:cs="Times New Roman"/>
                <w:spacing w:val="-3"/>
              </w:rPr>
              <w:t>□</w:t>
            </w:r>
            <w:r>
              <w:rPr>
                <w:rFonts w:ascii="宋体" w:hAnsi="宋体" w:eastAsia="宋体" w:cs="宋体"/>
                <w:spacing w:val="-2"/>
              </w:rPr>
              <w:t>分析师会议</w:t>
            </w:r>
          </w:p>
          <w:p w14:paraId="274492AB">
            <w:pPr>
              <w:spacing w:line="240" w:lineRule="auto"/>
            </w:pPr>
          </w:p>
          <w:p w14:paraId="0CDEC0CA">
            <w:pPr>
              <w:spacing w:before="68" w:line="240" w:lineRule="auto"/>
              <w:ind w:left="462"/>
              <w:rPr>
                <w:rFonts w:ascii="宋体" w:hAnsi="宋体" w:eastAsia="宋体" w:cs="宋体"/>
              </w:rPr>
            </w:pPr>
            <w:r>
              <w:rPr>
                <w:rFonts w:ascii="Times New Roman" w:hAnsi="Times New Roman" w:eastAsia="Times New Roman" w:cs="Times New Roman"/>
                <w:spacing w:val="-3"/>
              </w:rPr>
              <w:t>□</w:t>
            </w:r>
            <w:r>
              <w:rPr>
                <w:rFonts w:ascii="宋体" w:hAnsi="宋体" w:eastAsia="宋体" w:cs="宋体"/>
                <w:spacing w:val="-2"/>
              </w:rPr>
              <w:t>业绩说明会</w:t>
            </w:r>
          </w:p>
          <w:p w14:paraId="31E7C174">
            <w:pPr>
              <w:spacing w:line="240" w:lineRule="auto"/>
            </w:pPr>
          </w:p>
          <w:p w14:paraId="43E393D9">
            <w:pPr>
              <w:spacing w:before="68" w:line="240" w:lineRule="auto"/>
              <w:ind w:left="462"/>
              <w:rPr>
                <w:rFonts w:ascii="宋体" w:hAnsi="宋体" w:eastAsia="宋体" w:cs="宋体"/>
              </w:rPr>
            </w:pPr>
            <w:r>
              <w:rPr>
                <w:rFonts w:ascii="Times New Roman" w:hAnsi="Times New Roman" w:eastAsia="Times New Roman" w:cs="Times New Roman"/>
                <w:spacing w:val="-4"/>
              </w:rPr>
              <w:t>□</w:t>
            </w:r>
            <w:r>
              <w:rPr>
                <w:rFonts w:ascii="宋体" w:hAnsi="宋体" w:eastAsia="宋体" w:cs="宋体"/>
                <w:spacing w:val="-3"/>
              </w:rPr>
              <w:t>路</w:t>
            </w:r>
            <w:r>
              <w:rPr>
                <w:rFonts w:ascii="宋体" w:hAnsi="宋体" w:eastAsia="宋体" w:cs="宋体"/>
                <w:spacing w:val="-2"/>
              </w:rPr>
              <w:t>演活动</w:t>
            </w:r>
          </w:p>
          <w:p w14:paraId="08756C13">
            <w:pPr>
              <w:spacing w:line="240" w:lineRule="auto"/>
            </w:pPr>
          </w:p>
          <w:p w14:paraId="109D1919">
            <w:pPr>
              <w:spacing w:before="68" w:line="240" w:lineRule="auto"/>
              <w:ind w:left="462"/>
              <w:rPr>
                <w:rFonts w:ascii="宋体" w:hAnsi="宋体" w:eastAsia="宋体" w:cs="宋体"/>
              </w:rPr>
            </w:pPr>
            <w:r>
              <w:rPr>
                <w:rFonts w:ascii="Times New Roman" w:hAnsi="Times New Roman" w:eastAsia="Times New Roman" w:cs="Times New Roman"/>
                <w:spacing w:val="-3"/>
              </w:rPr>
              <w:t>□</w:t>
            </w:r>
            <w:r>
              <w:rPr>
                <w:rFonts w:ascii="宋体" w:hAnsi="宋体" w:eastAsia="宋体" w:cs="宋体"/>
                <w:spacing w:val="-3"/>
              </w:rPr>
              <w:t>电</w:t>
            </w:r>
            <w:r>
              <w:rPr>
                <w:rFonts w:ascii="宋体" w:hAnsi="宋体" w:eastAsia="宋体" w:cs="宋体"/>
                <w:spacing w:val="-2"/>
              </w:rPr>
              <w:t>话沟通</w:t>
            </w:r>
          </w:p>
        </w:tc>
      </w:tr>
      <w:tr w14:paraId="3548DD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27" w:hRule="atLeast"/>
        </w:trPr>
        <w:tc>
          <w:tcPr>
            <w:tcW w:w="3283" w:type="dxa"/>
            <w:vAlign w:val="center"/>
          </w:tcPr>
          <w:p w14:paraId="727A0939">
            <w:pPr>
              <w:spacing w:line="360" w:lineRule="auto"/>
              <w:jc w:val="center"/>
              <w:rPr>
                <w:rFonts w:ascii="黑体" w:hAnsi="黑体" w:eastAsia="黑体" w:cs="黑体"/>
                <w:spacing w:val="1"/>
                <w:sz w:val="24"/>
                <w:szCs w:val="24"/>
                <w14:textOutline w14:w="4356" w14:cap="flat" w14:cmpd="sng" w14:algn="ctr">
                  <w14:solidFill>
                    <w14:srgbClr w14:val="000000"/>
                  </w14:solidFill>
                  <w14:prstDash w14:val="solid"/>
                  <w14:miter w14:val="0"/>
                </w14:textOutline>
              </w:rPr>
            </w:pPr>
            <w:r>
              <w:rPr>
                <w:rFonts w:ascii="黑体" w:hAnsi="黑体" w:eastAsia="黑体" w:cs="黑体"/>
                <w:spacing w:val="1"/>
                <w:sz w:val="24"/>
                <w:szCs w:val="24"/>
                <w14:textOutline w14:w="4356" w14:cap="flat" w14:cmpd="sng" w14:algn="ctr">
                  <w14:solidFill>
                    <w14:srgbClr w14:val="000000"/>
                  </w14:solidFill>
                  <w14:prstDash w14:val="solid"/>
                  <w14:miter w14:val="0"/>
                </w14:textOutline>
              </w:rPr>
              <w:t>参与单位名称及人员姓名</w:t>
            </w:r>
          </w:p>
        </w:tc>
        <w:tc>
          <w:tcPr>
            <w:tcW w:w="5790" w:type="dxa"/>
            <w:gridSpan w:val="2"/>
            <w:vAlign w:val="top"/>
          </w:tcPr>
          <w:p w14:paraId="730074C7">
            <w:pPr>
              <w:keepNext w:val="0"/>
              <w:keepLines w:val="0"/>
              <w:pageBreakBefore w:val="0"/>
              <w:widowControl/>
              <w:kinsoku/>
              <w:wordWrap w:val="0"/>
              <w:overflowPunct/>
              <w:topLinePunct w:val="0"/>
              <w:autoSpaceDE w:val="0"/>
              <w:autoSpaceDN w:val="0"/>
              <w:bidi w:val="0"/>
              <w:adjustRightInd w:val="0"/>
              <w:snapToGrid w:val="0"/>
              <w:spacing w:before="68" w:line="360" w:lineRule="auto"/>
              <w:ind w:left="23"/>
              <w:textAlignment w:val="baseline"/>
              <w:rPr>
                <w:rFonts w:hint="default" w:ascii="宋体" w:hAnsi="宋体" w:eastAsia="宋体" w:cs="宋体"/>
                <w:spacing w:val="-2"/>
                <w:lang w:val="en-US" w:eastAsia="zh-CN"/>
              </w:rPr>
            </w:pPr>
            <w:r>
              <w:rPr>
                <w:rFonts w:hint="default" w:ascii="宋体" w:hAnsi="宋体" w:eastAsia="宋体" w:cs="宋体"/>
                <w:spacing w:val="-2"/>
                <w:lang w:val="en-US" w:eastAsia="zh-CN"/>
              </w:rPr>
              <w:t>2025年7月24日</w:t>
            </w:r>
          </w:p>
          <w:p w14:paraId="5E1DA2F3">
            <w:pPr>
              <w:keepNext w:val="0"/>
              <w:keepLines w:val="0"/>
              <w:pageBreakBefore w:val="0"/>
              <w:widowControl/>
              <w:kinsoku/>
              <w:wordWrap w:val="0"/>
              <w:overflowPunct/>
              <w:topLinePunct w:val="0"/>
              <w:autoSpaceDE w:val="0"/>
              <w:autoSpaceDN w:val="0"/>
              <w:bidi w:val="0"/>
              <w:adjustRightInd w:val="0"/>
              <w:snapToGrid w:val="0"/>
              <w:spacing w:before="68" w:line="360" w:lineRule="auto"/>
              <w:ind w:left="23"/>
              <w:textAlignment w:val="baseline"/>
              <w:rPr>
                <w:rFonts w:hint="eastAsia" w:ascii="宋体" w:hAnsi="宋体" w:eastAsia="宋体" w:cs="宋体"/>
                <w:spacing w:val="-2"/>
                <w:lang w:val="en-US" w:eastAsia="zh-CN"/>
              </w:rPr>
            </w:pPr>
            <w:r>
              <w:rPr>
                <w:rFonts w:hint="eastAsia" w:ascii="宋体" w:hAnsi="宋体" w:eastAsia="宋体" w:cs="宋体"/>
                <w:spacing w:val="-2"/>
                <w:lang w:val="en-US" w:eastAsia="zh-CN"/>
              </w:rPr>
              <w:t>银河基金，工银瑞信，华夏久盈，国君资管，信泰人寿，申万菱信，上海证券，首创自营，国海证券</w:t>
            </w:r>
            <w:r>
              <w:rPr>
                <w:rFonts w:hint="eastAsia" w:ascii="宋体" w:hAnsi="宋体" w:eastAsia="宋体" w:cs="宋体"/>
                <w:b/>
                <w:bCs/>
                <w:spacing w:val="-2"/>
                <w:lang w:val="en-US" w:eastAsia="zh-CN"/>
              </w:rPr>
              <w:t>，</w:t>
            </w:r>
            <w:r>
              <w:rPr>
                <w:rFonts w:hint="eastAsia" w:ascii="宋体" w:hAnsi="宋体" w:eastAsia="宋体" w:cs="宋体"/>
                <w:spacing w:val="-2"/>
                <w:lang w:val="en-US" w:eastAsia="zh-CN"/>
              </w:rPr>
              <w:t>申万宏源，方正证券，长信基金，东方基金</w:t>
            </w:r>
          </w:p>
          <w:p w14:paraId="60405AB6">
            <w:pPr>
              <w:keepNext w:val="0"/>
              <w:keepLines w:val="0"/>
              <w:pageBreakBefore w:val="0"/>
              <w:widowControl/>
              <w:kinsoku/>
              <w:wordWrap w:val="0"/>
              <w:overflowPunct/>
              <w:topLinePunct w:val="0"/>
              <w:autoSpaceDE w:val="0"/>
              <w:autoSpaceDN w:val="0"/>
              <w:bidi w:val="0"/>
              <w:adjustRightInd w:val="0"/>
              <w:snapToGrid w:val="0"/>
              <w:spacing w:before="68" w:line="360" w:lineRule="auto"/>
              <w:ind w:left="23"/>
              <w:textAlignment w:val="baseline"/>
              <w:rPr>
                <w:rFonts w:hint="default" w:ascii="宋体" w:hAnsi="宋体" w:eastAsia="宋体" w:cs="宋体"/>
                <w:spacing w:val="-2"/>
                <w:lang w:val="en-US" w:eastAsia="zh-CN"/>
              </w:rPr>
            </w:pPr>
            <w:r>
              <w:rPr>
                <w:rFonts w:hint="default" w:ascii="宋体" w:hAnsi="宋体" w:eastAsia="宋体" w:cs="宋体"/>
                <w:spacing w:val="-2"/>
                <w:lang w:val="en-US" w:eastAsia="zh-CN"/>
              </w:rPr>
              <w:t>（以上排名不分先后）</w:t>
            </w:r>
          </w:p>
        </w:tc>
      </w:tr>
      <w:tr w14:paraId="2BB33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9" w:hRule="atLeast"/>
        </w:trPr>
        <w:tc>
          <w:tcPr>
            <w:tcW w:w="3283" w:type="dxa"/>
            <w:vAlign w:val="center"/>
          </w:tcPr>
          <w:p w14:paraId="63898B28">
            <w:pPr>
              <w:spacing w:before="183" w:line="240" w:lineRule="auto"/>
              <w:jc w:val="center"/>
              <w:rPr>
                <w:rFonts w:ascii="黑体" w:hAnsi="黑体" w:eastAsia="黑体" w:cs="黑体"/>
                <w:sz w:val="24"/>
                <w:szCs w:val="24"/>
              </w:rPr>
            </w:pPr>
            <w:r>
              <w:rPr>
                <w:rFonts w:ascii="黑体" w:hAnsi="黑体" w:eastAsia="黑体" w:cs="黑体"/>
                <w:spacing w:val="-4"/>
                <w:sz w:val="24"/>
                <w:szCs w:val="24"/>
                <w14:textOutline w14:w="4356" w14:cap="flat" w14:cmpd="sng" w14:algn="ctr">
                  <w14:solidFill>
                    <w14:srgbClr w14:val="000000"/>
                  </w14:solidFill>
                  <w14:prstDash w14:val="solid"/>
                  <w14:miter w14:val="0"/>
                </w14:textOutline>
              </w:rPr>
              <w:t>时间</w:t>
            </w:r>
          </w:p>
        </w:tc>
        <w:tc>
          <w:tcPr>
            <w:tcW w:w="5790" w:type="dxa"/>
            <w:gridSpan w:val="2"/>
            <w:vAlign w:val="center"/>
          </w:tcPr>
          <w:p w14:paraId="65FEF7B3">
            <w:pPr>
              <w:spacing w:before="197" w:line="240" w:lineRule="auto"/>
              <w:jc w:val="center"/>
              <w:rPr>
                <w:rFonts w:hint="eastAsia" w:ascii="宋体" w:hAnsi="宋体" w:eastAsia="宋体" w:cs="宋体"/>
                <w:spacing w:val="-1"/>
                <w:lang w:val="en-US" w:eastAsia="zh-CN"/>
              </w:rPr>
            </w:pPr>
            <w:r>
              <w:rPr>
                <w:rFonts w:hint="eastAsia" w:ascii="宋体" w:hAnsi="宋体" w:eastAsia="宋体" w:cs="宋体"/>
                <w:spacing w:val="-1"/>
              </w:rPr>
              <w:t xml:space="preserve">2025年7月24日 </w:t>
            </w:r>
            <w:r>
              <w:rPr>
                <w:rFonts w:hint="eastAsia" w:ascii="宋体" w:hAnsi="宋体" w:eastAsia="宋体" w:cs="宋体"/>
                <w:spacing w:val="-1"/>
                <w:lang w:val="en-US" w:eastAsia="zh-CN"/>
              </w:rPr>
              <w:t>10:00-11:30</w:t>
            </w:r>
          </w:p>
          <w:p w14:paraId="2C84B4F4">
            <w:pPr>
              <w:spacing w:before="197" w:line="240" w:lineRule="auto"/>
              <w:jc w:val="center"/>
              <w:rPr>
                <w:rFonts w:hint="default" w:ascii="宋体" w:hAnsi="宋体" w:eastAsia="宋体" w:cs="宋体"/>
                <w:spacing w:val="-1"/>
                <w:lang w:val="en-US" w:eastAsia="zh-CN"/>
              </w:rPr>
            </w:pPr>
            <w:r>
              <w:rPr>
                <w:rFonts w:hint="default" w:ascii="宋体" w:hAnsi="宋体" w:eastAsia="宋体" w:cs="宋体"/>
                <w:spacing w:val="-1"/>
                <w:lang w:val="en-US" w:eastAsia="zh-CN"/>
              </w:rPr>
              <w:t xml:space="preserve">2025年7月24日 </w:t>
            </w:r>
            <w:r>
              <w:rPr>
                <w:rFonts w:hint="eastAsia" w:ascii="宋体" w:hAnsi="宋体" w:eastAsia="宋体" w:cs="宋体"/>
                <w:spacing w:val="-1"/>
                <w:lang w:val="en-US" w:eastAsia="zh-CN"/>
              </w:rPr>
              <w:t>14</w:t>
            </w:r>
            <w:r>
              <w:rPr>
                <w:rFonts w:hint="default" w:ascii="宋体" w:hAnsi="宋体" w:eastAsia="宋体" w:cs="宋体"/>
                <w:spacing w:val="-1"/>
                <w:lang w:val="en-US" w:eastAsia="zh-CN"/>
              </w:rPr>
              <w:t>:00-</w:t>
            </w:r>
            <w:r>
              <w:rPr>
                <w:rFonts w:hint="eastAsia" w:ascii="宋体" w:hAnsi="宋体" w:eastAsia="宋体" w:cs="宋体"/>
                <w:spacing w:val="-1"/>
                <w:lang w:val="en-US" w:eastAsia="zh-CN"/>
              </w:rPr>
              <w:t>15</w:t>
            </w:r>
            <w:r>
              <w:rPr>
                <w:rFonts w:hint="default" w:ascii="宋体" w:hAnsi="宋体" w:eastAsia="宋体" w:cs="宋体"/>
                <w:spacing w:val="-1"/>
                <w:lang w:val="en-US" w:eastAsia="zh-CN"/>
              </w:rPr>
              <w:t>:</w:t>
            </w:r>
            <w:r>
              <w:rPr>
                <w:rFonts w:hint="eastAsia" w:ascii="宋体" w:hAnsi="宋体" w:eastAsia="宋体" w:cs="宋体"/>
                <w:spacing w:val="-1"/>
                <w:lang w:val="en-US" w:eastAsia="zh-CN"/>
              </w:rPr>
              <w:t>3</w:t>
            </w:r>
            <w:r>
              <w:rPr>
                <w:rFonts w:hint="default" w:ascii="宋体" w:hAnsi="宋体" w:eastAsia="宋体" w:cs="宋体"/>
                <w:spacing w:val="-1"/>
                <w:lang w:val="en-US" w:eastAsia="zh-CN"/>
              </w:rPr>
              <w:t>0</w:t>
            </w:r>
          </w:p>
        </w:tc>
      </w:tr>
      <w:tr w14:paraId="34B40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3283" w:type="dxa"/>
          </w:tcPr>
          <w:p w14:paraId="4F513990">
            <w:pPr>
              <w:spacing w:before="180" w:line="360" w:lineRule="auto"/>
              <w:jc w:val="center"/>
              <w:rPr>
                <w:rFonts w:ascii="黑体" w:hAnsi="黑体" w:eastAsia="黑体" w:cs="黑体"/>
                <w:sz w:val="24"/>
                <w:szCs w:val="24"/>
              </w:rPr>
            </w:pPr>
            <w:r>
              <w:rPr>
                <w:rFonts w:ascii="黑体" w:hAnsi="黑体" w:eastAsia="黑体" w:cs="黑体"/>
                <w:spacing w:val="-2"/>
                <w:sz w:val="24"/>
                <w:szCs w:val="24"/>
                <w14:textOutline w14:w="4356" w14:cap="flat" w14:cmpd="sng" w14:algn="ctr">
                  <w14:solidFill>
                    <w14:srgbClr w14:val="000000"/>
                  </w14:solidFill>
                  <w14:prstDash w14:val="solid"/>
                  <w14:miter w14:val="0"/>
                </w14:textOutline>
              </w:rPr>
              <w:t>地点</w:t>
            </w:r>
          </w:p>
        </w:tc>
        <w:tc>
          <w:tcPr>
            <w:tcW w:w="5790" w:type="dxa"/>
            <w:gridSpan w:val="2"/>
          </w:tcPr>
          <w:p w14:paraId="36107E82">
            <w:pPr>
              <w:spacing w:before="197" w:line="360" w:lineRule="auto"/>
              <w:jc w:val="center"/>
              <w:rPr>
                <w:rFonts w:ascii="宋体" w:hAnsi="宋体" w:eastAsia="宋体" w:cs="宋体"/>
                <w:spacing w:val="-1"/>
              </w:rPr>
            </w:pPr>
            <w:r>
              <w:rPr>
                <w:rFonts w:hint="eastAsia" w:ascii="宋体" w:hAnsi="宋体" w:eastAsia="宋体" w:cs="宋体"/>
                <w:spacing w:val="-1"/>
              </w:rPr>
              <w:t>武汉</w:t>
            </w:r>
          </w:p>
        </w:tc>
      </w:tr>
      <w:tr w14:paraId="283F9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6" w:hRule="atLeast"/>
        </w:trPr>
        <w:tc>
          <w:tcPr>
            <w:tcW w:w="3283" w:type="dxa"/>
          </w:tcPr>
          <w:p w14:paraId="27296E4E">
            <w:pPr>
              <w:spacing w:before="192" w:line="360" w:lineRule="auto"/>
              <w:jc w:val="center"/>
              <w:rPr>
                <w:rFonts w:ascii="黑体" w:hAnsi="黑体" w:eastAsia="黑体" w:cs="黑体"/>
                <w:sz w:val="24"/>
                <w:szCs w:val="24"/>
              </w:rPr>
            </w:pPr>
            <w:r>
              <w:rPr>
                <w:rFonts w:ascii="黑体" w:hAnsi="黑体" w:eastAsia="黑体" w:cs="黑体"/>
                <w:spacing w:val="-1"/>
                <w:sz w:val="24"/>
                <w:szCs w:val="24"/>
                <w14:textOutline w14:w="4356" w14:cap="flat" w14:cmpd="sng" w14:algn="ctr">
                  <w14:solidFill>
                    <w14:srgbClr w14:val="000000"/>
                  </w14:solidFill>
                  <w14:prstDash w14:val="solid"/>
                  <w14:miter w14:val="0"/>
                </w14:textOutline>
              </w:rPr>
              <w:t>上市公司接</w:t>
            </w:r>
            <w:r>
              <w:rPr>
                <w:rFonts w:ascii="黑体" w:hAnsi="黑体" w:eastAsia="黑体" w:cs="黑体"/>
                <w:sz w:val="24"/>
                <w:szCs w:val="24"/>
                <w14:textOutline w14:w="4356" w14:cap="flat" w14:cmpd="sng" w14:algn="ctr">
                  <w14:solidFill>
                    <w14:srgbClr w14:val="000000"/>
                  </w14:solidFill>
                  <w14:prstDash w14:val="solid"/>
                  <w14:miter w14:val="0"/>
                </w14:textOutline>
              </w:rPr>
              <w:t>待人员姓名</w:t>
            </w:r>
          </w:p>
        </w:tc>
        <w:tc>
          <w:tcPr>
            <w:tcW w:w="5790" w:type="dxa"/>
            <w:gridSpan w:val="2"/>
          </w:tcPr>
          <w:p w14:paraId="44E147C8">
            <w:pPr>
              <w:spacing w:before="197" w:line="360" w:lineRule="auto"/>
              <w:jc w:val="center"/>
              <w:rPr>
                <w:rFonts w:hint="default" w:ascii="宋体" w:hAnsi="宋体" w:eastAsia="宋体" w:cs="宋体"/>
                <w:spacing w:val="-1"/>
                <w:lang w:val="en-US" w:eastAsia="zh-CN"/>
              </w:rPr>
            </w:pPr>
            <w:r>
              <w:rPr>
                <w:rFonts w:hint="eastAsia" w:ascii="宋体" w:hAnsi="宋体" w:eastAsia="宋体" w:cs="宋体"/>
                <w:spacing w:val="-1"/>
              </w:rPr>
              <w:t>总裁办总经理：郭淼女士</w:t>
            </w:r>
          </w:p>
        </w:tc>
      </w:tr>
      <w:tr w14:paraId="42191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3283" w:type="dxa"/>
            <w:vAlign w:val="center"/>
          </w:tcPr>
          <w:p w14:paraId="359F5EE2">
            <w:pPr>
              <w:spacing w:before="78" w:line="480" w:lineRule="auto"/>
              <w:ind w:right="64"/>
              <w:jc w:val="center"/>
              <w:rPr>
                <w:rFonts w:ascii="黑体" w:hAnsi="黑体" w:eastAsia="黑体" w:cs="黑体"/>
                <w:spacing w:val="-1"/>
                <w:sz w:val="24"/>
                <w:szCs w:val="24"/>
                <w14:textOutline w14:w="4356" w14:cap="flat" w14:cmpd="sng" w14:algn="ctr">
                  <w14:solidFill>
                    <w14:srgbClr w14:val="000000"/>
                  </w14:solidFill>
                  <w14:prstDash w14:val="solid"/>
                  <w14:miter w14:val="0"/>
                </w14:textOutline>
              </w:rPr>
            </w:pPr>
            <w:r>
              <w:rPr>
                <w:rFonts w:ascii="黑体" w:hAnsi="黑体" w:eastAsia="黑体" w:cs="黑体"/>
                <w:spacing w:val="-1"/>
                <w:sz w:val="24"/>
                <w:szCs w:val="24"/>
                <w14:textOutline w14:w="4356" w14:cap="flat" w14:cmpd="sng" w14:algn="ctr">
                  <w14:solidFill>
                    <w14:srgbClr w14:val="000000"/>
                  </w14:solidFill>
                  <w14:prstDash w14:val="solid"/>
                  <w14:miter w14:val="0"/>
                </w14:textOutline>
              </w:rPr>
              <w:t>投资者关系活动</w:t>
            </w:r>
          </w:p>
          <w:p w14:paraId="59757864">
            <w:pPr>
              <w:spacing w:before="78" w:line="480" w:lineRule="auto"/>
              <w:ind w:right="64"/>
              <w:jc w:val="center"/>
              <w:rPr>
                <w:rFonts w:ascii="黑体" w:hAnsi="黑体" w:eastAsia="黑体" w:cs="黑体"/>
                <w:sz w:val="24"/>
                <w:szCs w:val="24"/>
              </w:rPr>
            </w:pPr>
            <w:r>
              <w:rPr>
                <w:rFonts w:ascii="黑体" w:hAnsi="黑体" w:eastAsia="黑体" w:cs="黑体"/>
                <w:spacing w:val="-1"/>
                <w:sz w:val="24"/>
                <w:szCs w:val="24"/>
                <w14:textOutline w14:w="4356" w14:cap="flat" w14:cmpd="sng" w14:algn="ctr">
                  <w14:solidFill>
                    <w14:srgbClr w14:val="000000"/>
                  </w14:solidFill>
                  <w14:prstDash w14:val="solid"/>
                  <w14:miter w14:val="0"/>
                </w14:textOutline>
              </w:rPr>
              <w:t>主要内容介绍</w:t>
            </w:r>
          </w:p>
        </w:tc>
        <w:tc>
          <w:tcPr>
            <w:tcW w:w="5790" w:type="dxa"/>
            <w:gridSpan w:val="2"/>
            <w:vAlign w:val="top"/>
          </w:tcPr>
          <w:p w14:paraId="3B1B64AF">
            <w:pPr>
              <w:spacing w:line="360" w:lineRule="auto"/>
              <w:ind w:firstLine="418" w:firstLineChars="200"/>
              <w:rPr>
                <w:rFonts w:hint="default" w:ascii="宋体" w:hAnsi="宋体" w:eastAsia="宋体" w:cs="宋体"/>
                <w:b/>
                <w:bCs/>
                <w:spacing w:val="-1"/>
                <w:lang w:val="en-US" w:eastAsia="zh-CN"/>
              </w:rPr>
            </w:pPr>
            <w:r>
              <w:rPr>
                <w:rFonts w:hint="default" w:ascii="宋体" w:hAnsi="宋体" w:eastAsia="宋体" w:cs="宋体"/>
                <w:b/>
                <w:bCs/>
                <w:spacing w:val="-1"/>
                <w:lang w:val="en-US" w:eastAsia="zh-CN"/>
              </w:rPr>
              <w:t>一、介绍公司基本情况</w:t>
            </w:r>
          </w:p>
          <w:p w14:paraId="512EDC84">
            <w:pPr>
              <w:keepNext w:val="0"/>
              <w:keepLines w:val="0"/>
              <w:pageBreakBefore w:val="0"/>
              <w:widowControl/>
              <w:kinsoku/>
              <w:wordWrap/>
              <w:overflowPunct/>
              <w:topLinePunct w:val="0"/>
              <w:autoSpaceDE w:val="0"/>
              <w:autoSpaceDN w:val="0"/>
              <w:bidi w:val="0"/>
              <w:adjustRightInd w:val="0"/>
              <w:snapToGrid w:val="0"/>
              <w:spacing w:line="360" w:lineRule="auto"/>
              <w:ind w:firstLine="416" w:firstLineChars="200"/>
              <w:textAlignment w:val="baseline"/>
              <w:rPr>
                <w:rFonts w:hint="default" w:ascii="宋体" w:hAnsi="宋体" w:eastAsia="宋体" w:cs="宋体"/>
                <w:spacing w:val="-1"/>
                <w:lang w:val="en-US" w:eastAsia="zh-CN"/>
              </w:rPr>
            </w:pPr>
            <w:r>
              <w:rPr>
                <w:rFonts w:hint="default" w:ascii="宋体" w:hAnsi="宋体" w:eastAsia="宋体" w:cs="宋体"/>
                <w:spacing w:val="-1"/>
                <w:lang w:val="en-US" w:eastAsia="zh-CN"/>
              </w:rPr>
              <w:t>1、简要介绍公司历史沿革、</w:t>
            </w:r>
            <w:r>
              <w:rPr>
                <w:rFonts w:hint="eastAsia" w:ascii="宋体" w:hAnsi="宋体" w:eastAsia="宋体" w:cs="宋体"/>
                <w:spacing w:val="-1"/>
                <w:lang w:val="en-US" w:eastAsia="zh-CN"/>
              </w:rPr>
              <w:t>市场规模、</w:t>
            </w:r>
            <w:r>
              <w:rPr>
                <w:rFonts w:hint="default" w:ascii="宋体" w:hAnsi="宋体" w:eastAsia="宋体" w:cs="宋体"/>
                <w:spacing w:val="-1"/>
                <w:lang w:val="en-US" w:eastAsia="zh-CN"/>
              </w:rPr>
              <w:t>主营业务、主要产品、生产情况</w:t>
            </w:r>
            <w:r>
              <w:rPr>
                <w:rFonts w:hint="eastAsia" w:ascii="宋体" w:hAnsi="宋体" w:eastAsia="宋体" w:cs="宋体"/>
                <w:spacing w:val="-1"/>
                <w:lang w:val="en-US" w:eastAsia="zh-CN"/>
              </w:rPr>
              <w:t>、</w:t>
            </w:r>
            <w:r>
              <w:rPr>
                <w:rFonts w:hint="default" w:ascii="宋体" w:hAnsi="宋体" w:eastAsia="宋体" w:cs="宋体"/>
                <w:spacing w:val="-1"/>
                <w:lang w:val="en-US" w:eastAsia="zh-CN"/>
              </w:rPr>
              <w:t>发展战略规划</w:t>
            </w:r>
            <w:r>
              <w:rPr>
                <w:rFonts w:hint="eastAsia" w:ascii="宋体" w:hAnsi="宋体" w:eastAsia="宋体" w:cs="宋体"/>
                <w:spacing w:val="-1"/>
                <w:lang w:val="en-US" w:eastAsia="zh-CN"/>
              </w:rPr>
              <w:t>及未来展望</w:t>
            </w:r>
            <w:r>
              <w:rPr>
                <w:rFonts w:hint="default" w:ascii="宋体" w:hAnsi="宋体" w:eastAsia="宋体" w:cs="宋体"/>
                <w:spacing w:val="-1"/>
                <w:lang w:val="en-US" w:eastAsia="zh-CN"/>
              </w:rPr>
              <w:t>等</w:t>
            </w:r>
            <w:r>
              <w:rPr>
                <w:rFonts w:hint="eastAsia" w:ascii="宋体" w:hAnsi="宋体" w:eastAsia="宋体" w:cs="宋体"/>
                <w:spacing w:val="-1"/>
                <w:lang w:val="en-US" w:eastAsia="zh-CN"/>
              </w:rPr>
              <w:t>情况</w:t>
            </w:r>
            <w:r>
              <w:rPr>
                <w:rFonts w:hint="default" w:ascii="宋体" w:hAnsi="宋体" w:eastAsia="宋体" w:cs="宋体"/>
                <w:spacing w:val="-1"/>
                <w:lang w:val="en-US" w:eastAsia="zh-CN"/>
              </w:rPr>
              <w:t>；</w:t>
            </w:r>
          </w:p>
          <w:p w14:paraId="39861550">
            <w:pPr>
              <w:keepNext w:val="0"/>
              <w:keepLines w:val="0"/>
              <w:pageBreakBefore w:val="0"/>
              <w:widowControl/>
              <w:kinsoku/>
              <w:wordWrap/>
              <w:overflowPunct/>
              <w:topLinePunct w:val="0"/>
              <w:autoSpaceDE w:val="0"/>
              <w:autoSpaceDN w:val="0"/>
              <w:bidi w:val="0"/>
              <w:adjustRightInd w:val="0"/>
              <w:snapToGrid w:val="0"/>
              <w:spacing w:line="360" w:lineRule="auto"/>
              <w:ind w:firstLine="416" w:firstLineChars="200"/>
              <w:textAlignment w:val="baseline"/>
              <w:rPr>
                <w:rFonts w:hint="default" w:ascii="宋体" w:hAnsi="宋体" w:eastAsia="宋体" w:cs="宋体"/>
                <w:spacing w:val="-1"/>
                <w:lang w:val="en-US" w:eastAsia="zh-CN"/>
              </w:rPr>
            </w:pPr>
            <w:r>
              <w:rPr>
                <w:rFonts w:hint="default" w:ascii="宋体" w:hAnsi="宋体" w:eastAsia="宋体" w:cs="宋体"/>
                <w:spacing w:val="-1"/>
                <w:lang w:val="en-US" w:eastAsia="zh-CN"/>
              </w:rPr>
              <w:t>2、实地带领投资者参观公司产品展厅</w:t>
            </w:r>
            <w:r>
              <w:rPr>
                <w:rFonts w:hint="eastAsia" w:ascii="宋体" w:hAnsi="宋体" w:eastAsia="宋体" w:cs="宋体"/>
                <w:spacing w:val="-1"/>
                <w:lang w:val="en-US" w:eastAsia="zh-CN"/>
              </w:rPr>
              <w:t>、</w:t>
            </w:r>
            <w:r>
              <w:rPr>
                <w:rFonts w:hint="default" w:ascii="宋体" w:hAnsi="宋体" w:eastAsia="宋体" w:cs="宋体"/>
                <w:spacing w:val="-1"/>
                <w:lang w:val="en-US" w:eastAsia="zh-CN"/>
              </w:rPr>
              <w:t>工作场景等。</w:t>
            </w:r>
          </w:p>
          <w:p w14:paraId="47A871FE">
            <w:pPr>
              <w:keepNext w:val="0"/>
              <w:keepLines w:val="0"/>
              <w:pageBreakBefore w:val="0"/>
              <w:widowControl/>
              <w:kinsoku/>
              <w:wordWrap/>
              <w:overflowPunct/>
              <w:topLinePunct w:val="0"/>
              <w:autoSpaceDE w:val="0"/>
              <w:autoSpaceDN w:val="0"/>
              <w:bidi w:val="0"/>
              <w:adjustRightInd w:val="0"/>
              <w:snapToGrid w:val="0"/>
              <w:spacing w:line="360" w:lineRule="auto"/>
              <w:ind w:firstLine="418" w:firstLineChars="200"/>
              <w:textAlignment w:val="baseline"/>
              <w:rPr>
                <w:rFonts w:hint="default" w:ascii="宋体" w:hAnsi="宋体" w:eastAsia="宋体" w:cs="宋体"/>
                <w:b/>
                <w:bCs/>
                <w:spacing w:val="-1"/>
                <w:lang w:val="en-US" w:eastAsia="zh-CN"/>
              </w:rPr>
            </w:pPr>
            <w:r>
              <w:rPr>
                <w:rFonts w:hint="default" w:ascii="宋体" w:hAnsi="宋体" w:eastAsia="宋体" w:cs="宋体"/>
                <w:b/>
                <w:bCs/>
                <w:spacing w:val="-1"/>
                <w:lang w:val="en-US" w:eastAsia="zh-CN"/>
              </w:rPr>
              <w:t>二、投资者交流环节</w:t>
            </w:r>
          </w:p>
          <w:p w14:paraId="17C4BFB3">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18" w:firstLineChars="200"/>
              <w:jc w:val="left"/>
              <w:textAlignment w:val="baseline"/>
              <w:rPr>
                <w:rFonts w:hint="default" w:ascii="宋体" w:hAnsi="宋体" w:eastAsia="宋体" w:cs="宋体"/>
                <w:b/>
                <w:bCs/>
                <w:spacing w:val="-1"/>
                <w:lang w:val="en-US" w:eastAsia="zh-CN"/>
              </w:rPr>
            </w:pPr>
            <w:r>
              <w:rPr>
                <w:rFonts w:hint="eastAsia" w:ascii="宋体" w:hAnsi="宋体" w:eastAsia="宋体" w:cs="宋体"/>
                <w:b/>
                <w:bCs/>
                <w:spacing w:val="-1"/>
                <w:lang w:val="en-US" w:eastAsia="zh-CN"/>
              </w:rPr>
              <w:t>1、2025年上半年经营业绩如何？业绩变化原因是什么？</w:t>
            </w:r>
          </w:p>
          <w:p w14:paraId="3928422C">
            <w:pPr>
              <w:keepNext w:val="0"/>
              <w:keepLines w:val="0"/>
              <w:pageBreakBefore w:val="0"/>
              <w:widowControl/>
              <w:kinsoku/>
              <w:wordWrap/>
              <w:overflowPunct/>
              <w:topLinePunct w:val="0"/>
              <w:autoSpaceDE w:val="0"/>
              <w:autoSpaceDN w:val="0"/>
              <w:bidi w:val="0"/>
              <w:adjustRightInd w:val="0"/>
              <w:snapToGrid w:val="0"/>
              <w:spacing w:line="360" w:lineRule="auto"/>
              <w:ind w:firstLine="416" w:firstLineChars="200"/>
              <w:textAlignment w:val="baseline"/>
              <w:rPr>
                <w:rFonts w:hint="default" w:ascii="宋体" w:hAnsi="宋体" w:eastAsia="宋体" w:cs="宋体"/>
                <w:b w:val="0"/>
                <w:bCs w:val="0"/>
                <w:spacing w:val="-1"/>
                <w:lang w:val="en-US" w:eastAsia="zh-CN"/>
              </w:rPr>
            </w:pPr>
            <w:r>
              <w:rPr>
                <w:rFonts w:hint="eastAsia" w:ascii="宋体" w:hAnsi="宋体" w:eastAsia="宋体" w:cs="宋体"/>
                <w:b w:val="0"/>
                <w:bCs w:val="0"/>
                <w:spacing w:val="-1"/>
                <w:lang w:val="en-US" w:eastAsia="zh-CN"/>
              </w:rPr>
              <w:t>答：根据公司财务部门初步测算，预计2025年上半年营业收入1.73-2.11亿元，同比增长26.35%-54.43%；归母净利润2612-3192万元，同比增长72.12%-110.33%。主要增长原因系行业需求恢复，光纤环器件的需求持续增长。同时公司迅速适应行业需求变化，扩大生产规模，加强内部人员培训，保障产品供应，光纤环器件交付量较上年同期大幅增长，公司业务盈利情况持续改善。具体数据以公司8月28日披露的《2025年半年度报告》为准。</w:t>
            </w:r>
          </w:p>
          <w:p w14:paraId="5FBCD5DA">
            <w:pPr>
              <w:keepNext w:val="0"/>
              <w:keepLines w:val="0"/>
              <w:pageBreakBefore w:val="0"/>
              <w:widowControl/>
              <w:kinsoku/>
              <w:wordWrap/>
              <w:overflowPunct/>
              <w:topLinePunct w:val="0"/>
              <w:autoSpaceDE w:val="0"/>
              <w:autoSpaceDN w:val="0"/>
              <w:bidi w:val="0"/>
              <w:adjustRightInd w:val="0"/>
              <w:snapToGrid w:val="0"/>
              <w:spacing w:line="360" w:lineRule="auto"/>
              <w:ind w:firstLine="418" w:firstLineChars="200"/>
              <w:textAlignment w:val="baseline"/>
              <w:rPr>
                <w:rFonts w:hint="default" w:ascii="宋体" w:hAnsi="宋体" w:eastAsia="宋体" w:cs="宋体"/>
                <w:b/>
                <w:bCs/>
                <w:spacing w:val="-1"/>
                <w:lang w:val="en-US" w:eastAsia="zh-CN"/>
              </w:rPr>
            </w:pPr>
            <w:r>
              <w:rPr>
                <w:rFonts w:hint="eastAsia" w:ascii="宋体" w:hAnsi="宋体" w:eastAsia="宋体" w:cs="宋体"/>
                <w:b/>
                <w:bCs/>
                <w:snapToGrid w:val="0"/>
                <w:color w:val="000000"/>
                <w:spacing w:val="-1"/>
                <w:sz w:val="21"/>
                <w:szCs w:val="21"/>
                <w:lang w:val="en-US" w:eastAsia="zh-CN" w:bidi="ar-SA"/>
              </w:rPr>
              <w:t>2、</w:t>
            </w:r>
            <w:r>
              <w:rPr>
                <w:rFonts w:hint="eastAsia" w:ascii="宋体" w:hAnsi="宋体" w:eastAsia="宋体" w:cs="宋体"/>
                <w:b/>
                <w:bCs/>
                <w:spacing w:val="-1"/>
                <w:lang w:val="en-US" w:eastAsia="zh-CN"/>
              </w:rPr>
              <w:t>公司新产品与旧产品价格有区别吗？产品的价格趋势是什么？</w:t>
            </w:r>
          </w:p>
          <w:p w14:paraId="148CE374">
            <w:pPr>
              <w:keepNext w:val="0"/>
              <w:keepLines w:val="0"/>
              <w:pageBreakBefore w:val="0"/>
              <w:widowControl/>
              <w:kinsoku/>
              <w:wordWrap/>
              <w:overflowPunct/>
              <w:topLinePunct w:val="0"/>
              <w:autoSpaceDE w:val="0"/>
              <w:autoSpaceDN w:val="0"/>
              <w:bidi w:val="0"/>
              <w:adjustRightInd w:val="0"/>
              <w:snapToGrid w:val="0"/>
              <w:spacing w:line="360" w:lineRule="auto"/>
              <w:ind w:firstLine="416" w:firstLineChars="200"/>
              <w:textAlignment w:val="baseline"/>
              <w:rPr>
                <w:rFonts w:hint="default" w:ascii="宋体" w:hAnsi="宋体" w:eastAsia="宋体" w:cs="宋体"/>
                <w:b w:val="0"/>
                <w:bCs w:val="0"/>
                <w:spacing w:val="-1"/>
                <w:lang w:val="en-US" w:eastAsia="zh-CN"/>
              </w:rPr>
            </w:pPr>
            <w:r>
              <w:rPr>
                <w:rFonts w:hint="eastAsia" w:ascii="宋体" w:hAnsi="宋体" w:eastAsia="宋体" w:cs="宋体"/>
                <w:b w:val="0"/>
                <w:bCs w:val="0"/>
                <w:spacing w:val="-1"/>
                <w:lang w:val="en-US" w:eastAsia="zh-CN"/>
              </w:rPr>
              <w:t>答：公司会根据单位成本、市场需求、良率产能等情况综合定价，动态调整光纤环等产品的价格。该产品主要应用于惯性导航系统，服务于航天航空制导、海洋监测等高精度领域。应用行业已形成低成本、高精度、小型化趋势，公司会通过加强成本管控和技术升级等策略优化价格。</w:t>
            </w:r>
          </w:p>
          <w:p w14:paraId="7A90C049">
            <w:pPr>
              <w:keepNext w:val="0"/>
              <w:keepLines w:val="0"/>
              <w:pageBreakBefore w:val="0"/>
              <w:widowControl/>
              <w:kinsoku/>
              <w:wordWrap/>
              <w:overflowPunct/>
              <w:topLinePunct w:val="0"/>
              <w:autoSpaceDE w:val="0"/>
              <w:autoSpaceDN w:val="0"/>
              <w:bidi w:val="0"/>
              <w:adjustRightInd w:val="0"/>
              <w:snapToGrid w:val="0"/>
              <w:spacing w:line="360" w:lineRule="auto"/>
              <w:ind w:firstLine="418" w:firstLineChars="200"/>
              <w:textAlignment w:val="baseline"/>
              <w:rPr>
                <w:rFonts w:hint="default" w:ascii="宋体" w:hAnsi="宋体" w:eastAsia="宋体" w:cs="宋体"/>
                <w:b/>
                <w:bCs/>
                <w:spacing w:val="-1"/>
                <w:lang w:val="en-US" w:eastAsia="zh-CN"/>
              </w:rPr>
            </w:pPr>
            <w:r>
              <w:rPr>
                <w:rFonts w:hint="eastAsia" w:ascii="宋体" w:hAnsi="宋体" w:eastAsia="宋体" w:cs="宋体"/>
                <w:b/>
                <w:bCs/>
                <w:spacing w:val="-1"/>
                <w:lang w:val="en-US" w:eastAsia="zh-CN"/>
              </w:rPr>
              <w:t>3、生一升并购项目最新进度到哪里了？</w:t>
            </w:r>
          </w:p>
          <w:p w14:paraId="048F6E41">
            <w:pPr>
              <w:keepNext w:val="0"/>
              <w:keepLines w:val="0"/>
              <w:pageBreakBefore w:val="0"/>
              <w:widowControl/>
              <w:kinsoku/>
              <w:wordWrap/>
              <w:overflowPunct/>
              <w:topLinePunct w:val="0"/>
              <w:autoSpaceDE w:val="0"/>
              <w:autoSpaceDN w:val="0"/>
              <w:bidi w:val="0"/>
              <w:adjustRightInd w:val="0"/>
              <w:snapToGrid w:val="0"/>
              <w:spacing w:line="360" w:lineRule="auto"/>
              <w:ind w:firstLine="416" w:firstLineChars="200"/>
              <w:textAlignment w:val="baseline"/>
              <w:rPr>
                <w:rFonts w:hint="default" w:ascii="宋体" w:hAnsi="宋体" w:eastAsia="宋体" w:cs="宋体"/>
                <w:b w:val="0"/>
                <w:bCs w:val="0"/>
                <w:spacing w:val="-1"/>
                <w:lang w:val="en-US" w:eastAsia="zh-CN"/>
              </w:rPr>
            </w:pPr>
            <w:r>
              <w:rPr>
                <w:rFonts w:hint="eastAsia" w:ascii="宋体" w:hAnsi="宋体" w:eastAsia="宋体" w:cs="宋体"/>
                <w:b w:val="0"/>
                <w:bCs w:val="0"/>
                <w:spacing w:val="-1"/>
                <w:lang w:val="en-US" w:eastAsia="zh-CN"/>
              </w:rPr>
              <w:t>答：公司已于2025年7月18日正式公告《关于发行股份及支付现金购买资产申请的审核问询函回复的公告》，该回复文件已提交至交易所审核部门，目前处于监管机构审核阶段。后续进展将严格遵循信息披露相关规定及时履行披露义务。</w:t>
            </w:r>
          </w:p>
          <w:p w14:paraId="0C3BEA48">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18" w:firstLineChars="200"/>
              <w:textAlignment w:val="baseline"/>
              <w:rPr>
                <w:rFonts w:hint="eastAsia" w:ascii="宋体" w:hAnsi="宋体" w:eastAsia="宋体" w:cs="宋体"/>
                <w:b w:val="0"/>
                <w:bCs w:val="0"/>
                <w:spacing w:val="-1"/>
                <w:lang w:val="en-US" w:eastAsia="zh-CN"/>
              </w:rPr>
            </w:pPr>
            <w:r>
              <w:rPr>
                <w:rFonts w:hint="eastAsia" w:ascii="宋体" w:hAnsi="宋体" w:eastAsia="宋体" w:cs="宋体"/>
                <w:b/>
                <w:bCs/>
                <w:spacing w:val="-1"/>
                <w:lang w:val="en-US" w:eastAsia="zh-CN"/>
              </w:rPr>
              <w:t>4、可以解释下贵公司的集成光子芯片项目？最新进展如何？</w:t>
            </w:r>
          </w:p>
          <w:p w14:paraId="2A59BB24">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16" w:firstLineChars="200"/>
              <w:textAlignment w:val="baseline"/>
              <w:rPr>
                <w:rFonts w:hint="default" w:ascii="宋体" w:hAnsi="宋体" w:eastAsia="宋体" w:cs="宋体"/>
                <w:b w:val="0"/>
                <w:bCs w:val="0"/>
                <w:spacing w:val="-1"/>
                <w:lang w:val="en-US" w:eastAsia="zh-CN"/>
              </w:rPr>
            </w:pPr>
            <w:r>
              <w:rPr>
                <w:rFonts w:hint="eastAsia" w:ascii="宋体" w:hAnsi="宋体" w:eastAsia="宋体" w:cs="宋体"/>
                <w:b w:val="0"/>
                <w:bCs w:val="0"/>
                <w:spacing w:val="-1"/>
                <w:lang w:val="en-US" w:eastAsia="zh-CN"/>
              </w:rPr>
              <w:t>答：光纤陀螺集成光子芯片系将多种光学功能元件高度集成在基片上的多功能芯片，能够实现复杂光信号处理。具备体积小，功耗低，数据处理效率高，可扩展性高，精度高等优点，可满足惯性导航系统对于兼顾高性能、小型轻量化、低成本的惯性器件需求。目前已完成有源、无源集成光子芯片及器件设计、封装、测试平台的建设，处于流片阶段。未来可以广泛应用于航天制导、智能驾驶、海洋监测等领域。</w:t>
            </w:r>
          </w:p>
          <w:p w14:paraId="6881B554">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18" w:firstLineChars="200"/>
              <w:textAlignment w:val="baseline"/>
              <w:rPr>
                <w:rFonts w:hint="eastAsia" w:ascii="宋体" w:hAnsi="宋体" w:eastAsia="宋体" w:cs="宋体"/>
                <w:b w:val="0"/>
                <w:bCs w:val="0"/>
                <w:spacing w:val="-1"/>
                <w:lang w:val="en-US" w:eastAsia="zh-CN"/>
              </w:rPr>
            </w:pPr>
            <w:r>
              <w:rPr>
                <w:rFonts w:hint="eastAsia" w:ascii="宋体" w:hAnsi="宋体" w:eastAsia="宋体" w:cs="宋体"/>
                <w:b/>
                <w:bCs/>
                <w:spacing w:val="-1"/>
                <w:lang w:val="en-US" w:eastAsia="zh-CN"/>
              </w:rPr>
              <w:t>5、公司民用市场逐步扩大，未来增长点在哪些领域？</w:t>
            </w:r>
          </w:p>
          <w:p w14:paraId="6D280029">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16" w:firstLineChars="200"/>
              <w:textAlignment w:val="baseline"/>
              <w:rPr>
                <w:rFonts w:hint="default" w:ascii="宋体" w:hAnsi="宋体" w:eastAsia="宋体" w:cs="宋体"/>
                <w:b w:val="0"/>
                <w:bCs w:val="0"/>
                <w:spacing w:val="-1"/>
                <w:lang w:val="en-US" w:eastAsia="zh-CN"/>
              </w:rPr>
            </w:pPr>
            <w:r>
              <w:rPr>
                <w:rFonts w:hint="eastAsia" w:ascii="宋体" w:hAnsi="宋体" w:eastAsia="宋体" w:cs="宋体"/>
                <w:b w:val="0"/>
                <w:bCs w:val="0"/>
                <w:spacing w:val="-1"/>
                <w:lang w:val="en-US" w:eastAsia="zh-CN"/>
              </w:rPr>
              <w:t>答：公司自上市后系统化推进核心技术的民品产业化，通过全产业链垂直整合优化成本结构，驱动产品标准化与场景定制化并行发展，同步推</w:t>
            </w:r>
            <w:bookmarkStart w:id="0" w:name="_GoBack"/>
            <w:bookmarkEnd w:id="0"/>
            <w:r>
              <w:rPr>
                <w:rFonts w:hint="eastAsia" w:ascii="宋体" w:hAnsi="宋体" w:eastAsia="宋体" w:cs="宋体"/>
                <w:b w:val="0"/>
                <w:bCs w:val="0"/>
                <w:spacing w:val="-1"/>
                <w:lang w:val="en-US" w:eastAsia="zh-CN"/>
              </w:rPr>
              <w:t>进新兴领域的技术预研与专利布局，业务增长点主要包括工业激光器、热控制材料、通信相关产品，涵盖传能、热管理、AI大算力中心等领域。</w:t>
            </w:r>
          </w:p>
        </w:tc>
      </w:tr>
      <w:tr w14:paraId="580EC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6" w:hRule="atLeast"/>
        </w:trPr>
        <w:tc>
          <w:tcPr>
            <w:tcW w:w="3283" w:type="dxa"/>
            <w:vAlign w:val="center"/>
          </w:tcPr>
          <w:p w14:paraId="745B3D15">
            <w:pPr>
              <w:spacing w:line="346" w:lineRule="auto"/>
              <w:jc w:val="center"/>
              <w:rPr>
                <w:rFonts w:hint="eastAsia" w:ascii="黑体" w:hAnsi="黑体" w:eastAsia="黑体" w:cs="黑体"/>
                <w:spacing w:val="11"/>
                <w:sz w:val="24"/>
                <w:szCs w:val="24"/>
                <w:lang w:eastAsia="zh-CN"/>
                <w14:textOutline w14:w="4356" w14:cap="flat" w14:cmpd="sng" w14:algn="ctr">
                  <w14:solidFill>
                    <w14:srgbClr w14:val="000000"/>
                  </w14:solidFill>
                  <w14:prstDash w14:val="solid"/>
                  <w14:miter w14:val="0"/>
                </w14:textOutline>
              </w:rPr>
            </w:pPr>
            <w:r>
              <w:rPr>
                <w:rFonts w:hint="eastAsia" w:ascii="黑体" w:hAnsi="黑体" w:eastAsia="黑体" w:cs="黑体"/>
                <w:spacing w:val="11"/>
                <w:sz w:val="24"/>
                <w:szCs w:val="24"/>
                <w:lang w:eastAsia="zh-CN"/>
                <w14:textOutline w14:w="4356" w14:cap="flat" w14:cmpd="sng" w14:algn="ctr">
                  <w14:solidFill>
                    <w14:srgbClr w14:val="000000"/>
                  </w14:solidFill>
                  <w14:prstDash w14:val="solid"/>
                  <w14:miter w14:val="0"/>
                </w14:textOutline>
              </w:rPr>
              <w:t>风险提示</w:t>
            </w:r>
          </w:p>
        </w:tc>
        <w:tc>
          <w:tcPr>
            <w:tcW w:w="5790" w:type="dxa"/>
            <w:gridSpan w:val="2"/>
            <w:vAlign w:val="center"/>
          </w:tcPr>
          <w:p w14:paraId="79A595E9">
            <w:pPr>
              <w:spacing w:before="131" w:line="360" w:lineRule="auto"/>
              <w:jc w:val="left"/>
              <w:rPr>
                <w:rFonts w:ascii="宋体" w:hAnsi="宋体" w:eastAsia="宋体" w:cs="仿宋"/>
              </w:rPr>
            </w:pPr>
            <w:r>
              <w:rPr>
                <w:rFonts w:hint="eastAsia"/>
              </w:rPr>
              <w:t>以上如涉及对行业的预测、公司发展战略规划等相关内容，不能视作公司或公司管理层对行业、公司发展或业绩的承诺和保证，敬请广大投资者注意投资风险。</w:t>
            </w:r>
          </w:p>
        </w:tc>
      </w:tr>
      <w:tr w14:paraId="080B9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3283" w:type="dxa"/>
            <w:vAlign w:val="center"/>
          </w:tcPr>
          <w:p w14:paraId="41523E92">
            <w:pPr>
              <w:spacing w:line="346" w:lineRule="auto"/>
              <w:jc w:val="center"/>
            </w:pPr>
            <w:r>
              <w:rPr>
                <w:rFonts w:ascii="黑体" w:hAnsi="黑体" w:eastAsia="黑体" w:cs="黑体"/>
                <w:spacing w:val="11"/>
                <w:sz w:val="24"/>
                <w:szCs w:val="24"/>
                <w14:textOutline w14:w="4356" w14:cap="flat" w14:cmpd="sng" w14:algn="ctr">
                  <w14:solidFill>
                    <w14:srgbClr w14:val="000000"/>
                  </w14:solidFill>
                  <w14:prstDash w14:val="solid"/>
                  <w14:miter w14:val="0"/>
                </w14:textOutline>
              </w:rPr>
              <w:t>附件清单</w:t>
            </w:r>
            <w:r>
              <w:rPr>
                <w:rFonts w:hint="eastAsia" w:ascii="黑体" w:hAnsi="黑体" w:eastAsia="黑体" w:cs="黑体"/>
                <w:spacing w:val="11"/>
                <w:sz w:val="24"/>
                <w:szCs w:val="24"/>
                <w:lang w:eastAsia="zh-CN"/>
                <w14:textOutline w14:w="4356" w14:cap="flat" w14:cmpd="sng" w14:algn="ctr">
                  <w14:solidFill>
                    <w14:srgbClr w14:val="000000"/>
                  </w14:solidFill>
                  <w14:prstDash w14:val="solid"/>
                  <w14:miter w14:val="0"/>
                </w14:textOutline>
              </w:rPr>
              <w:t>（</w:t>
            </w:r>
            <w:r>
              <w:rPr>
                <w:rFonts w:ascii="黑体" w:hAnsi="黑体" w:eastAsia="黑体" w:cs="黑体"/>
                <w:spacing w:val="11"/>
                <w:sz w:val="24"/>
                <w:szCs w:val="24"/>
                <w14:textOutline w14:w="4356" w14:cap="flat" w14:cmpd="sng" w14:algn="ctr">
                  <w14:solidFill>
                    <w14:srgbClr w14:val="000000"/>
                  </w14:solidFill>
                  <w14:prstDash w14:val="solid"/>
                  <w14:miter w14:val="0"/>
                </w14:textOutline>
              </w:rPr>
              <w:t>如有</w:t>
            </w:r>
            <w:r>
              <w:rPr>
                <w:rFonts w:hint="eastAsia" w:ascii="黑体" w:hAnsi="黑体" w:eastAsia="黑体" w:cs="黑体"/>
                <w:spacing w:val="11"/>
                <w:sz w:val="24"/>
                <w:szCs w:val="24"/>
                <w:lang w:eastAsia="zh-CN"/>
                <w14:textOutline w14:w="4356" w14:cap="flat" w14:cmpd="sng" w14:algn="ctr">
                  <w14:solidFill>
                    <w14:srgbClr w14:val="000000"/>
                  </w14:solidFill>
                  <w14:prstDash w14:val="solid"/>
                  <w14:miter w14:val="0"/>
                </w14:textOutline>
              </w:rPr>
              <w:t>）</w:t>
            </w:r>
          </w:p>
        </w:tc>
        <w:tc>
          <w:tcPr>
            <w:tcW w:w="5790" w:type="dxa"/>
            <w:gridSpan w:val="2"/>
            <w:vAlign w:val="center"/>
          </w:tcPr>
          <w:p w14:paraId="504202EE">
            <w:pPr>
              <w:spacing w:before="131"/>
              <w:jc w:val="center"/>
              <w:rPr>
                <w:rFonts w:ascii="宋体" w:hAnsi="宋体" w:eastAsia="宋体" w:cs="宋体"/>
                <w:spacing w:val="-11"/>
                <w14:textOutline w14:w="3835" w14:cap="flat" w14:cmpd="sng" w14:algn="ctr">
                  <w14:solidFill>
                    <w14:srgbClr w14:val="000000"/>
                  </w14:solidFill>
                  <w14:prstDash w14:val="solid"/>
                  <w14:miter w14:val="0"/>
                </w14:textOutline>
              </w:rPr>
            </w:pPr>
            <w:r>
              <w:rPr>
                <w:rFonts w:ascii="宋体" w:hAnsi="宋体" w:eastAsia="宋体" w:cs="仿宋"/>
              </w:rPr>
              <w:t>无</w:t>
            </w:r>
          </w:p>
        </w:tc>
      </w:tr>
    </w:tbl>
    <w:p w14:paraId="4C23E658">
      <w:pPr>
        <w:rPr>
          <w:rFonts w:hint="default" w:ascii="Arial" w:hAnsi="Arial" w:eastAsia="宋体" w:cs="Arial"/>
          <w:i w:val="0"/>
          <w:iCs w:val="0"/>
          <w:caps w:val="0"/>
          <w:color w:val="222222"/>
          <w:spacing w:val="0"/>
          <w:sz w:val="21"/>
          <w:szCs w:val="21"/>
          <w:shd w:val="clear" w:fill="FFFFFF"/>
          <w:lang w:val="en-US" w:eastAsia="zh-CN"/>
        </w:rPr>
      </w:pPr>
    </w:p>
    <w:sectPr>
      <w:pgSz w:w="11907" w:h="16839"/>
      <w:pgMar w:top="1440" w:right="1800" w:bottom="1440" w:left="180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汉仪粗圆简">
    <w:panose1 w:val="02010600000101010101"/>
    <w:charset w:val="86"/>
    <w:family w:val="roman"/>
    <w:pitch w:val="default"/>
    <w:sig w:usb0="00000001" w:usb1="080E0800" w:usb2="00000002"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6"/>
  <w:doNotDisplayPageBoundaries w:val="1"/>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000000"/>
    <w:rsid w:val="01545A05"/>
    <w:rsid w:val="01AE3588"/>
    <w:rsid w:val="01D32DCE"/>
    <w:rsid w:val="01D628BE"/>
    <w:rsid w:val="021D0874"/>
    <w:rsid w:val="021F6013"/>
    <w:rsid w:val="02301FCF"/>
    <w:rsid w:val="02331ABF"/>
    <w:rsid w:val="029C58B6"/>
    <w:rsid w:val="02A91D81"/>
    <w:rsid w:val="03773C2D"/>
    <w:rsid w:val="03962305"/>
    <w:rsid w:val="03CF6F0E"/>
    <w:rsid w:val="03E31959"/>
    <w:rsid w:val="04447FB3"/>
    <w:rsid w:val="05015EA4"/>
    <w:rsid w:val="05465FAD"/>
    <w:rsid w:val="06851B15"/>
    <w:rsid w:val="06930D7E"/>
    <w:rsid w:val="06C8301E"/>
    <w:rsid w:val="07AB2F49"/>
    <w:rsid w:val="07BA47F6"/>
    <w:rsid w:val="07CB4548"/>
    <w:rsid w:val="07DB29DD"/>
    <w:rsid w:val="0939608D"/>
    <w:rsid w:val="09CC2259"/>
    <w:rsid w:val="09D70151"/>
    <w:rsid w:val="09DD70BF"/>
    <w:rsid w:val="0A1B3564"/>
    <w:rsid w:val="0A3463D4"/>
    <w:rsid w:val="0A905466"/>
    <w:rsid w:val="0AE40529"/>
    <w:rsid w:val="0AFD710E"/>
    <w:rsid w:val="0B1E2DB5"/>
    <w:rsid w:val="0B3C7C36"/>
    <w:rsid w:val="0BF64289"/>
    <w:rsid w:val="0C4024A9"/>
    <w:rsid w:val="0C692CAD"/>
    <w:rsid w:val="0C8F023A"/>
    <w:rsid w:val="0CB3463E"/>
    <w:rsid w:val="0DCA2888"/>
    <w:rsid w:val="0E156250"/>
    <w:rsid w:val="0FEE5277"/>
    <w:rsid w:val="109B71AD"/>
    <w:rsid w:val="10A058FA"/>
    <w:rsid w:val="10A73DA4"/>
    <w:rsid w:val="10CD5130"/>
    <w:rsid w:val="118B7221"/>
    <w:rsid w:val="11D72467"/>
    <w:rsid w:val="11DC7A7D"/>
    <w:rsid w:val="127E6D86"/>
    <w:rsid w:val="12C754BC"/>
    <w:rsid w:val="138F10FE"/>
    <w:rsid w:val="13F76DF0"/>
    <w:rsid w:val="13FF287E"/>
    <w:rsid w:val="14D914EE"/>
    <w:rsid w:val="14FB74F2"/>
    <w:rsid w:val="153C6A85"/>
    <w:rsid w:val="156D5C3E"/>
    <w:rsid w:val="16404CC3"/>
    <w:rsid w:val="164F4491"/>
    <w:rsid w:val="17842B8C"/>
    <w:rsid w:val="179E3A27"/>
    <w:rsid w:val="18003113"/>
    <w:rsid w:val="18562547"/>
    <w:rsid w:val="19C37774"/>
    <w:rsid w:val="1A475CB0"/>
    <w:rsid w:val="1A8D54AB"/>
    <w:rsid w:val="1B1A668B"/>
    <w:rsid w:val="1BD47A17"/>
    <w:rsid w:val="1BDC68CC"/>
    <w:rsid w:val="1BF754B3"/>
    <w:rsid w:val="1C37598E"/>
    <w:rsid w:val="1CE25505"/>
    <w:rsid w:val="1D7019C1"/>
    <w:rsid w:val="1F5A2B07"/>
    <w:rsid w:val="1F6E1F30"/>
    <w:rsid w:val="1F852B38"/>
    <w:rsid w:val="1F953961"/>
    <w:rsid w:val="1FC87893"/>
    <w:rsid w:val="201E4236"/>
    <w:rsid w:val="21060CAB"/>
    <w:rsid w:val="21AD0AEE"/>
    <w:rsid w:val="229E0D7F"/>
    <w:rsid w:val="22A53EBB"/>
    <w:rsid w:val="2303032F"/>
    <w:rsid w:val="248875F1"/>
    <w:rsid w:val="25080A70"/>
    <w:rsid w:val="25253091"/>
    <w:rsid w:val="25B44BE3"/>
    <w:rsid w:val="26753BA5"/>
    <w:rsid w:val="26811471"/>
    <w:rsid w:val="275B723E"/>
    <w:rsid w:val="28025A1A"/>
    <w:rsid w:val="280A3C36"/>
    <w:rsid w:val="28221B0A"/>
    <w:rsid w:val="28292E99"/>
    <w:rsid w:val="28577A06"/>
    <w:rsid w:val="28940C5A"/>
    <w:rsid w:val="28A349F9"/>
    <w:rsid w:val="29EC23D0"/>
    <w:rsid w:val="2A06146B"/>
    <w:rsid w:val="2A1D6A2D"/>
    <w:rsid w:val="2A574B8D"/>
    <w:rsid w:val="2AB23619"/>
    <w:rsid w:val="2AE76B06"/>
    <w:rsid w:val="2BC76C50"/>
    <w:rsid w:val="2C471B3F"/>
    <w:rsid w:val="2C7D0806"/>
    <w:rsid w:val="2C866B0B"/>
    <w:rsid w:val="2CF33E7C"/>
    <w:rsid w:val="2D256324"/>
    <w:rsid w:val="2D6F55FD"/>
    <w:rsid w:val="2D762DA4"/>
    <w:rsid w:val="2D964B2C"/>
    <w:rsid w:val="2EB931C8"/>
    <w:rsid w:val="2F9652B7"/>
    <w:rsid w:val="2FE74253"/>
    <w:rsid w:val="30327943"/>
    <w:rsid w:val="308570DA"/>
    <w:rsid w:val="31C60848"/>
    <w:rsid w:val="32300DF4"/>
    <w:rsid w:val="327B210D"/>
    <w:rsid w:val="32BA750F"/>
    <w:rsid w:val="32F444B2"/>
    <w:rsid w:val="33E04D53"/>
    <w:rsid w:val="343C3F54"/>
    <w:rsid w:val="34C24459"/>
    <w:rsid w:val="34E675D0"/>
    <w:rsid w:val="34FC3E0F"/>
    <w:rsid w:val="35233D58"/>
    <w:rsid w:val="3529097C"/>
    <w:rsid w:val="35DC59EE"/>
    <w:rsid w:val="35E05D71"/>
    <w:rsid w:val="36CC5A63"/>
    <w:rsid w:val="373F4487"/>
    <w:rsid w:val="375D1E78"/>
    <w:rsid w:val="37860CFA"/>
    <w:rsid w:val="37991DE9"/>
    <w:rsid w:val="383047CA"/>
    <w:rsid w:val="388A0452"/>
    <w:rsid w:val="392D37C9"/>
    <w:rsid w:val="39E25A5D"/>
    <w:rsid w:val="3A06303A"/>
    <w:rsid w:val="3A244B12"/>
    <w:rsid w:val="3A557B1D"/>
    <w:rsid w:val="3A6357CC"/>
    <w:rsid w:val="3BED7890"/>
    <w:rsid w:val="3DC41A53"/>
    <w:rsid w:val="3DD5344F"/>
    <w:rsid w:val="3EED5823"/>
    <w:rsid w:val="3F6A7BC7"/>
    <w:rsid w:val="3F870779"/>
    <w:rsid w:val="3FA15A86"/>
    <w:rsid w:val="40A21074"/>
    <w:rsid w:val="41406E31"/>
    <w:rsid w:val="41AC096A"/>
    <w:rsid w:val="41D91034"/>
    <w:rsid w:val="41E33C60"/>
    <w:rsid w:val="42097B6B"/>
    <w:rsid w:val="42E42CCB"/>
    <w:rsid w:val="43193DDE"/>
    <w:rsid w:val="44CB55AC"/>
    <w:rsid w:val="44E126D9"/>
    <w:rsid w:val="45AC5A5D"/>
    <w:rsid w:val="466510E8"/>
    <w:rsid w:val="46761854"/>
    <w:rsid w:val="467B090B"/>
    <w:rsid w:val="47BE31A6"/>
    <w:rsid w:val="4800731A"/>
    <w:rsid w:val="48BA396D"/>
    <w:rsid w:val="49080B7C"/>
    <w:rsid w:val="49302F0F"/>
    <w:rsid w:val="493C25D4"/>
    <w:rsid w:val="49647D7D"/>
    <w:rsid w:val="49AD3239"/>
    <w:rsid w:val="49B740C9"/>
    <w:rsid w:val="4A1C0D50"/>
    <w:rsid w:val="4A2A4B22"/>
    <w:rsid w:val="4A3B0ADD"/>
    <w:rsid w:val="4A442B1E"/>
    <w:rsid w:val="4B040685"/>
    <w:rsid w:val="4B1530DD"/>
    <w:rsid w:val="4B1B26BD"/>
    <w:rsid w:val="4B481704"/>
    <w:rsid w:val="4C675BBA"/>
    <w:rsid w:val="4CA706AC"/>
    <w:rsid w:val="4D2F41FE"/>
    <w:rsid w:val="4D4F0235"/>
    <w:rsid w:val="4DB57566"/>
    <w:rsid w:val="4DFA480C"/>
    <w:rsid w:val="4E395334"/>
    <w:rsid w:val="4E9E788D"/>
    <w:rsid w:val="4EB946C7"/>
    <w:rsid w:val="4ED137BE"/>
    <w:rsid w:val="4F0442B5"/>
    <w:rsid w:val="4F053468"/>
    <w:rsid w:val="4F8A33FE"/>
    <w:rsid w:val="5115270F"/>
    <w:rsid w:val="527728CF"/>
    <w:rsid w:val="556F788D"/>
    <w:rsid w:val="55D3606E"/>
    <w:rsid w:val="57E666CC"/>
    <w:rsid w:val="588875E4"/>
    <w:rsid w:val="58BC103B"/>
    <w:rsid w:val="58CD5C4E"/>
    <w:rsid w:val="58F9403E"/>
    <w:rsid w:val="59D2488F"/>
    <w:rsid w:val="5A5F6122"/>
    <w:rsid w:val="5AF53A87"/>
    <w:rsid w:val="5B8A3673"/>
    <w:rsid w:val="5C7A6129"/>
    <w:rsid w:val="5E624433"/>
    <w:rsid w:val="5EAC1B52"/>
    <w:rsid w:val="5F0B6879"/>
    <w:rsid w:val="5F3C4E3E"/>
    <w:rsid w:val="5FEE6985"/>
    <w:rsid w:val="601570D8"/>
    <w:rsid w:val="60490CEC"/>
    <w:rsid w:val="60C05441"/>
    <w:rsid w:val="621912AD"/>
    <w:rsid w:val="629F51E1"/>
    <w:rsid w:val="63847AD9"/>
    <w:rsid w:val="63860BC4"/>
    <w:rsid w:val="63E678B4"/>
    <w:rsid w:val="63F4600E"/>
    <w:rsid w:val="6412144A"/>
    <w:rsid w:val="642301C1"/>
    <w:rsid w:val="657038D9"/>
    <w:rsid w:val="65A51A6C"/>
    <w:rsid w:val="65E63B9C"/>
    <w:rsid w:val="666920D7"/>
    <w:rsid w:val="66952ECC"/>
    <w:rsid w:val="677F7E04"/>
    <w:rsid w:val="678C42CF"/>
    <w:rsid w:val="68617509"/>
    <w:rsid w:val="68E352A2"/>
    <w:rsid w:val="68EA39A3"/>
    <w:rsid w:val="68F33297"/>
    <w:rsid w:val="69E76134"/>
    <w:rsid w:val="6A8B4D12"/>
    <w:rsid w:val="6AB57FE0"/>
    <w:rsid w:val="6ABA195F"/>
    <w:rsid w:val="6B7D0AFE"/>
    <w:rsid w:val="6B8E4AB9"/>
    <w:rsid w:val="6BAF4AC6"/>
    <w:rsid w:val="6C6E0447"/>
    <w:rsid w:val="6D111B2A"/>
    <w:rsid w:val="6D41296A"/>
    <w:rsid w:val="6D711AC2"/>
    <w:rsid w:val="6DC46050"/>
    <w:rsid w:val="6EFE3E93"/>
    <w:rsid w:val="6F60051B"/>
    <w:rsid w:val="6F881820"/>
    <w:rsid w:val="6FC54822"/>
    <w:rsid w:val="6FCB7F43"/>
    <w:rsid w:val="6FFE7D34"/>
    <w:rsid w:val="70127ACB"/>
    <w:rsid w:val="70390D6C"/>
    <w:rsid w:val="709B5583"/>
    <w:rsid w:val="70ED2282"/>
    <w:rsid w:val="70F52E27"/>
    <w:rsid w:val="714D4ACF"/>
    <w:rsid w:val="71AF3FCA"/>
    <w:rsid w:val="71CF1988"/>
    <w:rsid w:val="72263DBE"/>
    <w:rsid w:val="7266237A"/>
    <w:rsid w:val="73006781"/>
    <w:rsid w:val="741144D9"/>
    <w:rsid w:val="74836A59"/>
    <w:rsid w:val="75220020"/>
    <w:rsid w:val="756339FF"/>
    <w:rsid w:val="75985E0F"/>
    <w:rsid w:val="75D37C3B"/>
    <w:rsid w:val="75FC2F67"/>
    <w:rsid w:val="76007DF5"/>
    <w:rsid w:val="76472434"/>
    <w:rsid w:val="7682521B"/>
    <w:rsid w:val="76D10464"/>
    <w:rsid w:val="7738222A"/>
    <w:rsid w:val="777F0BBD"/>
    <w:rsid w:val="77CD6969"/>
    <w:rsid w:val="77D777E8"/>
    <w:rsid w:val="78392611"/>
    <w:rsid w:val="78436C2C"/>
    <w:rsid w:val="7879264D"/>
    <w:rsid w:val="7B8025F1"/>
    <w:rsid w:val="7BB919DF"/>
    <w:rsid w:val="7BF85B9E"/>
    <w:rsid w:val="7C8141C6"/>
    <w:rsid w:val="7D2B161E"/>
    <w:rsid w:val="7D690EE2"/>
    <w:rsid w:val="7D747887"/>
    <w:rsid w:val="7E8104AE"/>
    <w:rsid w:val="7FEE39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12"/>
    <w:qFormat/>
    <w:uiPriority w:val="0"/>
    <w:pPr>
      <w:tabs>
        <w:tab w:val="center" w:pos="4153"/>
        <w:tab w:val="right" w:pos="8306"/>
      </w:tabs>
    </w:pPr>
    <w:rPr>
      <w:sz w:val="18"/>
      <w:szCs w:val="18"/>
    </w:rPr>
  </w:style>
  <w:style w:type="paragraph" w:styleId="3">
    <w:name w:val="header"/>
    <w:basedOn w:val="1"/>
    <w:link w:val="11"/>
    <w:qFormat/>
    <w:uiPriority w:val="0"/>
    <w:pPr>
      <w:tabs>
        <w:tab w:val="center" w:pos="4153"/>
        <w:tab w:val="right" w:pos="8306"/>
      </w:tabs>
      <w:jc w:val="center"/>
    </w:pPr>
    <w:rPr>
      <w:sz w:val="18"/>
      <w:szCs w:val="18"/>
    </w:rPr>
  </w:style>
  <w:style w:type="character" w:styleId="6">
    <w:name w:val="Strong"/>
    <w:basedOn w:val="5"/>
    <w:qFormat/>
    <w:uiPriority w:val="0"/>
    <w:rPr>
      <w:b/>
    </w:rPr>
  </w:style>
  <w:style w:type="table" w:customStyle="1" w:styleId="7">
    <w:name w:val="Table Normal1"/>
    <w:unhideWhenUsed/>
    <w:qFormat/>
    <w:uiPriority w:val="0"/>
    <w:tblPr>
      <w:tblCellMar>
        <w:top w:w="0" w:type="dxa"/>
        <w:left w:w="0" w:type="dxa"/>
        <w:bottom w:w="0" w:type="dxa"/>
        <w:right w:w="0" w:type="dxa"/>
      </w:tblCellMar>
    </w:tblPr>
  </w:style>
  <w:style w:type="paragraph" w:customStyle="1" w:styleId="8">
    <w:name w:val="Normal1"/>
    <w:qFormat/>
    <w:uiPriority w:val="0"/>
    <w:pPr>
      <w:widowControl w:val="0"/>
      <w:jc w:val="both"/>
    </w:pPr>
    <w:rPr>
      <w:rFonts w:ascii="Calibri" w:hAnsi="Calibri" w:eastAsia="宋体" w:cs="Times New Roman"/>
      <w:kern w:val="2"/>
      <w:sz w:val="21"/>
      <w:szCs w:val="21"/>
      <w:lang w:val="en-US" w:eastAsia="zh-CN" w:bidi="ar-SA"/>
    </w:rPr>
  </w:style>
  <w:style w:type="paragraph" w:customStyle="1" w:styleId="9">
    <w:name w:val="列出段落1"/>
    <w:basedOn w:val="1"/>
    <w:qFormat/>
    <w:uiPriority w:val="0"/>
    <w:pPr>
      <w:widowControl w:val="0"/>
      <w:kinsoku/>
      <w:autoSpaceDE/>
      <w:autoSpaceDN/>
      <w:adjustRightInd/>
      <w:snapToGrid/>
      <w:ind w:firstLine="420" w:firstLineChars="200"/>
      <w:jc w:val="both"/>
      <w:textAlignment w:val="auto"/>
    </w:pPr>
    <w:rPr>
      <w:rFonts w:ascii="Calibri" w:hAnsi="Calibri" w:eastAsia="宋体" w:cs="Times New Roman"/>
      <w:color w:val="auto"/>
      <w:kern w:val="2"/>
    </w:rPr>
  </w:style>
  <w:style w:type="paragraph" w:customStyle="1" w:styleId="10">
    <w:name w:val="List Paragraph"/>
    <w:basedOn w:val="1"/>
    <w:qFormat/>
    <w:uiPriority w:val="99"/>
    <w:pPr>
      <w:ind w:firstLine="420" w:firstLineChars="200"/>
    </w:pPr>
  </w:style>
  <w:style w:type="character" w:customStyle="1" w:styleId="11">
    <w:name w:val="页眉 字符"/>
    <w:basedOn w:val="5"/>
    <w:link w:val="3"/>
    <w:qFormat/>
    <w:uiPriority w:val="0"/>
    <w:rPr>
      <w:rFonts w:ascii="Arial" w:hAnsi="Arial" w:eastAsia="Arial" w:cs="Arial"/>
      <w:snapToGrid w:val="0"/>
      <w:color w:val="000000"/>
      <w:sz w:val="18"/>
      <w:szCs w:val="18"/>
    </w:rPr>
  </w:style>
  <w:style w:type="character" w:customStyle="1" w:styleId="12">
    <w:name w:val="页脚 字符"/>
    <w:basedOn w:val="5"/>
    <w:link w:val="2"/>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1411</Words>
  <Characters>1511</Characters>
  <Lines>7</Lines>
  <Paragraphs>2</Paragraphs>
  <TotalTime>14</TotalTime>
  <ScaleCrop>false</ScaleCrop>
  <LinksUpToDate>false</LinksUpToDate>
  <CharactersWithSpaces>1587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2024-01-20T01:08:00Z</dcterms:created>
  <dc:creator>Data</dc:creator>
  <cp:lastModifiedBy>67</cp:lastModifiedBy>
  <cp:lastPrinted>2024-05-18T02:53:00Z</cp:lastPrinted>
  <dcterms:modified xsi:type="dcterms:W3CDTF">2025-07-24T07:38:53Z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2023-08-25T10:23:00Z</vt:filetime>
  </property>
  <property fmtid="{D5CDD505-2E9C-101B-9397-08002B2CF9AE}" pid="4" name="UsrData">
    <vt:lpwstr>64e8108ff7cc97001fbc8a0c</vt:lpwstr>
  </property>
  <property fmtid="{D5CDD505-2E9C-101B-9397-08002B2CF9AE}" pid="5" name="KSOProductBuildVer">
    <vt:lpwstr>2052-12.1.0.21915</vt:lpwstr>
  </property>
  <property fmtid="{D5CDD505-2E9C-101B-9397-08002B2CF9AE}" pid="6" name="ICV">
    <vt:lpwstr>ECA05C1A2EF447D8BB3EA69762630A62_13</vt:lpwstr>
  </property>
  <property fmtid="{D5CDD505-2E9C-101B-9397-08002B2CF9AE}" pid="7" name="KSOTemplateDocerSaveRecord">
    <vt:lpwstr>eyJoZGlkIjoiMWFkYTQyMmJjYjQyNjg2OTJmNWY0MWY1Nzk4NGE3YWEiLCJ1c2VySWQiOiIyNzA4Njc4NzYifQ==</vt:lpwstr>
  </property>
</Properties>
</file>