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A5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宋体" w:hAnsi="宋体" w:eastAsia="宋体" w:cs="Times New Roman"/>
          <w:kern w:val="2"/>
          <w:sz w:val="24"/>
          <w:szCs w:val="24"/>
          <w:lang w:val="en-US" w:bidi="ar-SA"/>
        </w:rPr>
      </w:pPr>
      <w:bookmarkStart w:id="0" w:name="_GoBack"/>
      <w:bookmarkEnd w:id="0"/>
      <w:r>
        <w:rPr>
          <w:rFonts w:hint="eastAsia" w:ascii="宋体" w:hAnsi="宋体" w:eastAsia="宋体" w:cs="Times New Roman"/>
          <w:kern w:val="2"/>
          <w:sz w:val="24"/>
          <w:szCs w:val="24"/>
          <w:lang w:val="en-US" w:bidi="ar-SA"/>
        </w:rPr>
        <w:t>证券代码：600331                               证券简称：宏达股份</w:t>
      </w:r>
    </w:p>
    <w:p w14:paraId="1549DE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黑体" w:hAnsi="黑体" w:eastAsia="黑体" w:cs="Times New Roman"/>
          <w:kern w:val="2"/>
          <w:sz w:val="36"/>
          <w:szCs w:val="36"/>
          <w:lang w:val="en-US" w:bidi="ar-SA"/>
        </w:rPr>
      </w:pPr>
    </w:p>
    <w:p w14:paraId="152BB2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黑体" w:hAnsi="黑体" w:eastAsia="黑体" w:cs="Times New Roman"/>
          <w:kern w:val="2"/>
          <w:sz w:val="36"/>
          <w:szCs w:val="36"/>
          <w:lang w:val="en-US" w:bidi="ar-SA"/>
        </w:rPr>
      </w:pPr>
      <w:r>
        <w:rPr>
          <w:rFonts w:hint="eastAsia" w:ascii="黑体" w:hAnsi="黑体" w:eastAsia="黑体" w:cs="Times New Roman"/>
          <w:kern w:val="2"/>
          <w:sz w:val="36"/>
          <w:szCs w:val="36"/>
          <w:lang w:val="en-US" w:bidi="ar-SA"/>
        </w:rPr>
        <w:t>四川宏达股份有限公司</w:t>
      </w:r>
    </w:p>
    <w:p w14:paraId="50D9C9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黑体" w:hAnsi="黑体" w:eastAsia="黑体" w:cs="Times New Roman"/>
          <w:kern w:val="2"/>
          <w:sz w:val="36"/>
          <w:szCs w:val="36"/>
          <w:lang w:val="en-US" w:bidi="ar-SA"/>
        </w:rPr>
      </w:pPr>
      <w:r>
        <w:rPr>
          <w:rFonts w:hint="eastAsia" w:ascii="黑体" w:hAnsi="黑体" w:eastAsia="黑体" w:cs="Times New Roman"/>
          <w:kern w:val="2"/>
          <w:sz w:val="36"/>
          <w:szCs w:val="36"/>
          <w:lang w:val="en-US" w:bidi="ar-SA"/>
        </w:rPr>
        <w:t>投资者关系活动记录表</w:t>
      </w:r>
    </w:p>
    <w:p w14:paraId="03AF9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黑体" w:hAnsi="黑体" w:eastAsia="黑体" w:cs="Times New Roman"/>
          <w:kern w:val="2"/>
          <w:sz w:val="36"/>
          <w:szCs w:val="36"/>
          <w:lang w:val="en-US" w:bidi="ar-SA"/>
        </w:rPr>
      </w:pPr>
    </w:p>
    <w:tbl>
      <w:tblPr>
        <w:tblStyle w:val="10"/>
        <w:tblW w:w="85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0"/>
        <w:gridCol w:w="5945"/>
      </w:tblGrid>
      <w:tr w14:paraId="1913F4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1" w:hRule="atLeast"/>
          <w:jc w:val="center"/>
        </w:trPr>
        <w:tc>
          <w:tcPr>
            <w:tcW w:w="2580" w:type="dxa"/>
            <w:vAlign w:val="center"/>
          </w:tcPr>
          <w:p w14:paraId="391939FD">
            <w:pPr>
              <w:pStyle w:val="13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投资者关系活动类别</w:t>
            </w:r>
          </w:p>
        </w:tc>
        <w:tc>
          <w:tcPr>
            <w:tcW w:w="5945" w:type="dxa"/>
          </w:tcPr>
          <w:p w14:paraId="60D56936">
            <w:pPr>
              <w:pStyle w:val="13"/>
              <w:ind w:firstLine="129" w:firstLineChars="54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1BBA057">
            <w:pPr>
              <w:pStyle w:val="13"/>
              <w:rPr>
                <w:rFonts w:hint="eastAsia" w:ascii="宋体" w:hAnsi="宋体" w:eastAsia="宋体" w:cs="宋体"/>
                <w:sz w:val="24"/>
                <w:szCs w:val="24"/>
              </w:rPr>
            </w:pPr>
            <w:sdt>
              <w:sdtPr>
                <w:rPr>
                  <w:rFonts w:hint="eastAsia" w:ascii="宋体" w:hAnsi="宋体" w:eastAsia="宋体" w:cs="宋体"/>
                  <w:sz w:val="24"/>
                  <w:szCs w:val="24"/>
                </w:rPr>
                <w:id w:val="249780449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4"/>
                  <w:szCs w:val="24"/>
                </w:rPr>
              </w:sdtEndPr>
              <w:sdtContent>
                <w:r>
                  <w:rPr>
                    <w:rFonts w:hint="eastAsia" w:ascii="Wingdings 2" w:hAnsi="Wingdings 2" w:eastAsia="宋体" w:cs="宋体"/>
                    <w:sz w:val="24"/>
                    <w:szCs w:val="24"/>
                    <w:lang w:val="zh-CN" w:eastAsia="zh-CN" w:bidi="zh-CN"/>
                  </w:rPr>
                  <w:t>R</w:t>
                </w:r>
              </w:sdtContent>
            </w:sdt>
            <w:r>
              <w:rPr>
                <w:rFonts w:hint="eastAsia" w:ascii="宋体" w:hAnsi="宋体" w:eastAsia="宋体" w:cs="宋体"/>
                <w:sz w:val="24"/>
                <w:szCs w:val="24"/>
              </w:rPr>
              <w:t>特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对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调研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sdt>
              <w:sdtPr>
                <w:rPr>
                  <w:rFonts w:hint="eastAsia" w:ascii="宋体" w:hAnsi="宋体" w:eastAsia="宋体" w:cs="宋体"/>
                  <w:sz w:val="24"/>
                  <w:szCs w:val="24"/>
                </w:rPr>
                <w:id w:val="-4168757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4"/>
                  <w:szCs w:val="24"/>
                </w:rPr>
              </w:sdtEndPr>
              <w:sdtContent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师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议</w:t>
            </w:r>
          </w:p>
          <w:p w14:paraId="288A16D6">
            <w:pPr>
              <w:pStyle w:val="13"/>
              <w:rPr>
                <w:rFonts w:hint="eastAsia" w:ascii="宋体" w:hAnsi="宋体" w:eastAsia="宋体" w:cs="宋体"/>
                <w:sz w:val="24"/>
                <w:szCs w:val="24"/>
              </w:rPr>
            </w:pPr>
            <w:sdt>
              <w:sdtPr>
                <w:rPr>
                  <w:rFonts w:hint="eastAsia" w:ascii="宋体" w:hAnsi="宋体" w:eastAsia="宋体" w:cs="宋体"/>
                  <w:sz w:val="24"/>
                  <w:szCs w:val="24"/>
                </w:rPr>
                <w:id w:val="12069060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4"/>
                  <w:szCs w:val="24"/>
                </w:rPr>
              </w:sdtEndPr>
              <w:sdtContent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4"/>
                <w:szCs w:val="24"/>
              </w:rPr>
              <w:t>媒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体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采访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sdt>
              <w:sdtPr>
                <w:rPr>
                  <w:rFonts w:hint="eastAsia" w:ascii="宋体" w:hAnsi="宋体" w:eastAsia="宋体" w:cs="宋体"/>
                  <w:sz w:val="24"/>
                  <w:szCs w:val="24"/>
                </w:rPr>
                <w:id w:val="-666589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宋体" w:cs="宋体"/>
                    <w:sz w:val="24"/>
                    <w:szCs w:val="24"/>
                    <w:lang w:val="zh-CN" w:eastAsia="zh-CN" w:bidi="zh-CN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4"/>
                <w:szCs w:val="24"/>
              </w:rPr>
              <w:t>业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绩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说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明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会</w:t>
            </w:r>
          </w:p>
          <w:p w14:paraId="36113116">
            <w:pPr>
              <w:pStyle w:val="13"/>
              <w:rPr>
                <w:rFonts w:hint="eastAsia" w:ascii="宋体" w:hAnsi="宋体" w:eastAsia="宋体" w:cs="宋体"/>
                <w:sz w:val="24"/>
                <w:szCs w:val="24"/>
              </w:rPr>
            </w:pPr>
            <w:sdt>
              <w:sdtPr>
                <w:rPr>
                  <w:rFonts w:hint="eastAsia" w:ascii="宋体" w:hAnsi="宋体" w:eastAsia="宋体" w:cs="宋体"/>
                  <w:sz w:val="24"/>
                  <w:szCs w:val="24"/>
                </w:rPr>
                <w:id w:val="-18481674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4"/>
                  <w:szCs w:val="24"/>
                </w:rPr>
              </w:sdtEndPr>
              <w:sdtContent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4"/>
                <w:szCs w:val="24"/>
              </w:rPr>
              <w:t>新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发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sdt>
              <w:sdtPr>
                <w:rPr>
                  <w:rFonts w:hint="eastAsia" w:ascii="宋体" w:hAnsi="宋体" w:eastAsia="宋体" w:cs="宋体"/>
                  <w:sz w:val="24"/>
                  <w:szCs w:val="24"/>
                </w:rPr>
                <w:id w:val="4120496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宋体" w:cs="宋体"/>
                    <w:sz w:val="24"/>
                    <w:szCs w:val="24"/>
                    <w:lang w:val="zh-CN" w:eastAsia="zh-CN" w:bidi="zh-CN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4"/>
                <w:szCs w:val="24"/>
              </w:rPr>
              <w:t>路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演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活动</w:t>
            </w:r>
          </w:p>
          <w:p w14:paraId="413999B8">
            <w:pPr>
              <w:pStyle w:val="13"/>
              <w:rPr>
                <w:rFonts w:hint="eastAsia" w:ascii="宋体" w:hAnsi="宋体" w:eastAsia="宋体" w:cs="宋体"/>
                <w:sz w:val="24"/>
                <w:szCs w:val="24"/>
              </w:rPr>
            </w:pPr>
            <w:sdt>
              <w:sdtPr>
                <w:rPr>
                  <w:rFonts w:hint="eastAsia" w:ascii="宋体" w:hAnsi="宋体" w:eastAsia="宋体" w:cs="宋体"/>
                  <w:sz w:val="24"/>
                  <w:szCs w:val="24"/>
                </w:rPr>
                <w:id w:val="-13333669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4"/>
                  <w:szCs w:val="24"/>
                </w:rPr>
              </w:sdtEndPr>
              <w:sdtContent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4"/>
                <w:szCs w:val="24"/>
              </w:rPr>
              <w:t>现场参观</w:t>
            </w:r>
          </w:p>
          <w:p w14:paraId="75D0180C">
            <w:pPr>
              <w:pStyle w:val="13"/>
              <w:rPr>
                <w:rFonts w:hint="eastAsia" w:ascii="宋体" w:hAnsi="宋体" w:eastAsia="宋体" w:cs="宋体"/>
                <w:sz w:val="24"/>
                <w:szCs w:val="24"/>
              </w:rPr>
            </w:pPr>
            <w:sdt>
              <w:sdtPr>
                <w:rPr>
                  <w:rFonts w:hint="eastAsia" w:ascii="宋体" w:hAnsi="宋体" w:eastAsia="宋体" w:cs="宋体"/>
                  <w:sz w:val="24"/>
                  <w:szCs w:val="24"/>
                </w:rPr>
                <w:id w:val="4008852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4"/>
                  <w:szCs w:val="24"/>
                </w:rPr>
              </w:sdtEndPr>
              <w:sdtContent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4"/>
                <w:szCs w:val="24"/>
              </w:rPr>
              <w:t>其他（请文字说明其他活动内容）</w:t>
            </w:r>
          </w:p>
        </w:tc>
      </w:tr>
      <w:tr w14:paraId="319961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580" w:type="dxa"/>
            <w:vAlign w:val="center"/>
          </w:tcPr>
          <w:p w14:paraId="059236D7">
            <w:pPr>
              <w:pStyle w:val="13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形式</w:t>
            </w:r>
          </w:p>
        </w:tc>
        <w:tc>
          <w:tcPr>
            <w:tcW w:w="5945" w:type="dxa"/>
          </w:tcPr>
          <w:p w14:paraId="73EA1539">
            <w:pPr>
              <w:pStyle w:val="13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sdt>
              <w:sdtPr>
                <w:rPr>
                  <w:rFonts w:hint="eastAsia" w:ascii="宋体" w:hAnsi="宋体" w:eastAsia="宋体" w:cs="宋体"/>
                  <w:sz w:val="24"/>
                  <w:szCs w:val="24"/>
                </w:rPr>
                <w:id w:val="201993987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4"/>
                  <w:szCs w:val="24"/>
                </w:rPr>
              </w:sdtEndPr>
              <w:sdtContent>
                <w:r>
                  <w:rPr>
                    <w:rFonts w:hint="eastAsia" w:ascii="Wingdings 2" w:hAnsi="Wingdings 2" w:eastAsia="宋体" w:cs="宋体"/>
                    <w:sz w:val="24"/>
                    <w:szCs w:val="24"/>
                    <w:lang w:val="zh-CN" w:eastAsia="zh-CN" w:bidi="zh-CN"/>
                  </w:rPr>
                  <w:t>R</w:t>
                </w:r>
              </w:sdtContent>
            </w:sdt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现场     </w:t>
            </w:r>
            <w:sdt>
              <w:sdtPr>
                <w:rPr>
                  <w:rFonts w:hint="eastAsia" w:ascii="宋体" w:hAnsi="宋体" w:eastAsia="宋体" w:cs="宋体"/>
                  <w:sz w:val="24"/>
                  <w:szCs w:val="24"/>
                </w:rPr>
                <w:id w:val="-19028964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4"/>
                  <w:szCs w:val="24"/>
                </w:rPr>
              </w:sdtEndPr>
              <w:sdtContent>
                <w:r>
                  <w:rPr>
                    <w:rFonts w:hint="eastAsia" w:ascii="宋体" w:hAnsi="宋体" w:eastAsia="宋体" w:cs="宋体"/>
                    <w:sz w:val="24"/>
                    <w:szCs w:val="24"/>
                    <w:lang w:val="zh-CN" w:eastAsia="zh-CN" w:bidi="zh-CN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网上    </w:t>
            </w:r>
            <w:sdt>
              <w:sdtPr>
                <w:rPr>
                  <w:rFonts w:hint="eastAsia" w:ascii="宋体" w:hAnsi="宋体" w:eastAsia="宋体" w:cs="宋体"/>
                  <w:sz w:val="24"/>
                  <w:szCs w:val="24"/>
                </w:rPr>
                <w:id w:val="10765617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4"/>
                  <w:szCs w:val="24"/>
                </w:rPr>
              </w:sdtEndPr>
              <w:sdtContent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电话会议</w:t>
            </w:r>
          </w:p>
        </w:tc>
      </w:tr>
      <w:tr w14:paraId="3EE835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2580" w:type="dxa"/>
            <w:vAlign w:val="center"/>
          </w:tcPr>
          <w:p w14:paraId="42BC36F7">
            <w:pPr>
              <w:pStyle w:val="13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参与单位名称</w:t>
            </w:r>
          </w:p>
        </w:tc>
        <w:tc>
          <w:tcPr>
            <w:tcW w:w="5945" w:type="dxa"/>
            <w:vAlign w:val="center"/>
          </w:tcPr>
          <w:p w14:paraId="53E9CC78">
            <w:pPr>
              <w:pStyle w:val="13"/>
              <w:ind w:firstLine="0" w:firstLine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前海开源基金、中金资管、兴业证券、财通证券、招商信诺资管、国盛证券、中欧基金、长江证券、汇添富基金、嘉实基金、华泰证券</w:t>
            </w:r>
          </w:p>
        </w:tc>
      </w:tr>
      <w:tr w14:paraId="6CB4AD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2580" w:type="dxa"/>
            <w:vAlign w:val="center"/>
          </w:tcPr>
          <w:p w14:paraId="63834245">
            <w:pPr>
              <w:pStyle w:val="13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5945" w:type="dxa"/>
            <w:vAlign w:val="center"/>
          </w:tcPr>
          <w:p w14:paraId="2BF73197">
            <w:pPr>
              <w:ind w:firstLine="0" w:firstLine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7月17日—7月23日</w:t>
            </w:r>
          </w:p>
        </w:tc>
      </w:tr>
      <w:tr w14:paraId="294926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580" w:type="dxa"/>
            <w:vAlign w:val="center"/>
          </w:tcPr>
          <w:p w14:paraId="6B8CBB82">
            <w:pPr>
              <w:pStyle w:val="13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地点</w:t>
            </w:r>
          </w:p>
        </w:tc>
        <w:tc>
          <w:tcPr>
            <w:tcW w:w="5945" w:type="dxa"/>
            <w:vAlign w:val="center"/>
          </w:tcPr>
          <w:p w14:paraId="05051C06">
            <w:pPr>
              <w:pStyle w:val="13"/>
              <w:ind w:firstLine="0" w:firstLine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公司会议室</w:t>
            </w:r>
          </w:p>
        </w:tc>
      </w:tr>
      <w:tr w14:paraId="146B07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2580" w:type="dxa"/>
            <w:vAlign w:val="center"/>
          </w:tcPr>
          <w:p w14:paraId="33F4237E">
            <w:pPr>
              <w:pStyle w:val="13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上市公司接待人员姓名</w:t>
            </w:r>
          </w:p>
        </w:tc>
        <w:tc>
          <w:tcPr>
            <w:tcW w:w="5945" w:type="dxa"/>
            <w:vAlign w:val="center"/>
          </w:tcPr>
          <w:p w14:paraId="00D70076">
            <w:pPr>
              <w:pStyle w:val="13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董事、常务副总经理兼财务总监 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帅巍</w:t>
            </w:r>
          </w:p>
          <w:p w14:paraId="63A76B3D">
            <w:pPr>
              <w:pStyle w:val="13"/>
              <w:ind w:firstLine="0" w:firstLine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副总经理兼董事会秘书 王延俊</w:t>
            </w:r>
          </w:p>
        </w:tc>
      </w:tr>
      <w:tr w14:paraId="595F72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  <w:jc w:val="center"/>
        </w:trPr>
        <w:tc>
          <w:tcPr>
            <w:tcW w:w="2580" w:type="dxa"/>
            <w:vAlign w:val="center"/>
          </w:tcPr>
          <w:p w14:paraId="16EC7B1C">
            <w:pPr>
              <w:pStyle w:val="13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交流内容及问答记录</w:t>
            </w:r>
          </w:p>
        </w:tc>
        <w:tc>
          <w:tcPr>
            <w:tcW w:w="5945" w:type="dxa"/>
          </w:tcPr>
          <w:p w14:paraId="7BE20270">
            <w:pPr>
              <w:numPr>
                <w:ilvl w:val="0"/>
                <w:numId w:val="0"/>
              </w:numPr>
              <w:ind w:firstLine="482" w:firstLineChars="200"/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  <w:t>1、</w:t>
            </w: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公司定增是否已完成，募集资金如何使用？定增完成后大股东的持股比例如何？</w:t>
            </w:r>
          </w:p>
          <w:p w14:paraId="4A479098">
            <w:pPr>
              <w:numPr>
                <w:ilvl w:val="0"/>
                <w:numId w:val="0"/>
              </w:numPr>
              <w:ind w:firstLine="480" w:firstLineChars="200"/>
              <w:rPr>
                <w:rFonts w:hint="default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答：公司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lang w:val="en-US" w:eastAsia="zh-CN"/>
              </w:rPr>
              <w:t>向特定对象发行股票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募集资金已于2025年6月27日到账。本次发行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lang w:val="en-US" w:eastAsia="zh-CN"/>
              </w:rPr>
              <w:t>募集资金总额为285,292.80万元，在扣除相关发行费用后，拟用于偿还债务和补充流动资金，其中，偿还债务拟使用募集资金134,751.11万元，补充流动资金拟使用募集资金150,541.69万元。本次发行完成后，公司的总资产及净资产规模均有所提高，公司资产负债率下降，公司资本结构进一步优化，公司整体财务状况得以改善。本次发行将有利于公司提高偿债能力，降低财务风险，优化资本结构。</w:t>
            </w:r>
          </w:p>
          <w:p w14:paraId="11CBD63D">
            <w:pPr>
              <w:numPr>
                <w:ilvl w:val="0"/>
                <w:numId w:val="0"/>
              </w:numPr>
              <w:ind w:firstLine="480" w:firstLineChars="200"/>
              <w:rPr>
                <w:rFonts w:hint="default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cs="宋体"/>
                <w:b w:val="0"/>
                <w:bCs w:val="0"/>
                <w:sz w:val="24"/>
                <w:szCs w:val="24"/>
                <w:lang w:val="en-US" w:eastAsia="zh-CN"/>
              </w:rPr>
              <w:t>本次发行新增股份登记、托管及股份限售手续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已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lang w:val="en-US" w:eastAsia="zh-CN"/>
              </w:rPr>
              <w:t>于2025年7月8日办理完毕。本次发行完成后，蜀道集团及其一致行动人合计控制公司股份比例提升至47.17%，蜀道集团仍为公司控股股东，四川省国资委仍为公司实际控制人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。</w:t>
            </w:r>
          </w:p>
          <w:p w14:paraId="70CEF1E1">
            <w:pPr>
              <w:numPr>
                <w:ilvl w:val="0"/>
                <w:numId w:val="0"/>
              </w:numPr>
              <w:ind w:firstLine="482" w:firstLineChars="200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2、多龙铜矿探转采工作进度如何？</w:t>
            </w:r>
          </w:p>
          <w:p w14:paraId="1F049A63">
            <w:pPr>
              <w:spacing w:line="360" w:lineRule="auto"/>
              <w:ind w:firstLine="480" w:firstLineChars="200"/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答：公司参股公司</w:t>
            </w:r>
            <w:r>
              <w:rPr>
                <w:rFonts w:hint="eastAsia" w:ascii="Times New Roman" w:hAnsi="Times New Roman"/>
                <w:sz w:val="24"/>
                <w:szCs w:val="24"/>
              </w:rPr>
              <w:t>多龙矿业现持有西藏阿里地区改则县多龙铜矿（由原多不杂铜矿和波龙铜矿整合为一个探矿权）和多不杂西铜矿两宗探矿权。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现</w:t>
            </w:r>
            <w:r>
              <w:rPr>
                <w:rFonts w:hint="eastAsia" w:ascii="Times New Roman" w:hAnsi="Times New Roman"/>
                <w:sz w:val="24"/>
                <w:szCs w:val="24"/>
              </w:rPr>
              <w:t>正全力推动多龙铜矿的“探转采”工作，已完成《多龙铜矿勘探报告》、《多龙铜矿开发利用方案》及《矿山地质环境与土地复垦方案》等报告的评审及备案工作。目前，已将采矿权申请报送政府相关部门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/>
                <w:sz w:val="24"/>
                <w:szCs w:val="24"/>
              </w:rPr>
              <w:t>正在按程序进行办理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/>
                <w:sz w:val="24"/>
                <w:szCs w:val="24"/>
              </w:rPr>
              <w:t>多龙矿业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将持续</w:t>
            </w:r>
            <w:r>
              <w:rPr>
                <w:rFonts w:hint="eastAsia" w:ascii="Times New Roman" w:hAnsi="Times New Roman"/>
                <w:sz w:val="24"/>
                <w:szCs w:val="24"/>
              </w:rPr>
              <w:t>跟踪办理进程。多不杂西铜矿的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地质</w:t>
            </w:r>
            <w:r>
              <w:rPr>
                <w:rFonts w:hint="eastAsia" w:ascii="Times New Roman" w:hAnsi="Times New Roman"/>
                <w:sz w:val="24"/>
                <w:szCs w:val="24"/>
              </w:rPr>
              <w:t>详查工作目前正在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有序</w:t>
            </w:r>
            <w:r>
              <w:rPr>
                <w:rFonts w:hint="eastAsia" w:ascii="Times New Roman" w:hAnsi="Times New Roman"/>
                <w:sz w:val="24"/>
                <w:szCs w:val="24"/>
              </w:rPr>
              <w:t>推进。</w:t>
            </w:r>
          </w:p>
          <w:p w14:paraId="1820A3BD">
            <w:pPr>
              <w:numPr>
                <w:ilvl w:val="0"/>
                <w:numId w:val="0"/>
              </w:numPr>
              <w:ind w:left="0" w:leftChars="0" w:firstLine="482" w:firstLineChars="200"/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 w:bidi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  <w:t>、</w:t>
            </w: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关注到公司2025年半年度业绩预亏，请介绍公司2025年上半年经营情况及亏损的原因？</w:t>
            </w:r>
          </w:p>
          <w:p w14:paraId="1561776D">
            <w:pPr>
              <w:numPr>
                <w:ilvl w:val="0"/>
                <w:numId w:val="0"/>
              </w:numPr>
              <w:ind w:left="0" w:leftChars="0" w:firstLine="480" w:firstLineChars="200"/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答：公司于2025年7月15日发布了《2025年半年度业绩预亏公告》。经财务部门初步测算，预计2025年半年度公司实现归属于母公司所有者的净利润-6,500万元到-7,500万元；预计2025年半年度实现归属于母公司所有者的扣除非经常性损益的净利润-6,800万元到-7,800万元。</w:t>
            </w:r>
          </w:p>
          <w:p w14:paraId="4EF83134">
            <w:pPr>
              <w:numPr>
                <w:ilvl w:val="0"/>
                <w:numId w:val="0"/>
              </w:numPr>
              <w:ind w:left="0" w:leftChars="0" w:firstLine="480" w:firstLineChars="200"/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亏损的主要原因为：</w:t>
            </w:r>
          </w:p>
          <w:p w14:paraId="55521661">
            <w:pPr>
              <w:numPr>
                <w:ilvl w:val="0"/>
                <w:numId w:val="0"/>
              </w:numPr>
              <w:ind w:left="0" w:leftChars="0" w:firstLine="480" w:firstLineChars="200"/>
              <w:rPr>
                <w:rFonts w:hint="default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cs="宋体"/>
                <w:b w:val="0"/>
                <w:bCs w:val="0"/>
                <w:sz w:val="24"/>
                <w:szCs w:val="24"/>
                <w:lang w:val="en-US" w:eastAsia="zh-CN"/>
              </w:rPr>
              <w:t>有色金属锌冶炼方面，2025年上半年受国内锌产能释放以及下游需求减弱等影响，锌产品价格单边持续下跌，0#锌锭价格从年初2.58万元/吨下跌到6月份最低价2.195万元/吨，公司年初库存原料生产的产品成本较高，销售价格与成本倒挂。锌精矿扣减加工费虽逐步回升，但仍处于较低水平，锌精矿等原材料采购成本上升对公司锌冶炼业务经营产生不利影响。尽管银、铜价格上涨并高位运行，稀贵金属金、银、铜等副产品回收在一定程度降低了锌冶炼综合生产成本，但受锌产品价格大幅下跌、原材料成本上升影响，公司锌冶炼业务仍出现较大幅度亏损。</w:t>
            </w:r>
          </w:p>
          <w:p w14:paraId="6B4FEAE3">
            <w:pPr>
              <w:numPr>
                <w:ilvl w:val="0"/>
                <w:numId w:val="0"/>
              </w:numPr>
              <w:ind w:left="0" w:leftChars="0" w:firstLine="480" w:firstLineChars="200"/>
              <w:rPr>
                <w:rFonts w:hint="default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cs="宋体"/>
                <w:b w:val="0"/>
                <w:bCs w:val="0"/>
                <w:sz w:val="24"/>
                <w:szCs w:val="24"/>
                <w:lang w:val="en-US" w:eastAsia="zh-CN"/>
              </w:rPr>
              <w:t>天然气化工方面，一方面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销售价格上半年持续承压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lang w:val="en-US" w:eastAsia="zh-CN"/>
              </w:rPr>
              <w:t>，2025年上半年由于煤炭价格下跌，以煤炭为原料的合成氨企业生产成本较低，合成氨供应量增加，市场竞争加剧；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同时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lang w:val="en-US" w:eastAsia="zh-CN"/>
              </w:rPr>
              <w:t>尿素出口不及预期，冲击合成氨市场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，导致合成氨市场价格承压，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lang w:val="en-US" w:eastAsia="zh-CN"/>
              </w:rPr>
              <w:t>公司控股子公司四川绵竹川润化工有限公司2025年上半年合成氨销售价格比上年同期下降368元/吨，下降幅度为14.24%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lang w:val="en-US" w:eastAsia="zh-CN"/>
              </w:rPr>
              <w:t>另一方面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生产成本有所上升，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lang w:val="en-US" w:eastAsia="zh-CN"/>
              </w:rPr>
              <w:t>天然气、电费价格同比上涨，生产成本上升。综上，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公司上半年天然气化工业务出现一定幅度亏损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lang w:val="en-US" w:eastAsia="zh-CN"/>
              </w:rPr>
              <w:t>。</w:t>
            </w:r>
          </w:p>
          <w:p w14:paraId="0DDDABAE">
            <w:pPr>
              <w:numPr>
                <w:ilvl w:val="0"/>
                <w:numId w:val="0"/>
              </w:numPr>
              <w:ind w:left="0" w:leftChars="0" w:firstLine="480" w:firstLineChars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cs="宋体"/>
                <w:b w:val="0"/>
                <w:bCs w:val="0"/>
                <w:sz w:val="24"/>
                <w:szCs w:val="24"/>
                <w:lang w:val="en-US" w:eastAsia="zh-CN"/>
              </w:rPr>
              <w:t>磷化工方面，2025年上半年由于复合肥原料大幅波动，终端用户观望情绪浓厚，市场需求低迷，公司复合肥产品销量、售价同比出现一定幅度下滑，毛利率下降。磷酸盐产品由于出口政策限制，国内竞争加剧，公司主要产品精制磷酸一铵销量同比出现一定幅度下滑。大宗原材料方面，硫磺市场供给偏紧，硫磺价格比上年同期上涨1,115元/吨，上涨幅度为107.73%，生产成本上升。综上，2025年上半年公司磷化工业务利润较上年同期出现下滑。</w:t>
            </w:r>
          </w:p>
          <w:p w14:paraId="37E8B07E">
            <w:pPr>
              <w:pStyle w:val="8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ind w:left="0" w:right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公司未来盈利增长的主要驱动因素有哪些？</w:t>
            </w:r>
          </w:p>
          <w:p w14:paraId="19C10082">
            <w:pPr>
              <w:pStyle w:val="8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ind w:left="0" w:firstLine="48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答：近期来看，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磷化工是公司的传统优势，激活67年的深厚积淀，依托控股股东的产业赋能，构建更加适应市场趋势的创新体系，使磷化工产业成为公司稳定的利润来源。</w:t>
            </w:r>
          </w:p>
          <w:p w14:paraId="6C770148">
            <w:pPr>
              <w:pStyle w:val="8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ind w:left="0" w:firstLine="48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长期来看，多龙铜矿的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开发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将是公司未来盈利增长的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重要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预期，当前多龙铜矿“探转采”工作正在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有序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推进，公司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将积极参与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多龙铜矿开发。</w:t>
            </w:r>
          </w:p>
          <w:p w14:paraId="0DB83367">
            <w:pPr>
              <w:pStyle w:val="8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ind w:left="0" w:firstLine="480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公司将按照“矿化一体、矿冶一体、冶化结合、产业耦合”的发展思路，聚焦绿色磷化工、有色金属采选冶一体化两大产业链，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持续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提高竞争力，增强公司经营绩效。</w:t>
            </w:r>
          </w:p>
          <w:p w14:paraId="59FF190B">
            <w:pPr>
              <w:pStyle w:val="8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ind w:left="0" w:right="0"/>
              <w:jc w:val="both"/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公司下一步在促进磷化工发展方面有什么策略？</w:t>
            </w:r>
          </w:p>
          <w:p w14:paraId="6AF9B5F1">
            <w:pPr>
              <w:pStyle w:val="8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ind w:left="0" w:firstLine="480"/>
              <w:jc w:val="both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答：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针对制约公司磷化工产业发展的原料供应、市场拓展、磷石膏消纳三大关键难题将采取以下措施。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一是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原料供应方面。首先，基于控股股东蜀道集团自有矿山的支持，现公司已有较为稳定的磷矿石来源；同时，得益于控股股东完善的产业链和广阔的生态伙伴体系，公司所需硫磺、钾盐、氮肥等其他主要原料的供应渠道方面得到了拓展和稳固；下一步，公司将积极寻求优质磷矿山的并购或合作，以形成更好的“矿化一体”效应。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二是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市场开拓方面。公司将加大研发投入，构建更丰富的产品体系，以坚持高效优质的产品定位，在巩固当前四川、云南、新疆等优势市场基础上，努力开拓华中、华北以及海外等新市场。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三是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磷石膏消纳方面。公司将依托控股股东在每年近千万吨的水泥消费量，增大磷石膏作为水泥缓凝剂这一成熟途径的消纳能力；紧跟国家利好政策，实施磷石膏路用、生态修复、矿山填充等低成本消纳途径，多措并举实现产销平衡，并尽可能实现存量减小，为产能提升提供空间。</w:t>
            </w:r>
          </w:p>
        </w:tc>
      </w:tr>
      <w:tr w14:paraId="440E03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580" w:type="dxa"/>
            <w:vAlign w:val="center"/>
          </w:tcPr>
          <w:p w14:paraId="1E202358">
            <w:pPr>
              <w:pStyle w:val="13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附件清单（如有）</w:t>
            </w:r>
          </w:p>
        </w:tc>
        <w:tc>
          <w:tcPr>
            <w:tcW w:w="5945" w:type="dxa"/>
            <w:vAlign w:val="center"/>
          </w:tcPr>
          <w:p w14:paraId="3BD754D8">
            <w:pPr>
              <w:pStyle w:val="13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</w:t>
            </w:r>
          </w:p>
        </w:tc>
      </w:tr>
      <w:tr w14:paraId="3A2ADC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580" w:type="dxa"/>
            <w:vAlign w:val="center"/>
          </w:tcPr>
          <w:p w14:paraId="57696AA2">
            <w:pPr>
              <w:pStyle w:val="13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</w:t>
            </w:r>
          </w:p>
        </w:tc>
        <w:tc>
          <w:tcPr>
            <w:tcW w:w="5945" w:type="dxa"/>
            <w:vAlign w:val="center"/>
          </w:tcPr>
          <w:p w14:paraId="2B37E601">
            <w:pPr>
              <w:pStyle w:val="13"/>
              <w:ind w:firstLine="0" w:firstLineChars="0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17日—7月23日</w:t>
            </w:r>
          </w:p>
        </w:tc>
      </w:tr>
    </w:tbl>
    <w:p w14:paraId="1906DD9A">
      <w:pPr>
        <w:ind w:left="0" w:leftChars="0"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type w:val="continuous"/>
      <w:pgSz w:w="11910" w:h="16840"/>
      <w:pgMar w:top="1440" w:right="1800" w:bottom="1440" w:left="18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0478"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B0AF3B"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BDCA39"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1BEB62">
    <w:pPr>
      <w:pStyle w:val="7"/>
      <w:keepNext w:val="0"/>
      <w:keepLines w:val="0"/>
      <w:pageBreakBefore w:val="0"/>
      <w:widowControl w:val="0"/>
      <w:tabs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auto"/>
      <w:jc w:val="right"/>
      <w:textAlignment w:val="auto"/>
    </w:pPr>
    <w:r>
      <w:rPr>
        <w:rFonts w:hint="eastAsia"/>
      </w:rPr>
      <w:t>四川宏达股份有限公司投资者关系活动记录表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4685CF"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76B72D"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JmMjljM2YxNWFkMTIyYTg0MGM5M2Y3YzhlM2RmMzYifQ=="/>
  </w:docVars>
  <w:rsids>
    <w:rsidRoot w:val="00301D32"/>
    <w:rsid w:val="00026CC3"/>
    <w:rsid w:val="00036089"/>
    <w:rsid w:val="00053CFA"/>
    <w:rsid w:val="000633EC"/>
    <w:rsid w:val="00063804"/>
    <w:rsid w:val="000665A2"/>
    <w:rsid w:val="00085115"/>
    <w:rsid w:val="000877AB"/>
    <w:rsid w:val="000B7C08"/>
    <w:rsid w:val="000D12CF"/>
    <w:rsid w:val="000D2D88"/>
    <w:rsid w:val="000E4B20"/>
    <w:rsid w:val="0011418F"/>
    <w:rsid w:val="0013655A"/>
    <w:rsid w:val="00172C24"/>
    <w:rsid w:val="00184270"/>
    <w:rsid w:val="001E59D1"/>
    <w:rsid w:val="001E5EA4"/>
    <w:rsid w:val="002042A7"/>
    <w:rsid w:val="00205911"/>
    <w:rsid w:val="002146AD"/>
    <w:rsid w:val="00275CB6"/>
    <w:rsid w:val="002800B5"/>
    <w:rsid w:val="00295252"/>
    <w:rsid w:val="00295B29"/>
    <w:rsid w:val="002C1427"/>
    <w:rsid w:val="002D4073"/>
    <w:rsid w:val="002E0C4E"/>
    <w:rsid w:val="002E7098"/>
    <w:rsid w:val="002F68F6"/>
    <w:rsid w:val="00301D32"/>
    <w:rsid w:val="00331C5A"/>
    <w:rsid w:val="00366FAD"/>
    <w:rsid w:val="00367B01"/>
    <w:rsid w:val="0037105B"/>
    <w:rsid w:val="003975BA"/>
    <w:rsid w:val="003A74E6"/>
    <w:rsid w:val="003B4AFF"/>
    <w:rsid w:val="003B73DD"/>
    <w:rsid w:val="003C3454"/>
    <w:rsid w:val="003D011C"/>
    <w:rsid w:val="004108C7"/>
    <w:rsid w:val="00412DC2"/>
    <w:rsid w:val="00440041"/>
    <w:rsid w:val="0044706E"/>
    <w:rsid w:val="00451268"/>
    <w:rsid w:val="004515AD"/>
    <w:rsid w:val="00451857"/>
    <w:rsid w:val="00453516"/>
    <w:rsid w:val="00457548"/>
    <w:rsid w:val="00470DB2"/>
    <w:rsid w:val="00471638"/>
    <w:rsid w:val="004925E7"/>
    <w:rsid w:val="00495B11"/>
    <w:rsid w:val="004F6FF3"/>
    <w:rsid w:val="00523124"/>
    <w:rsid w:val="00534833"/>
    <w:rsid w:val="0053646D"/>
    <w:rsid w:val="00571B49"/>
    <w:rsid w:val="005743AE"/>
    <w:rsid w:val="0059577A"/>
    <w:rsid w:val="005C2456"/>
    <w:rsid w:val="005C2D95"/>
    <w:rsid w:val="005D64CA"/>
    <w:rsid w:val="005E5717"/>
    <w:rsid w:val="005E6DB2"/>
    <w:rsid w:val="00612C89"/>
    <w:rsid w:val="0061433E"/>
    <w:rsid w:val="00622819"/>
    <w:rsid w:val="0062751D"/>
    <w:rsid w:val="00634F97"/>
    <w:rsid w:val="006354AA"/>
    <w:rsid w:val="00657CFF"/>
    <w:rsid w:val="00661AFA"/>
    <w:rsid w:val="006726BF"/>
    <w:rsid w:val="00677B77"/>
    <w:rsid w:val="0068718A"/>
    <w:rsid w:val="006A2739"/>
    <w:rsid w:val="006B5C95"/>
    <w:rsid w:val="006E14B0"/>
    <w:rsid w:val="006F0108"/>
    <w:rsid w:val="00704AE6"/>
    <w:rsid w:val="007153A2"/>
    <w:rsid w:val="00724A68"/>
    <w:rsid w:val="007271BF"/>
    <w:rsid w:val="00730DD3"/>
    <w:rsid w:val="00733224"/>
    <w:rsid w:val="00754510"/>
    <w:rsid w:val="00763586"/>
    <w:rsid w:val="00764128"/>
    <w:rsid w:val="007824B8"/>
    <w:rsid w:val="007910DD"/>
    <w:rsid w:val="007A3EC1"/>
    <w:rsid w:val="007B3368"/>
    <w:rsid w:val="007D0A69"/>
    <w:rsid w:val="007D4281"/>
    <w:rsid w:val="007D6DC4"/>
    <w:rsid w:val="007E57D0"/>
    <w:rsid w:val="007F67F6"/>
    <w:rsid w:val="00824FE6"/>
    <w:rsid w:val="00853463"/>
    <w:rsid w:val="00893F25"/>
    <w:rsid w:val="00895035"/>
    <w:rsid w:val="008A0AEA"/>
    <w:rsid w:val="008B2B14"/>
    <w:rsid w:val="008C6AED"/>
    <w:rsid w:val="008C7604"/>
    <w:rsid w:val="008E1B27"/>
    <w:rsid w:val="008E6192"/>
    <w:rsid w:val="00903379"/>
    <w:rsid w:val="00906975"/>
    <w:rsid w:val="00907D1B"/>
    <w:rsid w:val="00917F0B"/>
    <w:rsid w:val="00917F8B"/>
    <w:rsid w:val="00935B08"/>
    <w:rsid w:val="00960964"/>
    <w:rsid w:val="00965E4D"/>
    <w:rsid w:val="00973294"/>
    <w:rsid w:val="009B1D5C"/>
    <w:rsid w:val="009C2E31"/>
    <w:rsid w:val="009E1955"/>
    <w:rsid w:val="00A527AA"/>
    <w:rsid w:val="00A5684D"/>
    <w:rsid w:val="00A75C61"/>
    <w:rsid w:val="00A905A0"/>
    <w:rsid w:val="00A9601B"/>
    <w:rsid w:val="00AD100E"/>
    <w:rsid w:val="00AE1E36"/>
    <w:rsid w:val="00AF74AA"/>
    <w:rsid w:val="00B03C2F"/>
    <w:rsid w:val="00B15064"/>
    <w:rsid w:val="00B23549"/>
    <w:rsid w:val="00B340A3"/>
    <w:rsid w:val="00B410F5"/>
    <w:rsid w:val="00B6280C"/>
    <w:rsid w:val="00B671A4"/>
    <w:rsid w:val="00B72CD4"/>
    <w:rsid w:val="00B85B00"/>
    <w:rsid w:val="00BC0095"/>
    <w:rsid w:val="00BF132F"/>
    <w:rsid w:val="00C13878"/>
    <w:rsid w:val="00C22EC5"/>
    <w:rsid w:val="00C46FA3"/>
    <w:rsid w:val="00CA1705"/>
    <w:rsid w:val="00CE1A54"/>
    <w:rsid w:val="00CF5FB6"/>
    <w:rsid w:val="00D02518"/>
    <w:rsid w:val="00D17454"/>
    <w:rsid w:val="00D33FBC"/>
    <w:rsid w:val="00D561AF"/>
    <w:rsid w:val="00D66227"/>
    <w:rsid w:val="00D7535C"/>
    <w:rsid w:val="00D76302"/>
    <w:rsid w:val="00DA5CE2"/>
    <w:rsid w:val="00DE10E8"/>
    <w:rsid w:val="00E16FDA"/>
    <w:rsid w:val="00E35F58"/>
    <w:rsid w:val="00E45BD9"/>
    <w:rsid w:val="00E66FFC"/>
    <w:rsid w:val="00E759D6"/>
    <w:rsid w:val="00E84A8C"/>
    <w:rsid w:val="00E852FE"/>
    <w:rsid w:val="00E976DE"/>
    <w:rsid w:val="00EB226D"/>
    <w:rsid w:val="00EC0F83"/>
    <w:rsid w:val="00ED69ED"/>
    <w:rsid w:val="00EE3187"/>
    <w:rsid w:val="00EE6195"/>
    <w:rsid w:val="00EF499B"/>
    <w:rsid w:val="00F10A58"/>
    <w:rsid w:val="00F1489C"/>
    <w:rsid w:val="00F14977"/>
    <w:rsid w:val="00F51176"/>
    <w:rsid w:val="00F61984"/>
    <w:rsid w:val="00FA178F"/>
    <w:rsid w:val="00FB4A08"/>
    <w:rsid w:val="00FC0C2A"/>
    <w:rsid w:val="00FD7F8E"/>
    <w:rsid w:val="00FF11E4"/>
    <w:rsid w:val="01063FF5"/>
    <w:rsid w:val="022F1DCE"/>
    <w:rsid w:val="02613E02"/>
    <w:rsid w:val="038A1AFE"/>
    <w:rsid w:val="04B072D4"/>
    <w:rsid w:val="05F575D4"/>
    <w:rsid w:val="064249C6"/>
    <w:rsid w:val="08641132"/>
    <w:rsid w:val="09186774"/>
    <w:rsid w:val="0945438F"/>
    <w:rsid w:val="0A71587A"/>
    <w:rsid w:val="0B44735E"/>
    <w:rsid w:val="0B792C38"/>
    <w:rsid w:val="0B79748A"/>
    <w:rsid w:val="0BF00A21"/>
    <w:rsid w:val="0C28640C"/>
    <w:rsid w:val="0E90599A"/>
    <w:rsid w:val="0EAC3357"/>
    <w:rsid w:val="0ED720CD"/>
    <w:rsid w:val="0FB4331A"/>
    <w:rsid w:val="103915BC"/>
    <w:rsid w:val="11281521"/>
    <w:rsid w:val="11B25FF5"/>
    <w:rsid w:val="12070CAE"/>
    <w:rsid w:val="120D4FD7"/>
    <w:rsid w:val="13C23177"/>
    <w:rsid w:val="145F688C"/>
    <w:rsid w:val="15DD2205"/>
    <w:rsid w:val="162E461F"/>
    <w:rsid w:val="16FF4DDA"/>
    <w:rsid w:val="17A67110"/>
    <w:rsid w:val="183277C9"/>
    <w:rsid w:val="185A699B"/>
    <w:rsid w:val="1864189B"/>
    <w:rsid w:val="18D73A7D"/>
    <w:rsid w:val="193335FB"/>
    <w:rsid w:val="19557370"/>
    <w:rsid w:val="199B03CB"/>
    <w:rsid w:val="19A54BF8"/>
    <w:rsid w:val="1B1C1F38"/>
    <w:rsid w:val="1B8016FF"/>
    <w:rsid w:val="1BD06B6A"/>
    <w:rsid w:val="1BF05474"/>
    <w:rsid w:val="1D0F2D38"/>
    <w:rsid w:val="1E614ECB"/>
    <w:rsid w:val="1F782BDE"/>
    <w:rsid w:val="201C3CE6"/>
    <w:rsid w:val="20983327"/>
    <w:rsid w:val="22B22083"/>
    <w:rsid w:val="23317869"/>
    <w:rsid w:val="23EB3B50"/>
    <w:rsid w:val="25650CAE"/>
    <w:rsid w:val="261A65B2"/>
    <w:rsid w:val="26406598"/>
    <w:rsid w:val="28080056"/>
    <w:rsid w:val="28734C1A"/>
    <w:rsid w:val="28C72DDD"/>
    <w:rsid w:val="28FF7D52"/>
    <w:rsid w:val="29EE0E64"/>
    <w:rsid w:val="2B2F07C6"/>
    <w:rsid w:val="2EF90F16"/>
    <w:rsid w:val="2F125C63"/>
    <w:rsid w:val="2F286F4A"/>
    <w:rsid w:val="2F7214C1"/>
    <w:rsid w:val="302C3D0A"/>
    <w:rsid w:val="303B78D5"/>
    <w:rsid w:val="309B292D"/>
    <w:rsid w:val="328238D1"/>
    <w:rsid w:val="338B0FF4"/>
    <w:rsid w:val="33DE31BB"/>
    <w:rsid w:val="34EE5346"/>
    <w:rsid w:val="389C49C0"/>
    <w:rsid w:val="398521C2"/>
    <w:rsid w:val="39BC78F4"/>
    <w:rsid w:val="3C373E57"/>
    <w:rsid w:val="3EF1250A"/>
    <w:rsid w:val="400D4298"/>
    <w:rsid w:val="40567DB0"/>
    <w:rsid w:val="40FF5CD2"/>
    <w:rsid w:val="41566D3D"/>
    <w:rsid w:val="41AC096A"/>
    <w:rsid w:val="42C13ADC"/>
    <w:rsid w:val="42DB40B0"/>
    <w:rsid w:val="4360359D"/>
    <w:rsid w:val="43B71B0A"/>
    <w:rsid w:val="43D4579E"/>
    <w:rsid w:val="44FA0589"/>
    <w:rsid w:val="45A663E3"/>
    <w:rsid w:val="469F09AF"/>
    <w:rsid w:val="4B756271"/>
    <w:rsid w:val="4C8E1CA8"/>
    <w:rsid w:val="4D6D36A4"/>
    <w:rsid w:val="4ECC7CA4"/>
    <w:rsid w:val="510903EF"/>
    <w:rsid w:val="53F137F4"/>
    <w:rsid w:val="5429602E"/>
    <w:rsid w:val="543A6906"/>
    <w:rsid w:val="54666AD6"/>
    <w:rsid w:val="56850CBB"/>
    <w:rsid w:val="58245F73"/>
    <w:rsid w:val="59344863"/>
    <w:rsid w:val="599838DC"/>
    <w:rsid w:val="5A666D76"/>
    <w:rsid w:val="5A8B3991"/>
    <w:rsid w:val="5B2253C2"/>
    <w:rsid w:val="5C7D1B60"/>
    <w:rsid w:val="5D0B7BFC"/>
    <w:rsid w:val="5DEA31F3"/>
    <w:rsid w:val="5E1B6CCA"/>
    <w:rsid w:val="603269D2"/>
    <w:rsid w:val="61A52BCA"/>
    <w:rsid w:val="622B19D2"/>
    <w:rsid w:val="63912D7C"/>
    <w:rsid w:val="65451FAE"/>
    <w:rsid w:val="67095496"/>
    <w:rsid w:val="67ED7463"/>
    <w:rsid w:val="681A546A"/>
    <w:rsid w:val="68CA77A4"/>
    <w:rsid w:val="69CB37D4"/>
    <w:rsid w:val="6A0D5B9B"/>
    <w:rsid w:val="6A3B23B1"/>
    <w:rsid w:val="6AEA32DC"/>
    <w:rsid w:val="6AF1022D"/>
    <w:rsid w:val="6B160A7F"/>
    <w:rsid w:val="6CC24AB5"/>
    <w:rsid w:val="6D9271B2"/>
    <w:rsid w:val="6EE64C0C"/>
    <w:rsid w:val="6F134790"/>
    <w:rsid w:val="707A7B96"/>
    <w:rsid w:val="71584812"/>
    <w:rsid w:val="72446028"/>
    <w:rsid w:val="72FC56B6"/>
    <w:rsid w:val="73076EC0"/>
    <w:rsid w:val="73BA34EB"/>
    <w:rsid w:val="74210CA6"/>
    <w:rsid w:val="748F0F7B"/>
    <w:rsid w:val="788C25F5"/>
    <w:rsid w:val="78F62113"/>
    <w:rsid w:val="79F72AA9"/>
    <w:rsid w:val="7B5E6185"/>
    <w:rsid w:val="7C6F61E8"/>
    <w:rsid w:val="7DD3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line="360" w:lineRule="auto"/>
      <w:ind w:firstLine="420" w:firstLineChars="200"/>
    </w:pPr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outlineLvl w:val="0"/>
    </w:pPr>
    <w:rPr>
      <w:rFonts w:ascii="PMingLiU" w:hAnsi="PMingLiU" w:eastAsia="PMingLiU" w:cs="PMingLiU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qFormat/>
    <w:uiPriority w:val="0"/>
  </w:style>
  <w:style w:type="paragraph" w:styleId="4">
    <w:name w:val="Body Text"/>
    <w:basedOn w:val="1"/>
    <w:qFormat/>
    <w:uiPriority w:val="1"/>
    <w:pPr>
      <w:ind w:left="220"/>
    </w:pPr>
    <w:rPr>
      <w:sz w:val="32"/>
      <w:szCs w:val="32"/>
    </w:r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annotation subject"/>
    <w:basedOn w:val="3"/>
    <w:next w:val="3"/>
    <w:link w:val="17"/>
    <w:qFormat/>
    <w:uiPriority w:val="0"/>
    <w:rPr>
      <w:b/>
      <w:bCs/>
    </w:rPr>
  </w:style>
  <w:style w:type="character" w:styleId="12">
    <w:name w:val="annotation reference"/>
    <w:basedOn w:val="11"/>
    <w:qFormat/>
    <w:uiPriority w:val="0"/>
    <w:rPr>
      <w:sz w:val="21"/>
      <w:szCs w:val="21"/>
    </w:rPr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页眉 字符"/>
    <w:basedOn w:val="11"/>
    <w:link w:val="7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5">
    <w:name w:val="页脚 字符"/>
    <w:basedOn w:val="11"/>
    <w:link w:val="6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6">
    <w:name w:val="批注文字 字符"/>
    <w:basedOn w:val="11"/>
    <w:link w:val="3"/>
    <w:qFormat/>
    <w:uiPriority w:val="0"/>
    <w:rPr>
      <w:rFonts w:ascii="仿宋" w:hAnsi="仿宋" w:eastAsia="仿宋" w:cs="仿宋"/>
      <w:sz w:val="22"/>
      <w:szCs w:val="22"/>
      <w:lang w:val="zh-CN" w:bidi="zh-CN"/>
    </w:rPr>
  </w:style>
  <w:style w:type="character" w:customStyle="1" w:styleId="17">
    <w:name w:val="批注主题 字符"/>
    <w:basedOn w:val="16"/>
    <w:link w:val="9"/>
    <w:qFormat/>
    <w:uiPriority w:val="0"/>
    <w:rPr>
      <w:rFonts w:ascii="仿宋" w:hAnsi="仿宋" w:eastAsia="仿宋" w:cs="仿宋"/>
      <w:b/>
      <w:bCs/>
      <w:sz w:val="22"/>
      <w:szCs w:val="22"/>
      <w:lang w:val="zh-CN" w:bidi="zh-CN"/>
    </w:rPr>
  </w:style>
  <w:style w:type="character" w:customStyle="1" w:styleId="18">
    <w:name w:val="批注框文本 字符"/>
    <w:basedOn w:val="11"/>
    <w:link w:val="5"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2265</Words>
  <Characters>2399</Characters>
  <Lines>33</Lines>
  <Paragraphs>9</Paragraphs>
  <TotalTime>14</TotalTime>
  <ScaleCrop>false</ScaleCrop>
  <LinksUpToDate>false</LinksUpToDate>
  <CharactersWithSpaces>2457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2024-10-18T09:01:00Z</dcterms:created>
  <dc:creator>jie.huang</dc:creator>
  <cp:lastModifiedBy>刘爽</cp:lastModifiedBy>
  <cp:lastPrinted>2025-06-06T07:53:00Z</cp:lastPrinted>
  <dcterms:modified xsi:type="dcterms:W3CDTF">2025-07-24T08:55:12Z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2F4836D8F1564E01A7BF73ADC2F3F2DB_13</vt:lpwstr>
  </property>
  <property fmtid="{D5CDD505-2E9C-101B-9397-08002B2CF9AE}" pid="4" name="KSOTemplateDocerSaveRecord">
    <vt:lpwstr>eyJoZGlkIjoiYTczMThjZjllYWM5NDkzYmFkZTRiNTdlYTYzYzZiZGIiLCJ1c2VySWQiOiI1Mzg0MDgyMTQifQ==</vt:lpwstr>
  </property>
</Properties>
</file>