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7835" w14:textId="77777777" w:rsidR="00DA33FA" w:rsidRDefault="00000000">
      <w:pPr>
        <w:spacing w:beforeLines="50" w:before="156" w:afterLines="50" w:after="156" w:line="400" w:lineRule="exact"/>
        <w:ind w:firstLineChars="300" w:firstLine="723"/>
        <w:rPr>
          <w:rFonts w:ascii="宋体" w:hAnsi="宋体" w:hint="eastAsia"/>
          <w:b/>
          <w:bCs/>
          <w:iCs/>
          <w:sz w:val="24"/>
        </w:rPr>
      </w:pPr>
      <w:r>
        <w:rPr>
          <w:rFonts w:ascii="宋体" w:hAnsi="宋体" w:hint="eastAsia"/>
          <w:b/>
          <w:bCs/>
          <w:iCs/>
          <w:sz w:val="24"/>
        </w:rPr>
        <w:t>证券代码：603194                           证券简称：中力股份</w:t>
      </w:r>
    </w:p>
    <w:p w14:paraId="57AE5FCC" w14:textId="77777777" w:rsidR="00DA33FA" w:rsidRDefault="00000000">
      <w:pPr>
        <w:autoSpaceDE w:val="0"/>
        <w:autoSpaceDN w:val="0"/>
        <w:adjustRightInd w:val="0"/>
        <w:snapToGrid w:val="0"/>
        <w:ind w:left="141" w:hangingChars="50" w:hanging="141"/>
        <w:jc w:val="center"/>
        <w:rPr>
          <w:rFonts w:asciiTheme="minorEastAsia" w:eastAsiaTheme="minorEastAsia" w:hAnsiTheme="minorEastAsia" w:hint="eastAsia"/>
          <w:b/>
          <w:sz w:val="28"/>
          <w:szCs w:val="24"/>
        </w:rPr>
      </w:pPr>
      <w:r>
        <w:rPr>
          <w:rFonts w:asciiTheme="minorEastAsia" w:eastAsiaTheme="minorEastAsia" w:hAnsiTheme="minorEastAsia" w:hint="eastAsia"/>
          <w:b/>
          <w:sz w:val="28"/>
          <w:szCs w:val="24"/>
        </w:rPr>
        <w:t>浙江中力机械股份有限公司投资者关系活动记录表</w:t>
      </w:r>
    </w:p>
    <w:p w14:paraId="579DE714" w14:textId="09FBF764" w:rsidR="00DA33FA" w:rsidRDefault="00000000">
      <w:pPr>
        <w:spacing w:line="400" w:lineRule="exact"/>
        <w:rPr>
          <w:rFonts w:ascii="宋体" w:hAnsi="宋体" w:hint="eastAsia"/>
          <w:bCs/>
          <w:iCs/>
          <w:sz w:val="24"/>
          <w:szCs w:val="24"/>
        </w:rPr>
      </w:pPr>
      <w:r>
        <w:rPr>
          <w:rFonts w:ascii="宋体" w:hAnsi="宋体" w:hint="eastAsia"/>
          <w:bCs/>
          <w:iCs/>
          <w:sz w:val="24"/>
          <w:szCs w:val="24"/>
        </w:rPr>
        <w:t xml:space="preserve">                                                      编号：2025-00</w:t>
      </w:r>
      <w:r w:rsidR="008757E2">
        <w:rPr>
          <w:rFonts w:ascii="宋体" w:hAnsi="宋体" w:hint="eastAsia"/>
          <w:bCs/>
          <w:iCs/>
          <w:sz w:val="24"/>
          <w:szCs w:val="24"/>
        </w:rPr>
        <w:t>9</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DA33FA" w14:paraId="29E81A26" w14:textId="77777777">
        <w:trPr>
          <w:trHeight w:val="2649"/>
        </w:trPr>
        <w:tc>
          <w:tcPr>
            <w:tcW w:w="1931" w:type="dxa"/>
            <w:shd w:val="clear" w:color="auto" w:fill="auto"/>
            <w:vAlign w:val="center"/>
          </w:tcPr>
          <w:p w14:paraId="5FB6DF87" w14:textId="77777777" w:rsidR="00DA33FA" w:rsidRDefault="00000000">
            <w:pPr>
              <w:rPr>
                <w:rFonts w:ascii="宋体" w:hAnsi="宋体" w:hint="eastAsia"/>
                <w:b/>
                <w:bCs/>
                <w:iCs/>
                <w:sz w:val="24"/>
                <w:szCs w:val="24"/>
              </w:rPr>
            </w:pPr>
            <w:r>
              <w:rPr>
                <w:rFonts w:ascii="宋体" w:hAnsi="宋体" w:hint="eastAsia"/>
                <w:b/>
                <w:bCs/>
                <w:iCs/>
                <w:sz w:val="24"/>
                <w:szCs w:val="24"/>
              </w:rPr>
              <w:t>投资者关系</w:t>
            </w:r>
          </w:p>
          <w:p w14:paraId="05AA2227" w14:textId="77777777" w:rsidR="00DA33FA" w:rsidRDefault="00000000">
            <w:pPr>
              <w:rPr>
                <w:rFonts w:ascii="宋体" w:hAnsi="宋体" w:hint="eastAsia"/>
                <w:b/>
                <w:bCs/>
                <w:iCs/>
                <w:sz w:val="24"/>
                <w:szCs w:val="24"/>
              </w:rPr>
            </w:pPr>
            <w:r>
              <w:rPr>
                <w:rFonts w:ascii="宋体" w:hAnsi="宋体" w:hint="eastAsia"/>
                <w:b/>
                <w:bCs/>
                <w:iCs/>
                <w:sz w:val="24"/>
                <w:szCs w:val="24"/>
              </w:rPr>
              <w:t>活动类别</w:t>
            </w:r>
          </w:p>
          <w:p w14:paraId="6AECD90E" w14:textId="77777777" w:rsidR="00DA33FA" w:rsidRDefault="00DA33FA">
            <w:pPr>
              <w:rPr>
                <w:rFonts w:ascii="宋体" w:hAnsi="宋体" w:hint="eastAsia"/>
                <w:b/>
                <w:bCs/>
                <w:iCs/>
                <w:sz w:val="24"/>
                <w:szCs w:val="24"/>
              </w:rPr>
            </w:pPr>
          </w:p>
        </w:tc>
        <w:tc>
          <w:tcPr>
            <w:tcW w:w="6693" w:type="dxa"/>
            <w:shd w:val="clear" w:color="auto" w:fill="auto"/>
          </w:tcPr>
          <w:p w14:paraId="1B4FD258" w14:textId="77777777" w:rsidR="00DA33FA" w:rsidRDefault="00000000">
            <w:pPr>
              <w:spacing w:line="480" w:lineRule="atLeast"/>
              <w:rPr>
                <w:rFonts w:ascii="宋体" w:hAnsi="宋体" w:hint="eastAsia"/>
                <w:bCs/>
                <w:iCs/>
                <w:sz w:val="24"/>
                <w:szCs w:val="24"/>
              </w:rPr>
            </w:pP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14:paraId="60452EF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926BD80"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E40AB32" w14:textId="0A278B67" w:rsidR="00DA33FA" w:rsidRDefault="00523713">
            <w:pPr>
              <w:tabs>
                <w:tab w:val="left" w:pos="3045"/>
                <w:tab w:val="center" w:pos="3199"/>
              </w:tabs>
              <w:spacing w:line="480" w:lineRule="atLeast"/>
              <w:rPr>
                <w:rFonts w:ascii="宋体" w:hAnsi="宋体" w:hint="eastAsia"/>
                <w:bCs/>
                <w:iCs/>
                <w:sz w:val="24"/>
                <w:szCs w:val="24"/>
              </w:rPr>
            </w:pPr>
            <w:r w:rsidRPr="00523713">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51F472E2" w14:textId="77777777" w:rsidR="00DA33FA" w:rsidRDefault="00000000">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DA33FA" w14:paraId="59C87D13" w14:textId="77777777">
        <w:trPr>
          <w:trHeight w:val="844"/>
        </w:trPr>
        <w:tc>
          <w:tcPr>
            <w:tcW w:w="1931" w:type="dxa"/>
            <w:shd w:val="clear" w:color="auto" w:fill="auto"/>
            <w:vAlign w:val="center"/>
          </w:tcPr>
          <w:p w14:paraId="483FF9AC" w14:textId="77777777" w:rsidR="00DA33FA" w:rsidRDefault="00000000">
            <w:pPr>
              <w:rPr>
                <w:rFonts w:ascii="宋体" w:hAnsi="宋体" w:hint="eastAsia"/>
                <w:b/>
                <w:bCs/>
                <w:iCs/>
                <w:sz w:val="24"/>
                <w:szCs w:val="24"/>
              </w:rPr>
            </w:pPr>
            <w:r>
              <w:rPr>
                <w:rFonts w:ascii="宋体" w:hAnsi="宋体" w:hint="eastAsia"/>
                <w:b/>
                <w:bCs/>
                <w:iCs/>
                <w:sz w:val="24"/>
                <w:szCs w:val="24"/>
              </w:rPr>
              <w:t>参与单位名称</w:t>
            </w:r>
          </w:p>
          <w:p w14:paraId="595A1B77" w14:textId="77777777" w:rsidR="00DA33FA" w:rsidRDefault="00000000">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0F8D65A4" w14:textId="77777777" w:rsidR="004C5FBC" w:rsidRDefault="00F1460F">
            <w:pPr>
              <w:spacing w:line="480" w:lineRule="atLeast"/>
              <w:rPr>
                <w:rFonts w:ascii="宋体" w:hAnsi="宋体"/>
                <w:bCs/>
                <w:iCs/>
                <w:sz w:val="24"/>
                <w:szCs w:val="24"/>
              </w:rPr>
            </w:pPr>
            <w:r>
              <w:rPr>
                <w:rFonts w:ascii="宋体" w:hAnsi="宋体" w:hint="eastAsia"/>
                <w:bCs/>
                <w:iCs/>
                <w:sz w:val="24"/>
                <w:szCs w:val="24"/>
              </w:rPr>
              <w:t>东方证券、东吴证券、光大证券、国海证券、国联证券、华安基金、华泰证券、华鑫证券、蓝林投资、鹏华基金、平安基金、</w:t>
            </w:r>
            <w:r w:rsidRPr="00F1460F">
              <w:rPr>
                <w:rFonts w:ascii="宋体" w:hAnsi="宋体" w:hint="eastAsia"/>
                <w:bCs/>
                <w:iCs/>
                <w:sz w:val="24"/>
                <w:szCs w:val="24"/>
              </w:rPr>
              <w:t>上海海宸</w:t>
            </w:r>
            <w:r>
              <w:rPr>
                <w:rFonts w:ascii="宋体" w:hAnsi="宋体" w:hint="eastAsia"/>
                <w:bCs/>
                <w:iCs/>
                <w:sz w:val="24"/>
                <w:szCs w:val="24"/>
              </w:rPr>
              <w:t>、上海睿郡、太平洋证券、甬兴证券、长城基金、长江证券、招商证券、浙江新干世业、中交资本、中信建投</w:t>
            </w:r>
          </w:p>
          <w:p w14:paraId="70DC9838" w14:textId="15C05BC6" w:rsidR="00DA33FA" w:rsidRDefault="00F1460F">
            <w:pPr>
              <w:spacing w:line="480" w:lineRule="atLeast"/>
              <w:rPr>
                <w:rFonts w:ascii="宋体" w:hAnsi="宋体" w:hint="eastAsia"/>
                <w:bCs/>
                <w:iCs/>
                <w:sz w:val="24"/>
                <w:szCs w:val="24"/>
              </w:rPr>
            </w:pPr>
            <w:r>
              <w:rPr>
                <w:rFonts w:ascii="宋体" w:hAnsi="宋体" w:hint="eastAsia"/>
                <w:bCs/>
                <w:iCs/>
                <w:sz w:val="24"/>
                <w:szCs w:val="24"/>
              </w:rPr>
              <w:t>（</w:t>
            </w:r>
            <w:r w:rsidRPr="00F1460F">
              <w:rPr>
                <w:rFonts w:ascii="宋体" w:hAnsi="宋体" w:hint="eastAsia"/>
                <w:bCs/>
                <w:iCs/>
                <w:sz w:val="24"/>
                <w:szCs w:val="24"/>
              </w:rPr>
              <w:t>按汉字拼音首字母顺序排列</w:t>
            </w:r>
            <w:r>
              <w:rPr>
                <w:rFonts w:ascii="宋体" w:hAnsi="宋体" w:hint="eastAsia"/>
                <w:bCs/>
                <w:iCs/>
                <w:sz w:val="24"/>
                <w:szCs w:val="24"/>
              </w:rPr>
              <w:t>）</w:t>
            </w:r>
          </w:p>
        </w:tc>
      </w:tr>
      <w:tr w:rsidR="00DA33FA" w14:paraId="6DDC7F36" w14:textId="77777777">
        <w:trPr>
          <w:trHeight w:val="588"/>
        </w:trPr>
        <w:tc>
          <w:tcPr>
            <w:tcW w:w="1931" w:type="dxa"/>
            <w:shd w:val="clear" w:color="auto" w:fill="auto"/>
            <w:vAlign w:val="center"/>
          </w:tcPr>
          <w:p w14:paraId="7B732EEB" w14:textId="77777777" w:rsidR="00DA33FA" w:rsidRDefault="00000000">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CDBF897" w14:textId="74C508F5"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w:t>
            </w:r>
            <w:r w:rsidR="008757E2">
              <w:rPr>
                <w:rFonts w:ascii="宋体" w:hAnsi="宋体" w:hint="eastAsia"/>
                <w:bCs/>
                <w:iCs/>
                <w:sz w:val="24"/>
                <w:szCs w:val="24"/>
              </w:rPr>
              <w:t>7</w:t>
            </w:r>
            <w:r>
              <w:rPr>
                <w:rFonts w:ascii="宋体" w:hAnsi="宋体" w:hint="eastAsia"/>
                <w:bCs/>
                <w:iCs/>
                <w:sz w:val="24"/>
                <w:szCs w:val="24"/>
              </w:rPr>
              <w:t>月</w:t>
            </w:r>
            <w:r w:rsidR="00523713">
              <w:rPr>
                <w:rFonts w:ascii="宋体" w:hAnsi="宋体" w:hint="eastAsia"/>
                <w:bCs/>
                <w:iCs/>
                <w:sz w:val="24"/>
                <w:szCs w:val="24"/>
              </w:rPr>
              <w:t>2</w:t>
            </w:r>
            <w:r w:rsidR="008757E2">
              <w:rPr>
                <w:rFonts w:ascii="宋体" w:hAnsi="宋体" w:hint="eastAsia"/>
                <w:bCs/>
                <w:iCs/>
                <w:sz w:val="24"/>
                <w:szCs w:val="24"/>
              </w:rPr>
              <w:t>4</w:t>
            </w:r>
            <w:r>
              <w:rPr>
                <w:rFonts w:ascii="宋体" w:hAnsi="宋体" w:hint="eastAsia"/>
                <w:bCs/>
                <w:iCs/>
                <w:sz w:val="24"/>
                <w:szCs w:val="24"/>
              </w:rPr>
              <w:t>日</w:t>
            </w:r>
          </w:p>
        </w:tc>
      </w:tr>
      <w:tr w:rsidR="00DA33FA" w14:paraId="3551741A" w14:textId="77777777">
        <w:trPr>
          <w:trHeight w:val="524"/>
        </w:trPr>
        <w:tc>
          <w:tcPr>
            <w:tcW w:w="1931" w:type="dxa"/>
            <w:shd w:val="clear" w:color="auto" w:fill="auto"/>
            <w:vAlign w:val="center"/>
          </w:tcPr>
          <w:p w14:paraId="3F0929F6" w14:textId="77777777" w:rsidR="00DA33FA" w:rsidRDefault="00000000">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5D9B9935" w14:textId="2032FD1B" w:rsidR="00DA33FA" w:rsidRDefault="008757E2">
            <w:pPr>
              <w:spacing w:line="480" w:lineRule="atLeast"/>
              <w:rPr>
                <w:rFonts w:ascii="宋体" w:hAnsi="宋体" w:hint="eastAsia"/>
                <w:bCs/>
                <w:iCs/>
                <w:sz w:val="24"/>
                <w:szCs w:val="24"/>
              </w:rPr>
            </w:pPr>
            <w:r>
              <w:rPr>
                <w:rFonts w:ascii="宋体" w:hAnsi="宋体" w:hint="eastAsia"/>
                <w:bCs/>
                <w:iCs/>
                <w:sz w:val="24"/>
                <w:szCs w:val="24"/>
              </w:rPr>
              <w:t>浙江</w:t>
            </w:r>
            <w:r w:rsidR="00523713" w:rsidRPr="00523713">
              <w:rPr>
                <w:rFonts w:ascii="Cambria Math" w:hAnsi="Cambria Math" w:cs="Cambria Math"/>
                <w:bCs/>
                <w:iCs/>
                <w:sz w:val="24"/>
                <w:szCs w:val="24"/>
              </w:rPr>
              <w:t>∙</w:t>
            </w:r>
            <w:r>
              <w:rPr>
                <w:rFonts w:ascii="宋体" w:hAnsi="宋体" w:hint="eastAsia"/>
                <w:bCs/>
                <w:iCs/>
                <w:sz w:val="24"/>
                <w:szCs w:val="24"/>
              </w:rPr>
              <w:t>湖州安吉</w:t>
            </w:r>
            <w:r w:rsidR="00523713" w:rsidRPr="00523713">
              <w:rPr>
                <w:rFonts w:ascii="Cambria Math" w:hAnsi="Cambria Math" w:cs="Cambria Math"/>
                <w:bCs/>
                <w:iCs/>
                <w:sz w:val="24"/>
                <w:szCs w:val="24"/>
              </w:rPr>
              <w:t>∙</w:t>
            </w:r>
            <w:r w:rsidR="00523713" w:rsidRPr="00523713">
              <w:rPr>
                <w:rFonts w:ascii="宋体" w:hAnsi="宋体" w:hint="eastAsia"/>
                <w:bCs/>
                <w:iCs/>
                <w:sz w:val="24"/>
                <w:szCs w:val="24"/>
              </w:rPr>
              <w:t>中力股份（</w:t>
            </w:r>
            <w:r>
              <w:rPr>
                <w:rFonts w:ascii="宋体" w:hAnsi="宋体" w:hint="eastAsia"/>
                <w:bCs/>
                <w:iCs/>
                <w:sz w:val="24"/>
                <w:szCs w:val="24"/>
              </w:rPr>
              <w:t>北区</w:t>
            </w:r>
            <w:r w:rsidR="00523713" w:rsidRPr="00523713">
              <w:rPr>
                <w:rFonts w:ascii="宋体" w:hAnsi="宋体" w:hint="eastAsia"/>
                <w:bCs/>
                <w:iCs/>
                <w:sz w:val="24"/>
                <w:szCs w:val="24"/>
              </w:rPr>
              <w:t>）</w:t>
            </w:r>
          </w:p>
        </w:tc>
      </w:tr>
      <w:tr w:rsidR="00DA33FA" w14:paraId="1E2E09E4" w14:textId="77777777">
        <w:trPr>
          <w:trHeight w:val="702"/>
        </w:trPr>
        <w:tc>
          <w:tcPr>
            <w:tcW w:w="1931" w:type="dxa"/>
            <w:shd w:val="clear" w:color="auto" w:fill="auto"/>
            <w:vAlign w:val="center"/>
          </w:tcPr>
          <w:p w14:paraId="10DFC7DD" w14:textId="77777777" w:rsidR="00DA33FA" w:rsidRDefault="00000000">
            <w:pPr>
              <w:rPr>
                <w:rFonts w:ascii="宋体" w:hAnsi="宋体" w:hint="eastAsia"/>
                <w:b/>
                <w:bCs/>
                <w:iCs/>
                <w:sz w:val="24"/>
                <w:szCs w:val="24"/>
              </w:rPr>
            </w:pPr>
            <w:r>
              <w:rPr>
                <w:rFonts w:ascii="宋体" w:hAnsi="宋体" w:hint="eastAsia"/>
                <w:b/>
                <w:bCs/>
                <w:iCs/>
                <w:sz w:val="24"/>
                <w:szCs w:val="24"/>
              </w:rPr>
              <w:t>上市公司接待</w:t>
            </w:r>
          </w:p>
          <w:p w14:paraId="74032886" w14:textId="77777777" w:rsidR="00DA33FA" w:rsidRDefault="00000000">
            <w:pPr>
              <w:rPr>
                <w:rFonts w:ascii="宋体" w:hAnsi="宋体" w:hint="eastAsia"/>
                <w:b/>
                <w:bCs/>
                <w:iCs/>
                <w:sz w:val="24"/>
                <w:szCs w:val="24"/>
              </w:rPr>
            </w:pPr>
            <w:r>
              <w:rPr>
                <w:rFonts w:ascii="宋体" w:hAnsi="宋体" w:hint="eastAsia"/>
                <w:b/>
                <w:bCs/>
                <w:iCs/>
                <w:sz w:val="24"/>
                <w:szCs w:val="24"/>
              </w:rPr>
              <w:t>人员姓名</w:t>
            </w:r>
          </w:p>
        </w:tc>
        <w:tc>
          <w:tcPr>
            <w:tcW w:w="6693" w:type="dxa"/>
            <w:shd w:val="clear" w:color="auto" w:fill="auto"/>
          </w:tcPr>
          <w:p w14:paraId="19DD806D" w14:textId="5610D181" w:rsidR="00523713" w:rsidRPr="00523713"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董事</w:t>
            </w:r>
            <w:r w:rsidR="008757E2">
              <w:rPr>
                <w:rFonts w:ascii="宋体" w:hAnsi="宋体" w:hint="eastAsia"/>
                <w:bCs/>
                <w:iCs/>
                <w:sz w:val="24"/>
                <w:szCs w:val="24"/>
              </w:rPr>
              <w:t>、董事会秘书、副总经理：廖发培</w:t>
            </w:r>
          </w:p>
          <w:p w14:paraId="1A3BD100" w14:textId="013005B6" w:rsidR="00523713"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董事、财务负责人：汪时锋</w:t>
            </w:r>
          </w:p>
          <w:p w14:paraId="159C365B" w14:textId="77777777" w:rsidR="00DA33FA" w:rsidRDefault="00523713" w:rsidP="00523713">
            <w:pPr>
              <w:spacing w:line="480" w:lineRule="atLeast"/>
              <w:rPr>
                <w:rFonts w:ascii="宋体" w:hAnsi="宋体" w:hint="eastAsia"/>
                <w:bCs/>
                <w:iCs/>
                <w:sz w:val="24"/>
                <w:szCs w:val="24"/>
              </w:rPr>
            </w:pPr>
            <w:r w:rsidRPr="00523713">
              <w:rPr>
                <w:rFonts w:ascii="宋体" w:hAnsi="宋体" w:hint="eastAsia"/>
                <w:bCs/>
                <w:iCs/>
                <w:sz w:val="24"/>
                <w:szCs w:val="24"/>
              </w:rPr>
              <w:t>证券事务代表：吴碧青</w:t>
            </w:r>
          </w:p>
          <w:p w14:paraId="38368235" w14:textId="3AB67A07" w:rsidR="008757E2" w:rsidRDefault="008757E2" w:rsidP="00523713">
            <w:pPr>
              <w:spacing w:line="480" w:lineRule="atLeast"/>
              <w:rPr>
                <w:rFonts w:ascii="宋体" w:hAnsi="宋体" w:hint="eastAsia"/>
                <w:bCs/>
                <w:iCs/>
                <w:sz w:val="24"/>
                <w:szCs w:val="24"/>
              </w:rPr>
            </w:pPr>
            <w:r w:rsidRPr="008757E2">
              <w:rPr>
                <w:rFonts w:ascii="宋体" w:hAnsi="宋体" w:hint="eastAsia"/>
                <w:bCs/>
                <w:iCs/>
                <w:sz w:val="24"/>
                <w:szCs w:val="24"/>
              </w:rPr>
              <w:t>智能物流事业部</w:t>
            </w:r>
            <w:r w:rsidR="004C5FBC">
              <w:rPr>
                <w:rFonts w:ascii="宋体" w:hAnsi="宋体" w:hint="eastAsia"/>
                <w:bCs/>
                <w:iCs/>
                <w:sz w:val="24"/>
                <w:szCs w:val="24"/>
              </w:rPr>
              <w:t>部长</w:t>
            </w:r>
            <w:r>
              <w:rPr>
                <w:rFonts w:ascii="宋体" w:hAnsi="宋体" w:hint="eastAsia"/>
                <w:bCs/>
                <w:iCs/>
                <w:sz w:val="24"/>
                <w:szCs w:val="24"/>
              </w:rPr>
              <w:t>：</w:t>
            </w:r>
            <w:r w:rsidRPr="008757E2">
              <w:rPr>
                <w:rFonts w:ascii="宋体" w:hAnsi="宋体" w:hint="eastAsia"/>
                <w:bCs/>
                <w:iCs/>
                <w:sz w:val="24"/>
                <w:szCs w:val="24"/>
              </w:rPr>
              <w:t>武俊华</w:t>
            </w:r>
          </w:p>
        </w:tc>
      </w:tr>
      <w:tr w:rsidR="00DA33FA" w14:paraId="16982FD3" w14:textId="77777777">
        <w:trPr>
          <w:trHeight w:val="2723"/>
        </w:trPr>
        <w:tc>
          <w:tcPr>
            <w:tcW w:w="1931" w:type="dxa"/>
            <w:shd w:val="clear" w:color="auto" w:fill="auto"/>
            <w:vAlign w:val="center"/>
          </w:tcPr>
          <w:p w14:paraId="673E331D" w14:textId="77777777" w:rsidR="00DA33FA" w:rsidRDefault="00000000">
            <w:pPr>
              <w:rPr>
                <w:rFonts w:ascii="宋体" w:hAnsi="宋体" w:hint="eastAsia"/>
                <w:b/>
                <w:bCs/>
                <w:iCs/>
                <w:sz w:val="24"/>
                <w:szCs w:val="24"/>
              </w:rPr>
            </w:pPr>
            <w:r>
              <w:rPr>
                <w:rFonts w:ascii="宋体" w:hAnsi="宋体" w:hint="eastAsia"/>
                <w:b/>
                <w:bCs/>
                <w:iCs/>
                <w:sz w:val="24"/>
                <w:szCs w:val="24"/>
              </w:rPr>
              <w:t>投资者关系活动主要内容介绍</w:t>
            </w:r>
          </w:p>
          <w:p w14:paraId="583BBDB8" w14:textId="77777777" w:rsidR="00DA33FA" w:rsidRDefault="00DA33FA">
            <w:pPr>
              <w:rPr>
                <w:rFonts w:ascii="宋体" w:hAnsi="宋体" w:hint="eastAsia"/>
                <w:b/>
                <w:bCs/>
                <w:iCs/>
                <w:sz w:val="24"/>
                <w:szCs w:val="24"/>
              </w:rPr>
            </w:pPr>
          </w:p>
        </w:tc>
        <w:tc>
          <w:tcPr>
            <w:tcW w:w="6693" w:type="dxa"/>
            <w:shd w:val="clear" w:color="auto" w:fill="auto"/>
          </w:tcPr>
          <w:p w14:paraId="7F0E8A96" w14:textId="77777777" w:rsidR="008757E2" w:rsidRPr="00F02073" w:rsidRDefault="008757E2" w:rsidP="008757E2">
            <w:pPr>
              <w:spacing w:line="480" w:lineRule="atLeast"/>
              <w:rPr>
                <w:rFonts w:ascii="宋体" w:hAnsi="宋体" w:hint="eastAsia"/>
                <w:b/>
                <w:iCs/>
                <w:sz w:val="24"/>
                <w:szCs w:val="24"/>
              </w:rPr>
            </w:pPr>
            <w:r w:rsidRPr="00F02073">
              <w:rPr>
                <w:rFonts w:ascii="宋体" w:hAnsi="宋体" w:hint="eastAsia"/>
                <w:b/>
                <w:iCs/>
                <w:sz w:val="24"/>
                <w:szCs w:val="24"/>
              </w:rPr>
              <w:t xml:space="preserve">一、活动流程 </w:t>
            </w:r>
          </w:p>
          <w:p w14:paraId="6BE7A7C8" w14:textId="77777777" w:rsidR="008757E2" w:rsidRPr="00F02073" w:rsidRDefault="008757E2" w:rsidP="008757E2">
            <w:pPr>
              <w:spacing w:line="480" w:lineRule="atLeast"/>
              <w:rPr>
                <w:rFonts w:ascii="宋体" w:hAnsi="宋体" w:hint="eastAsia"/>
                <w:bCs/>
                <w:iCs/>
                <w:sz w:val="24"/>
                <w:szCs w:val="24"/>
              </w:rPr>
            </w:pPr>
            <w:r w:rsidRPr="00F02073">
              <w:rPr>
                <w:rFonts w:ascii="宋体" w:hAnsi="宋体" w:hint="eastAsia"/>
                <w:bCs/>
                <w:iCs/>
                <w:sz w:val="24"/>
                <w:szCs w:val="24"/>
              </w:rPr>
              <w:t xml:space="preserve">1、参观公司展厅及产线、智慧物流应用场景； </w:t>
            </w:r>
          </w:p>
          <w:p w14:paraId="282BC905" w14:textId="55781645" w:rsidR="008452B6" w:rsidRPr="00F02073" w:rsidRDefault="008757E2" w:rsidP="008757E2">
            <w:pPr>
              <w:spacing w:line="480" w:lineRule="atLeast"/>
              <w:rPr>
                <w:rFonts w:ascii="宋体" w:hAnsi="宋体" w:hint="eastAsia"/>
                <w:bCs/>
                <w:iCs/>
                <w:sz w:val="24"/>
                <w:szCs w:val="24"/>
              </w:rPr>
            </w:pPr>
            <w:r w:rsidRPr="00F02073">
              <w:rPr>
                <w:rFonts w:ascii="宋体" w:hAnsi="宋体" w:hint="eastAsia"/>
                <w:bCs/>
                <w:iCs/>
                <w:sz w:val="24"/>
                <w:szCs w:val="24"/>
              </w:rPr>
              <w:t>2、</w:t>
            </w:r>
            <w:r w:rsidR="008452B6" w:rsidRPr="00F02073">
              <w:rPr>
                <w:rFonts w:ascii="宋体" w:hAnsi="宋体" w:hint="eastAsia"/>
                <w:bCs/>
                <w:iCs/>
                <w:sz w:val="24"/>
                <w:szCs w:val="24"/>
              </w:rPr>
              <w:t>公司情况介绍；</w:t>
            </w:r>
          </w:p>
          <w:p w14:paraId="30E41666" w14:textId="4522CC47" w:rsidR="008757E2" w:rsidRPr="00F02073" w:rsidRDefault="008452B6" w:rsidP="008757E2">
            <w:pPr>
              <w:spacing w:line="480" w:lineRule="atLeast"/>
              <w:rPr>
                <w:rFonts w:ascii="宋体" w:hAnsi="宋体" w:hint="eastAsia"/>
                <w:bCs/>
                <w:iCs/>
                <w:sz w:val="24"/>
                <w:szCs w:val="24"/>
              </w:rPr>
            </w:pPr>
            <w:r w:rsidRPr="00F02073">
              <w:rPr>
                <w:rFonts w:ascii="宋体" w:hAnsi="宋体" w:hint="eastAsia"/>
                <w:bCs/>
                <w:iCs/>
                <w:sz w:val="24"/>
                <w:szCs w:val="24"/>
              </w:rPr>
              <w:t>3、</w:t>
            </w:r>
            <w:r w:rsidR="008757E2" w:rsidRPr="00F02073">
              <w:rPr>
                <w:rFonts w:ascii="宋体" w:hAnsi="宋体" w:hint="eastAsia"/>
                <w:bCs/>
                <w:iCs/>
                <w:sz w:val="24"/>
                <w:szCs w:val="24"/>
              </w:rPr>
              <w:t>互动交流。</w:t>
            </w:r>
          </w:p>
          <w:p w14:paraId="393C02D9" w14:textId="77777777" w:rsidR="008757E2" w:rsidRPr="00F02073" w:rsidRDefault="008757E2" w:rsidP="008757E2">
            <w:pPr>
              <w:spacing w:line="480" w:lineRule="atLeast"/>
              <w:rPr>
                <w:rFonts w:ascii="宋体" w:hAnsi="宋体" w:hint="eastAsia"/>
                <w:b/>
                <w:iCs/>
                <w:sz w:val="24"/>
                <w:szCs w:val="24"/>
              </w:rPr>
            </w:pPr>
            <w:r w:rsidRPr="00F02073">
              <w:rPr>
                <w:rFonts w:ascii="宋体" w:hAnsi="宋体" w:hint="eastAsia"/>
                <w:b/>
                <w:iCs/>
                <w:sz w:val="24"/>
                <w:szCs w:val="24"/>
              </w:rPr>
              <w:t>二、互动交流</w:t>
            </w:r>
          </w:p>
          <w:p w14:paraId="22D7A75F" w14:textId="7FD05BA1" w:rsidR="00F1460F" w:rsidRPr="00F02073" w:rsidRDefault="00F1460F" w:rsidP="00F1460F">
            <w:pPr>
              <w:spacing w:line="480" w:lineRule="atLeast"/>
              <w:rPr>
                <w:rFonts w:ascii="宋体" w:hAnsi="宋体" w:hint="eastAsia"/>
                <w:b/>
                <w:iCs/>
                <w:sz w:val="24"/>
                <w:szCs w:val="24"/>
              </w:rPr>
            </w:pPr>
            <w:r w:rsidRPr="00F02073">
              <w:rPr>
                <w:rFonts w:ascii="宋体" w:hAnsi="宋体" w:hint="eastAsia"/>
                <w:b/>
                <w:iCs/>
                <w:sz w:val="24"/>
                <w:szCs w:val="24"/>
              </w:rPr>
              <w:t>1.关于中力数智</w:t>
            </w:r>
            <w:r w:rsidR="000F0580" w:rsidRPr="00F02073">
              <w:rPr>
                <w:rFonts w:ascii="宋体" w:hAnsi="宋体" w:hint="eastAsia"/>
                <w:b/>
                <w:iCs/>
                <w:sz w:val="24"/>
                <w:szCs w:val="24"/>
              </w:rPr>
              <w:t>：</w:t>
            </w:r>
          </w:p>
          <w:p w14:paraId="6A3D2FAD" w14:textId="4FD76A54" w:rsidR="00F1460F" w:rsidRPr="00F02073" w:rsidRDefault="00F1460F" w:rsidP="000F0580">
            <w:pPr>
              <w:spacing w:line="480" w:lineRule="atLeast"/>
              <w:ind w:firstLine="480"/>
              <w:rPr>
                <w:rFonts w:ascii="宋体" w:hAnsi="宋体" w:hint="eastAsia"/>
                <w:bCs/>
                <w:iCs/>
                <w:sz w:val="24"/>
                <w:szCs w:val="24"/>
              </w:rPr>
            </w:pPr>
            <w:r w:rsidRPr="00F02073">
              <w:rPr>
                <w:rFonts w:ascii="宋体" w:hAnsi="宋体" w:hint="eastAsia"/>
                <w:bCs/>
                <w:iCs/>
                <w:sz w:val="24"/>
                <w:szCs w:val="24"/>
              </w:rPr>
              <w:t>中力数智X-Mover是中力旗下专研物料数智移动的先锋服务品牌，致力于让搬马机器人走进千企万厂，实现物料搬运到物料移动的革新</w:t>
            </w:r>
            <w:r w:rsidR="000F0580" w:rsidRPr="00F02073">
              <w:rPr>
                <w:rFonts w:ascii="宋体" w:hAnsi="宋体" w:hint="eastAsia"/>
                <w:bCs/>
                <w:iCs/>
                <w:sz w:val="24"/>
                <w:szCs w:val="24"/>
              </w:rPr>
              <w:t>。</w:t>
            </w:r>
          </w:p>
          <w:p w14:paraId="178E797D" w14:textId="0D080B37" w:rsidR="000F0580" w:rsidRPr="00F02073" w:rsidRDefault="000F0580" w:rsidP="000F0580">
            <w:pPr>
              <w:spacing w:line="480" w:lineRule="atLeast"/>
              <w:ind w:firstLine="480"/>
              <w:rPr>
                <w:rFonts w:ascii="宋体" w:hAnsi="宋体" w:hint="eastAsia"/>
                <w:bCs/>
                <w:iCs/>
                <w:sz w:val="24"/>
                <w:szCs w:val="24"/>
              </w:rPr>
            </w:pPr>
            <w:r w:rsidRPr="00F02073">
              <w:rPr>
                <w:rFonts w:ascii="宋体" w:hAnsi="宋体" w:hint="eastAsia"/>
                <w:bCs/>
                <w:iCs/>
                <w:sz w:val="24"/>
                <w:szCs w:val="24"/>
              </w:rPr>
              <w:lastRenderedPageBreak/>
              <w:t>中力数智从产品级、模式级、系统级三层次布局智能搬运，以“数智大脑DAS+模式级+全系搬马机器人”成功打造制造业数智工厂、物流业高效搬运模式等多行业样板工程。</w:t>
            </w:r>
          </w:p>
          <w:p w14:paraId="6F2E9BD1" w14:textId="78BB7710" w:rsidR="000F0580" w:rsidRPr="00F02073" w:rsidRDefault="000F0580" w:rsidP="000F0580">
            <w:pPr>
              <w:spacing w:line="480" w:lineRule="atLeast"/>
              <w:ind w:firstLine="480"/>
              <w:rPr>
                <w:rFonts w:ascii="宋体" w:hAnsi="宋体" w:hint="eastAsia"/>
                <w:bCs/>
                <w:iCs/>
                <w:sz w:val="24"/>
                <w:szCs w:val="24"/>
              </w:rPr>
            </w:pPr>
            <w:r w:rsidRPr="00F02073">
              <w:rPr>
                <w:rFonts w:ascii="宋体" w:hAnsi="宋体" w:hint="eastAsia"/>
                <w:bCs/>
                <w:iCs/>
                <w:sz w:val="24"/>
                <w:szCs w:val="24"/>
              </w:rPr>
              <w:t>目前全系搬马机器人涵盖搬运、堆高、顶升、牵引、平衡重式、前移式等，多机协同，共同完成智慧搬运。产品已广泛应用于制造业、物流行业、汽车零部件制造行业、医药业、纸业、日用品行业、木业等，满足不同行业的多样化搬运需求。</w:t>
            </w:r>
          </w:p>
          <w:p w14:paraId="0EC298B0" w14:textId="77777777" w:rsidR="000F0580" w:rsidRPr="00F02073" w:rsidRDefault="000F0580" w:rsidP="000F0580">
            <w:pPr>
              <w:spacing w:line="480" w:lineRule="atLeast"/>
              <w:ind w:firstLine="480"/>
              <w:rPr>
                <w:rFonts w:ascii="宋体" w:hAnsi="宋体" w:hint="eastAsia"/>
                <w:bCs/>
                <w:iCs/>
                <w:sz w:val="24"/>
                <w:szCs w:val="24"/>
              </w:rPr>
            </w:pPr>
          </w:p>
          <w:p w14:paraId="5D993D87" w14:textId="2F11B818" w:rsidR="0009705E" w:rsidRPr="00F02073" w:rsidRDefault="000F0580" w:rsidP="00964EC8">
            <w:pPr>
              <w:spacing w:line="480" w:lineRule="atLeast"/>
              <w:rPr>
                <w:rFonts w:ascii="宋体" w:hAnsi="宋体" w:hint="eastAsia"/>
                <w:b/>
                <w:iCs/>
                <w:sz w:val="24"/>
                <w:szCs w:val="24"/>
              </w:rPr>
            </w:pPr>
            <w:r w:rsidRPr="00F02073">
              <w:rPr>
                <w:rFonts w:ascii="宋体" w:hAnsi="宋体" w:hint="eastAsia"/>
                <w:b/>
                <w:iCs/>
                <w:sz w:val="24"/>
                <w:szCs w:val="24"/>
              </w:rPr>
              <w:t>2.DAS数智大脑</w:t>
            </w:r>
            <w:r w:rsidR="00893294" w:rsidRPr="00F02073">
              <w:rPr>
                <w:rFonts w:ascii="宋体" w:hAnsi="宋体" w:hint="eastAsia"/>
                <w:b/>
                <w:iCs/>
                <w:sz w:val="24"/>
                <w:szCs w:val="24"/>
              </w:rPr>
              <w:t>+模式级+搬马机器人</w:t>
            </w:r>
            <w:r w:rsidRPr="00F02073">
              <w:rPr>
                <w:rFonts w:ascii="宋体" w:hAnsi="宋体" w:hint="eastAsia"/>
                <w:b/>
                <w:iCs/>
                <w:sz w:val="24"/>
                <w:szCs w:val="24"/>
              </w:rPr>
              <w:t>：</w:t>
            </w:r>
          </w:p>
          <w:p w14:paraId="59D2B0EF" w14:textId="02DA9D97" w:rsidR="00DA33FA" w:rsidRPr="00F02073" w:rsidRDefault="000F0580" w:rsidP="00893294">
            <w:pPr>
              <w:spacing w:line="480" w:lineRule="atLeast"/>
              <w:ind w:firstLine="489"/>
              <w:rPr>
                <w:rFonts w:ascii="宋体" w:hAnsi="宋体" w:hint="eastAsia"/>
                <w:bCs/>
                <w:iCs/>
                <w:sz w:val="24"/>
                <w:szCs w:val="24"/>
              </w:rPr>
            </w:pPr>
            <w:r w:rsidRPr="00F02073">
              <w:rPr>
                <w:rFonts w:ascii="宋体" w:hAnsi="宋体" w:hint="eastAsia"/>
                <w:bCs/>
                <w:iCs/>
                <w:sz w:val="24"/>
                <w:szCs w:val="24"/>
              </w:rPr>
              <w:t>DAS数智大脑是基于货物动态驱动的数字化建模物联网可视化及数字孪生系统平台。该平台包含数智物流传递、数智系统联通、数智仓储管理、数智移动工厂四个板块，通过DAS数智大脑生产端、供应端、需求端的全流程数智化管理</w:t>
            </w:r>
            <w:r w:rsidR="00893294" w:rsidRPr="00F02073">
              <w:rPr>
                <w:rFonts w:ascii="宋体" w:hAnsi="宋体" w:hint="eastAsia"/>
                <w:bCs/>
                <w:iCs/>
                <w:sz w:val="24"/>
                <w:szCs w:val="24"/>
              </w:rPr>
              <w:t>，达到智能物流、智能仓储的高效融合。</w:t>
            </w:r>
          </w:p>
          <w:p w14:paraId="13F2370D" w14:textId="77777777" w:rsidR="00893294" w:rsidRPr="00F02073" w:rsidRDefault="00893294" w:rsidP="00893294">
            <w:pPr>
              <w:spacing w:line="480" w:lineRule="atLeast"/>
              <w:ind w:firstLine="489"/>
              <w:rPr>
                <w:rFonts w:ascii="宋体" w:hAnsi="宋体" w:hint="eastAsia"/>
                <w:bCs/>
                <w:iCs/>
                <w:sz w:val="24"/>
                <w:szCs w:val="24"/>
              </w:rPr>
            </w:pPr>
            <w:r w:rsidRPr="00F02073">
              <w:rPr>
                <w:rFonts w:ascii="宋体" w:hAnsi="宋体" w:hint="eastAsia"/>
                <w:bCs/>
                <w:iCs/>
                <w:sz w:val="24"/>
                <w:szCs w:val="24"/>
              </w:rPr>
              <w:t>通过赋予货物身份ID加以DAS系统实现货物的智能移动，DAS数智大脑负责全局控制，模式级负责具体应用方案，使用全系搬马机器人分门别类解决“装”、“卸”、“移”、“堆”四个专业动作，提高物料供应链的运行效率。</w:t>
            </w:r>
          </w:p>
          <w:p w14:paraId="1F46450C" w14:textId="77777777" w:rsidR="00893294" w:rsidRPr="00F02073" w:rsidRDefault="00893294" w:rsidP="00893294">
            <w:pPr>
              <w:spacing w:line="480" w:lineRule="atLeast"/>
              <w:ind w:firstLine="489"/>
              <w:rPr>
                <w:rFonts w:ascii="宋体" w:hAnsi="宋体" w:hint="eastAsia"/>
                <w:bCs/>
                <w:iCs/>
                <w:sz w:val="24"/>
                <w:szCs w:val="24"/>
              </w:rPr>
            </w:pPr>
          </w:p>
          <w:p w14:paraId="6416427A" w14:textId="4BD96DFC" w:rsidR="00C6373E" w:rsidRPr="00F02073" w:rsidRDefault="00C6373E" w:rsidP="00C6373E">
            <w:pPr>
              <w:spacing w:line="480" w:lineRule="atLeast"/>
              <w:rPr>
                <w:rFonts w:ascii="宋体" w:hAnsi="宋体" w:hint="eastAsia"/>
                <w:b/>
                <w:iCs/>
                <w:sz w:val="24"/>
                <w:szCs w:val="24"/>
              </w:rPr>
            </w:pPr>
            <w:r w:rsidRPr="00F02073">
              <w:rPr>
                <w:rFonts w:ascii="宋体" w:hAnsi="宋体" w:hint="eastAsia"/>
                <w:b/>
                <w:iCs/>
                <w:sz w:val="24"/>
                <w:szCs w:val="24"/>
              </w:rPr>
              <w:t>3.如何看待无人叉车的发展速度及市场拐点？</w:t>
            </w:r>
          </w:p>
          <w:p w14:paraId="041E8966" w14:textId="395F4C40" w:rsidR="00C6373E" w:rsidRPr="00F02073" w:rsidRDefault="00C6373E" w:rsidP="00C6373E">
            <w:pPr>
              <w:spacing w:line="480" w:lineRule="atLeast"/>
              <w:ind w:firstLineChars="200" w:firstLine="480"/>
              <w:rPr>
                <w:rFonts w:ascii="宋体" w:hAnsi="宋体" w:hint="eastAsia"/>
                <w:bCs/>
                <w:iCs/>
                <w:sz w:val="24"/>
                <w:szCs w:val="24"/>
              </w:rPr>
            </w:pPr>
            <w:r w:rsidRPr="00F02073">
              <w:rPr>
                <w:rFonts w:ascii="宋体" w:hAnsi="宋体" w:hint="eastAsia"/>
                <w:bCs/>
                <w:iCs/>
                <w:sz w:val="24"/>
                <w:szCs w:val="24"/>
              </w:rPr>
              <w:t>发展速度取决于企业数智化流程的打通进度。当客户数</w:t>
            </w:r>
            <w:r w:rsidR="004C5FBC">
              <w:rPr>
                <w:rFonts w:ascii="宋体" w:hAnsi="宋体" w:hint="eastAsia"/>
                <w:bCs/>
                <w:iCs/>
                <w:sz w:val="24"/>
                <w:szCs w:val="24"/>
              </w:rPr>
              <w:t>智</w:t>
            </w:r>
            <w:r w:rsidRPr="00F02073">
              <w:rPr>
                <w:rFonts w:ascii="宋体" w:hAnsi="宋体" w:hint="eastAsia"/>
                <w:bCs/>
                <w:iCs/>
                <w:sz w:val="24"/>
                <w:szCs w:val="24"/>
              </w:rPr>
              <w:t>化流程打通后，物料管理全流程数智化操作将无法</w:t>
            </w:r>
            <w:r w:rsidR="004C5FBC">
              <w:rPr>
                <w:rFonts w:ascii="宋体" w:hAnsi="宋体" w:hint="eastAsia"/>
                <w:bCs/>
                <w:iCs/>
                <w:sz w:val="24"/>
                <w:szCs w:val="24"/>
              </w:rPr>
              <w:t>完全</w:t>
            </w:r>
            <w:r w:rsidRPr="00F02073">
              <w:rPr>
                <w:rFonts w:ascii="宋体" w:hAnsi="宋体" w:hint="eastAsia"/>
                <w:bCs/>
                <w:iCs/>
                <w:sz w:val="24"/>
                <w:szCs w:val="24"/>
              </w:rPr>
              <w:t>依赖人工介入，从而推动机器人落地。</w:t>
            </w:r>
          </w:p>
          <w:p w14:paraId="7AA5E7A9" w14:textId="5782D514" w:rsidR="00893294" w:rsidRPr="00F02073" w:rsidRDefault="00C6373E" w:rsidP="00C6373E">
            <w:pPr>
              <w:spacing w:line="480" w:lineRule="atLeast"/>
              <w:ind w:firstLineChars="200" w:firstLine="480"/>
              <w:rPr>
                <w:rFonts w:ascii="宋体" w:hAnsi="宋体" w:hint="eastAsia"/>
                <w:bCs/>
                <w:iCs/>
                <w:sz w:val="24"/>
                <w:szCs w:val="24"/>
              </w:rPr>
            </w:pPr>
            <w:r w:rsidRPr="00F02073">
              <w:rPr>
                <w:rFonts w:ascii="宋体" w:hAnsi="宋体" w:hint="eastAsia"/>
                <w:bCs/>
                <w:iCs/>
                <w:sz w:val="24"/>
                <w:szCs w:val="24"/>
              </w:rPr>
              <w:t>市场拐点在于客户通过成本分析</w:t>
            </w:r>
            <w:r w:rsidR="004C5FBC">
              <w:rPr>
                <w:rFonts w:ascii="宋体" w:hAnsi="宋体" w:hint="eastAsia"/>
                <w:bCs/>
                <w:iCs/>
                <w:sz w:val="24"/>
                <w:szCs w:val="24"/>
              </w:rPr>
              <w:t>、效率分析等</w:t>
            </w:r>
            <w:r w:rsidRPr="00F02073">
              <w:rPr>
                <w:rFonts w:ascii="宋体" w:hAnsi="宋体" w:hint="eastAsia"/>
                <w:bCs/>
                <w:iCs/>
                <w:sz w:val="24"/>
                <w:szCs w:val="24"/>
              </w:rPr>
              <w:t>认可投入价值，如解决场地受限、人工成本高或短缺、恶劣工况等问题，且数智化改造能带来明确效益（如提高存储效率）。目前部分行业因夜班招工难、长期人工成本高等因素，已逐步开始接受自动化投入。</w:t>
            </w:r>
          </w:p>
          <w:p w14:paraId="45A5CDFE" w14:textId="77777777" w:rsidR="004B66F0" w:rsidRPr="00F02073" w:rsidRDefault="004B66F0" w:rsidP="00C6373E">
            <w:pPr>
              <w:spacing w:line="480" w:lineRule="atLeast"/>
              <w:ind w:firstLineChars="200" w:firstLine="480"/>
              <w:rPr>
                <w:rFonts w:ascii="宋体" w:hAnsi="宋体" w:hint="eastAsia"/>
                <w:bCs/>
                <w:iCs/>
                <w:sz w:val="24"/>
                <w:szCs w:val="24"/>
              </w:rPr>
            </w:pPr>
          </w:p>
          <w:p w14:paraId="0789FD9E" w14:textId="77777777" w:rsidR="004B66F0" w:rsidRPr="00F02073" w:rsidRDefault="004B66F0" w:rsidP="004B66F0">
            <w:pPr>
              <w:spacing w:line="480" w:lineRule="atLeast"/>
              <w:rPr>
                <w:rFonts w:ascii="宋体" w:hAnsi="宋体" w:hint="eastAsia"/>
                <w:b/>
                <w:iCs/>
                <w:sz w:val="24"/>
                <w:szCs w:val="24"/>
              </w:rPr>
            </w:pPr>
            <w:r w:rsidRPr="00F02073">
              <w:rPr>
                <w:rFonts w:ascii="宋体" w:hAnsi="宋体" w:hint="eastAsia"/>
                <w:b/>
                <w:iCs/>
                <w:sz w:val="24"/>
                <w:szCs w:val="24"/>
              </w:rPr>
              <w:lastRenderedPageBreak/>
              <w:t>4.公司智能物流系统的竞争优势有哪些？</w:t>
            </w:r>
          </w:p>
          <w:p w14:paraId="7D183C12" w14:textId="77777777" w:rsidR="00F02073" w:rsidRPr="00F02073" w:rsidRDefault="004B66F0" w:rsidP="004B66F0">
            <w:pPr>
              <w:spacing w:line="480" w:lineRule="atLeast"/>
              <w:rPr>
                <w:rFonts w:ascii="宋体" w:hAnsi="宋体" w:hint="eastAsia"/>
                <w:bCs/>
                <w:iCs/>
                <w:sz w:val="24"/>
                <w:szCs w:val="24"/>
              </w:rPr>
            </w:pPr>
            <w:r w:rsidRPr="00F02073">
              <w:rPr>
                <w:rFonts w:ascii="宋体" w:hAnsi="宋体" w:hint="eastAsia"/>
                <w:bCs/>
                <w:iCs/>
                <w:sz w:val="24"/>
                <w:szCs w:val="24"/>
              </w:rPr>
              <w:t>（1）制造优势，具备设备制造、设计及质量稳定性的体系化能力；</w:t>
            </w:r>
          </w:p>
          <w:p w14:paraId="04C842F5" w14:textId="47E28CCF" w:rsidR="004B66F0" w:rsidRPr="00F02073" w:rsidRDefault="00F02073" w:rsidP="004B66F0">
            <w:pPr>
              <w:spacing w:line="480" w:lineRule="atLeast"/>
              <w:rPr>
                <w:rFonts w:ascii="宋体" w:hAnsi="宋体" w:hint="eastAsia"/>
                <w:bCs/>
                <w:iCs/>
                <w:sz w:val="24"/>
                <w:szCs w:val="24"/>
              </w:rPr>
            </w:pPr>
            <w:r w:rsidRPr="00F02073">
              <w:rPr>
                <w:rFonts w:ascii="宋体" w:hAnsi="宋体" w:hint="eastAsia"/>
                <w:bCs/>
                <w:iCs/>
                <w:sz w:val="24"/>
                <w:szCs w:val="24"/>
              </w:rPr>
              <w:t>（2）</w:t>
            </w:r>
            <w:r w:rsidR="004B66F0" w:rsidRPr="00F02073">
              <w:rPr>
                <w:rFonts w:ascii="宋体" w:hAnsi="宋体" w:hint="eastAsia"/>
                <w:bCs/>
                <w:iCs/>
                <w:sz w:val="24"/>
                <w:szCs w:val="24"/>
              </w:rPr>
              <w:t>售后网络覆盖优势，依托主机厂拥有足够的售后网络；</w:t>
            </w:r>
          </w:p>
          <w:p w14:paraId="21401484" w14:textId="77777777" w:rsidR="004B66F0" w:rsidRPr="00F02073" w:rsidRDefault="004B66F0" w:rsidP="004B66F0">
            <w:pPr>
              <w:spacing w:line="480" w:lineRule="atLeast"/>
              <w:rPr>
                <w:rFonts w:ascii="宋体" w:hAnsi="宋体" w:hint="eastAsia"/>
                <w:bCs/>
                <w:iCs/>
                <w:sz w:val="24"/>
                <w:szCs w:val="24"/>
              </w:rPr>
            </w:pPr>
            <w:r w:rsidRPr="00F02073">
              <w:rPr>
                <w:rFonts w:ascii="宋体" w:hAnsi="宋体" w:hint="eastAsia"/>
                <w:bCs/>
                <w:iCs/>
                <w:sz w:val="24"/>
                <w:szCs w:val="24"/>
              </w:rPr>
              <w:t>（3）算法与场景适应优势，从电动叉车业务转型中积累了丰富的场景适应度和算法训练经验；</w:t>
            </w:r>
          </w:p>
          <w:p w14:paraId="1FA5D25D" w14:textId="622CBD10" w:rsidR="004B66F0" w:rsidRPr="00F02073" w:rsidRDefault="004B66F0" w:rsidP="004B66F0">
            <w:pPr>
              <w:spacing w:line="480" w:lineRule="atLeast"/>
              <w:rPr>
                <w:rFonts w:ascii="宋体" w:hAnsi="宋体" w:hint="eastAsia"/>
                <w:b/>
                <w:iCs/>
                <w:sz w:val="24"/>
                <w:szCs w:val="24"/>
              </w:rPr>
            </w:pPr>
            <w:r w:rsidRPr="00F02073">
              <w:rPr>
                <w:rFonts w:ascii="宋体" w:hAnsi="宋体" w:hint="eastAsia"/>
                <w:bCs/>
                <w:iCs/>
                <w:sz w:val="24"/>
                <w:szCs w:val="24"/>
              </w:rPr>
              <w:t>（4）技术融合与团队优势，通过自建团队（保障交付能力）、投资多家技术公司及股权融合方式整合内外部技术资源，形成持续的技术造血能力。</w:t>
            </w:r>
          </w:p>
        </w:tc>
      </w:tr>
      <w:tr w:rsidR="00DA33FA" w14:paraId="542D15DD" w14:textId="77777777">
        <w:trPr>
          <w:trHeight w:val="728"/>
        </w:trPr>
        <w:tc>
          <w:tcPr>
            <w:tcW w:w="1931" w:type="dxa"/>
            <w:shd w:val="clear" w:color="auto" w:fill="auto"/>
            <w:vAlign w:val="center"/>
          </w:tcPr>
          <w:p w14:paraId="676F6A13" w14:textId="77777777" w:rsidR="00DA33FA" w:rsidRDefault="00000000">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38454321" w14:textId="77777777" w:rsidR="00DA33FA" w:rsidRDefault="00000000">
            <w:pPr>
              <w:spacing w:line="480" w:lineRule="atLeast"/>
              <w:rPr>
                <w:rFonts w:ascii="宋体" w:hAnsi="宋体" w:hint="eastAsia"/>
                <w:bCs/>
                <w:iCs/>
                <w:sz w:val="24"/>
                <w:szCs w:val="24"/>
              </w:rPr>
            </w:pPr>
            <w:r>
              <w:rPr>
                <w:rFonts w:ascii="宋体" w:hAnsi="宋体" w:hint="eastAsia"/>
                <w:bCs/>
                <w:iCs/>
                <w:sz w:val="24"/>
                <w:szCs w:val="24"/>
              </w:rPr>
              <w:t>无</w:t>
            </w:r>
          </w:p>
        </w:tc>
      </w:tr>
      <w:tr w:rsidR="00DA33FA" w14:paraId="286E56AA" w14:textId="77777777">
        <w:trPr>
          <w:trHeight w:val="728"/>
        </w:trPr>
        <w:tc>
          <w:tcPr>
            <w:tcW w:w="1931" w:type="dxa"/>
            <w:shd w:val="clear" w:color="auto" w:fill="auto"/>
            <w:vAlign w:val="center"/>
          </w:tcPr>
          <w:p w14:paraId="60ACA70F" w14:textId="77777777" w:rsidR="00DA33FA" w:rsidRDefault="00000000">
            <w:pPr>
              <w:rPr>
                <w:rFonts w:ascii="宋体" w:hAnsi="宋体" w:hint="eastAsia"/>
                <w:b/>
                <w:bCs/>
                <w:iCs/>
                <w:sz w:val="24"/>
                <w:szCs w:val="24"/>
              </w:rPr>
            </w:pPr>
            <w:r>
              <w:rPr>
                <w:rFonts w:ascii="宋体" w:hAnsi="宋体" w:hint="eastAsia"/>
                <w:b/>
                <w:bCs/>
                <w:iCs/>
                <w:sz w:val="24"/>
                <w:szCs w:val="24"/>
              </w:rPr>
              <w:t>日期</w:t>
            </w:r>
          </w:p>
        </w:tc>
        <w:tc>
          <w:tcPr>
            <w:tcW w:w="6693" w:type="dxa"/>
            <w:shd w:val="clear" w:color="auto" w:fill="auto"/>
          </w:tcPr>
          <w:p w14:paraId="5A91DA3E" w14:textId="7DD678E9" w:rsidR="00DA33FA" w:rsidRDefault="00000000">
            <w:pPr>
              <w:spacing w:line="480" w:lineRule="atLeast"/>
              <w:rPr>
                <w:rFonts w:ascii="宋体" w:hAnsi="宋体" w:hint="eastAsia"/>
                <w:bCs/>
                <w:iCs/>
                <w:sz w:val="24"/>
                <w:szCs w:val="24"/>
              </w:rPr>
            </w:pPr>
            <w:r>
              <w:rPr>
                <w:rFonts w:ascii="宋体" w:hAnsi="宋体" w:hint="eastAsia"/>
                <w:bCs/>
                <w:iCs/>
                <w:sz w:val="24"/>
                <w:szCs w:val="24"/>
              </w:rPr>
              <w:t>2025年0</w:t>
            </w:r>
            <w:r w:rsidR="00523713">
              <w:rPr>
                <w:rFonts w:ascii="宋体" w:hAnsi="宋体" w:hint="eastAsia"/>
                <w:bCs/>
                <w:iCs/>
                <w:sz w:val="24"/>
                <w:szCs w:val="24"/>
              </w:rPr>
              <w:t>7</w:t>
            </w:r>
            <w:r>
              <w:rPr>
                <w:rFonts w:ascii="宋体" w:hAnsi="宋体" w:hint="eastAsia"/>
                <w:bCs/>
                <w:iCs/>
                <w:sz w:val="24"/>
                <w:szCs w:val="24"/>
              </w:rPr>
              <w:t>月</w:t>
            </w:r>
            <w:r w:rsidR="008757E2">
              <w:rPr>
                <w:rFonts w:ascii="宋体" w:hAnsi="宋体" w:hint="eastAsia"/>
                <w:bCs/>
                <w:iCs/>
                <w:sz w:val="24"/>
                <w:szCs w:val="24"/>
              </w:rPr>
              <w:t>25</w:t>
            </w:r>
            <w:r>
              <w:rPr>
                <w:rFonts w:ascii="宋体" w:hAnsi="宋体" w:hint="eastAsia"/>
                <w:bCs/>
                <w:iCs/>
                <w:sz w:val="24"/>
                <w:szCs w:val="24"/>
              </w:rPr>
              <w:t>日</w:t>
            </w:r>
          </w:p>
        </w:tc>
      </w:tr>
    </w:tbl>
    <w:p w14:paraId="03B5AC76" w14:textId="77777777" w:rsidR="00DA33FA" w:rsidRDefault="00DA33FA"/>
    <w:sectPr w:rsidR="00DA3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D0BF" w14:textId="77777777" w:rsidR="00B153F6" w:rsidRDefault="00B153F6" w:rsidP="008757E2">
      <w:r>
        <w:separator/>
      </w:r>
    </w:p>
  </w:endnote>
  <w:endnote w:type="continuationSeparator" w:id="0">
    <w:p w14:paraId="74214536" w14:textId="77777777" w:rsidR="00B153F6" w:rsidRDefault="00B153F6" w:rsidP="0087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9DF9" w14:textId="77777777" w:rsidR="00B153F6" w:rsidRDefault="00B153F6" w:rsidP="008757E2">
      <w:r>
        <w:separator/>
      </w:r>
    </w:p>
  </w:footnote>
  <w:footnote w:type="continuationSeparator" w:id="0">
    <w:p w14:paraId="3E70D94F" w14:textId="77777777" w:rsidR="00B153F6" w:rsidRDefault="00B153F6" w:rsidP="0087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1F0"/>
    <w:multiLevelType w:val="hybridMultilevel"/>
    <w:tmpl w:val="26C6D984"/>
    <w:lvl w:ilvl="0" w:tplc="4DF645B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7DB653F"/>
    <w:multiLevelType w:val="hybridMultilevel"/>
    <w:tmpl w:val="0A42E2FE"/>
    <w:lvl w:ilvl="0" w:tplc="2B26CBA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AD96E17"/>
    <w:multiLevelType w:val="singleLevel"/>
    <w:tmpl w:val="1AD96E17"/>
    <w:lvl w:ilvl="0">
      <w:start w:val="1"/>
      <w:numFmt w:val="decimal"/>
      <w:lvlText w:val="%1."/>
      <w:lvlJc w:val="left"/>
      <w:pPr>
        <w:ind w:left="425" w:hanging="425"/>
      </w:pPr>
      <w:rPr>
        <w:rFonts w:hint="default"/>
      </w:rPr>
    </w:lvl>
  </w:abstractNum>
  <w:abstractNum w:abstractNumId="3" w15:restartNumberingAfterBreak="0">
    <w:nsid w:val="2D844E6F"/>
    <w:multiLevelType w:val="hybridMultilevel"/>
    <w:tmpl w:val="3D90331C"/>
    <w:lvl w:ilvl="0" w:tplc="F4B670F8">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9652447"/>
    <w:multiLevelType w:val="hybridMultilevel"/>
    <w:tmpl w:val="672C7F08"/>
    <w:lvl w:ilvl="0" w:tplc="1ADE3DA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21870630">
    <w:abstractNumId w:val="2"/>
  </w:num>
  <w:num w:numId="2" w16cid:durableId="1352797595">
    <w:abstractNumId w:val="0"/>
  </w:num>
  <w:num w:numId="3" w16cid:durableId="801389084">
    <w:abstractNumId w:val="4"/>
  </w:num>
  <w:num w:numId="4" w16cid:durableId="271401874">
    <w:abstractNumId w:val="3"/>
  </w:num>
  <w:num w:numId="5" w16cid:durableId="16091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12FF9"/>
    <w:rsid w:val="00026B32"/>
    <w:rsid w:val="000319E4"/>
    <w:rsid w:val="000567C9"/>
    <w:rsid w:val="000725F0"/>
    <w:rsid w:val="0007685E"/>
    <w:rsid w:val="0009705E"/>
    <w:rsid w:val="000B749A"/>
    <w:rsid w:val="000E5E3F"/>
    <w:rsid w:val="000F0580"/>
    <w:rsid w:val="00102412"/>
    <w:rsid w:val="001471A8"/>
    <w:rsid w:val="001624AA"/>
    <w:rsid w:val="001B3C99"/>
    <w:rsid w:val="001C7E6F"/>
    <w:rsid w:val="001D4ADB"/>
    <w:rsid w:val="001E7AAB"/>
    <w:rsid w:val="002506CB"/>
    <w:rsid w:val="002738EB"/>
    <w:rsid w:val="002A1DD2"/>
    <w:rsid w:val="002A5AE9"/>
    <w:rsid w:val="002C236D"/>
    <w:rsid w:val="002C257C"/>
    <w:rsid w:val="002D4EB5"/>
    <w:rsid w:val="002E4C56"/>
    <w:rsid w:val="00341F42"/>
    <w:rsid w:val="00353A22"/>
    <w:rsid w:val="00390F87"/>
    <w:rsid w:val="003A2F8E"/>
    <w:rsid w:val="00400BF7"/>
    <w:rsid w:val="00402F61"/>
    <w:rsid w:val="00406E0C"/>
    <w:rsid w:val="004141EC"/>
    <w:rsid w:val="004679DD"/>
    <w:rsid w:val="0048673F"/>
    <w:rsid w:val="004B273D"/>
    <w:rsid w:val="004B50E8"/>
    <w:rsid w:val="004B66F0"/>
    <w:rsid w:val="004C5FBC"/>
    <w:rsid w:val="00507C47"/>
    <w:rsid w:val="00523713"/>
    <w:rsid w:val="005A1266"/>
    <w:rsid w:val="005B6121"/>
    <w:rsid w:val="005D4382"/>
    <w:rsid w:val="005D5D85"/>
    <w:rsid w:val="00607ACD"/>
    <w:rsid w:val="00637635"/>
    <w:rsid w:val="006526A4"/>
    <w:rsid w:val="00656DA9"/>
    <w:rsid w:val="006627D7"/>
    <w:rsid w:val="006665D0"/>
    <w:rsid w:val="00677225"/>
    <w:rsid w:val="00684C11"/>
    <w:rsid w:val="00687C01"/>
    <w:rsid w:val="006B0E6C"/>
    <w:rsid w:val="006B7EA4"/>
    <w:rsid w:val="006E316F"/>
    <w:rsid w:val="006E5E91"/>
    <w:rsid w:val="00711003"/>
    <w:rsid w:val="00733B61"/>
    <w:rsid w:val="007A7869"/>
    <w:rsid w:val="007E4680"/>
    <w:rsid w:val="007F5CBB"/>
    <w:rsid w:val="0082201F"/>
    <w:rsid w:val="008251D4"/>
    <w:rsid w:val="0082608C"/>
    <w:rsid w:val="00834152"/>
    <w:rsid w:val="008452B6"/>
    <w:rsid w:val="00847741"/>
    <w:rsid w:val="00862FD7"/>
    <w:rsid w:val="008757E2"/>
    <w:rsid w:val="0088003D"/>
    <w:rsid w:val="008920C5"/>
    <w:rsid w:val="00893294"/>
    <w:rsid w:val="008A05FF"/>
    <w:rsid w:val="008B50AF"/>
    <w:rsid w:val="008C2311"/>
    <w:rsid w:val="008D6036"/>
    <w:rsid w:val="008F7B68"/>
    <w:rsid w:val="00915919"/>
    <w:rsid w:val="0094524F"/>
    <w:rsid w:val="0095082C"/>
    <w:rsid w:val="009572F5"/>
    <w:rsid w:val="00964EC8"/>
    <w:rsid w:val="009A7C52"/>
    <w:rsid w:val="009B74E9"/>
    <w:rsid w:val="009C0D7B"/>
    <w:rsid w:val="009E28F7"/>
    <w:rsid w:val="009F7FC9"/>
    <w:rsid w:val="00A14C40"/>
    <w:rsid w:val="00A55DD9"/>
    <w:rsid w:val="00A721C6"/>
    <w:rsid w:val="00AA5CA4"/>
    <w:rsid w:val="00AC10E3"/>
    <w:rsid w:val="00AF58D5"/>
    <w:rsid w:val="00B153F6"/>
    <w:rsid w:val="00B540CC"/>
    <w:rsid w:val="00B5502C"/>
    <w:rsid w:val="00B9522E"/>
    <w:rsid w:val="00BA22D8"/>
    <w:rsid w:val="00BA7566"/>
    <w:rsid w:val="00BB062A"/>
    <w:rsid w:val="00C04C5F"/>
    <w:rsid w:val="00C1199C"/>
    <w:rsid w:val="00C34A89"/>
    <w:rsid w:val="00C42A9B"/>
    <w:rsid w:val="00C43D8D"/>
    <w:rsid w:val="00C6373E"/>
    <w:rsid w:val="00CA4B6F"/>
    <w:rsid w:val="00CE453C"/>
    <w:rsid w:val="00D275D1"/>
    <w:rsid w:val="00D3401F"/>
    <w:rsid w:val="00DA2E08"/>
    <w:rsid w:val="00DA33FA"/>
    <w:rsid w:val="00E21A42"/>
    <w:rsid w:val="00E60C15"/>
    <w:rsid w:val="00E63305"/>
    <w:rsid w:val="00E70E7E"/>
    <w:rsid w:val="00E731FF"/>
    <w:rsid w:val="00E977B9"/>
    <w:rsid w:val="00ED2E98"/>
    <w:rsid w:val="00F02073"/>
    <w:rsid w:val="00F0255E"/>
    <w:rsid w:val="00F13448"/>
    <w:rsid w:val="00F1460F"/>
    <w:rsid w:val="00FA0531"/>
    <w:rsid w:val="00FB0A30"/>
    <w:rsid w:val="00FB63DB"/>
    <w:rsid w:val="00FD5FFE"/>
    <w:rsid w:val="00FF0C19"/>
    <w:rsid w:val="097C2730"/>
    <w:rsid w:val="2C7E555C"/>
    <w:rsid w:val="2FA6283A"/>
    <w:rsid w:val="32580DB8"/>
    <w:rsid w:val="333F7FD5"/>
    <w:rsid w:val="526C7226"/>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063D7"/>
  <w15:docId w15:val="{5C285278-B3F7-4DAF-9318-9875A41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碧青 吴</cp:lastModifiedBy>
  <cp:revision>53</cp:revision>
  <dcterms:created xsi:type="dcterms:W3CDTF">2021-03-02T08:03:00Z</dcterms:created>
  <dcterms:modified xsi:type="dcterms:W3CDTF">2025-07-25T06:03:00Z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2429ADD048354AA4A507D279BED5651D_13</vt:lpwstr>
  </property>
  <property fmtid="{D5CDD505-2E9C-101B-9397-08002B2CF9AE}" pid="4" name="KSOTemplateDocerSaveRecord">
    <vt:lpwstr>eyJoZGlkIjoiOWMxZWJkZDA1MDVhNjk5ZWMxNGJkMmRhMWNjOTg5YTgiLCJ1c2VySWQiOiI2NTU4MTI4NzQifQ==</vt:lpwstr>
  </property>
</Properties>
</file>