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56EA6">
      <w:pPr>
        <w:pStyle w:val="17"/>
        <w:jc w:val="center"/>
        <w:rPr>
          <w:rFonts w:ascii="宋体" w:hAnsi="宋体" w:eastAsia="宋体" w:cs="宋体"/>
          <w:b/>
          <w:bCs/>
          <w:color w:val="auto"/>
          <w:szCs w:val="28"/>
        </w:rPr>
      </w:pPr>
      <w:r>
        <w:rPr>
          <w:rFonts w:hint="eastAsia" w:ascii="宋体" w:hAnsi="宋体" w:eastAsia="宋体" w:cs="宋体"/>
          <w:b/>
          <w:bCs/>
          <w:color w:val="auto"/>
          <w:szCs w:val="28"/>
          <w:lang w:eastAsia="zh-Hans"/>
        </w:rPr>
        <w:t>金科环境</w:t>
      </w:r>
      <w:r>
        <w:rPr>
          <w:rFonts w:hint="eastAsia" w:ascii="宋体" w:hAnsi="宋体" w:eastAsia="宋体" w:cs="宋体"/>
          <w:b/>
          <w:bCs/>
          <w:color w:val="auto"/>
          <w:szCs w:val="28"/>
        </w:rPr>
        <w:t>股份有限公司</w:t>
      </w:r>
    </w:p>
    <w:p w14:paraId="29E2CA38">
      <w:pPr>
        <w:pStyle w:val="17"/>
        <w:jc w:val="center"/>
        <w:rPr>
          <w:rFonts w:ascii="宋体" w:hAnsi="宋体" w:eastAsia="宋体" w:cs="宋体"/>
          <w:b/>
          <w:bCs/>
          <w:color w:val="auto"/>
          <w:szCs w:val="28"/>
        </w:rPr>
      </w:pPr>
      <w:r>
        <w:rPr>
          <w:rFonts w:hint="eastAsia" w:ascii="宋体" w:hAnsi="宋体" w:eastAsia="宋体" w:cs="宋体"/>
          <w:b/>
          <w:bCs/>
          <w:color w:val="auto"/>
          <w:szCs w:val="28"/>
        </w:rPr>
        <w:t>投资者关系活动记录表</w:t>
      </w:r>
    </w:p>
    <w:p w14:paraId="7C74A02E">
      <w:pPr>
        <w:wordWrap w:val="0"/>
        <w:jc w:val="right"/>
        <w:rPr>
          <w:rFonts w:hint="eastAsia" w:ascii="宋体" w:hAnsi="宋体" w:eastAsia="宋体" w:cs="Times New Roman"/>
          <w:sz w:val="24"/>
          <w:lang w:eastAsia="zh-CN"/>
        </w:rPr>
      </w:pPr>
      <w:r>
        <w:rPr>
          <w:rFonts w:hint="eastAsia" w:ascii="宋体" w:hAnsi="宋体" w:eastAsia="宋体" w:cs="Times New Roman"/>
        </w:rPr>
        <w:t>编号</w:t>
      </w:r>
      <w:r>
        <w:rPr>
          <w:rFonts w:ascii="宋体" w:hAnsi="宋体" w:eastAsia="宋体" w:cs="Times New Roman"/>
        </w:rPr>
        <w:t>：</w:t>
      </w:r>
      <w:r>
        <w:rPr>
          <w:rFonts w:hint="eastAsia" w:ascii="宋体" w:hAnsi="宋体" w:eastAsia="宋体" w:cs="Times New Roman"/>
        </w:rPr>
        <w:t>2</w:t>
      </w:r>
      <w:r>
        <w:rPr>
          <w:rFonts w:ascii="宋体" w:hAnsi="宋体" w:eastAsia="宋体" w:cs="Times New Roman"/>
        </w:rPr>
        <w:t>02</w:t>
      </w:r>
      <w:r>
        <w:rPr>
          <w:rFonts w:hint="eastAsia" w:ascii="宋体" w:hAnsi="宋体" w:eastAsia="宋体" w:cs="Times New Roman"/>
          <w:lang w:val="en-US" w:eastAsia="zh-CN"/>
        </w:rPr>
        <w:t>5</w:t>
      </w:r>
      <w:r>
        <w:rPr>
          <w:rFonts w:hint="eastAsia" w:ascii="宋体" w:hAnsi="宋体" w:eastAsia="宋体" w:cs="Times New Roman"/>
        </w:rPr>
        <w:t>-0</w:t>
      </w:r>
      <w:r>
        <w:rPr>
          <w:rFonts w:hint="eastAsia" w:ascii="宋体" w:hAnsi="宋体" w:eastAsia="宋体" w:cs="Times New Roman"/>
          <w:lang w:val="en-US" w:eastAsia="zh-CN"/>
        </w:rPr>
        <w:t>6</w:t>
      </w:r>
    </w:p>
    <w:tbl>
      <w:tblPr>
        <w:tblStyle w:val="18"/>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7229"/>
      </w:tblGrid>
      <w:tr w14:paraId="3C3C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844" w:type="dxa"/>
            <w:vAlign w:val="center"/>
          </w:tcPr>
          <w:p w14:paraId="2131FCC0">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投资者关系活动类别</w:t>
            </w:r>
          </w:p>
        </w:tc>
        <w:tc>
          <w:tcPr>
            <w:tcW w:w="7229" w:type="dxa"/>
            <w:vAlign w:val="center"/>
          </w:tcPr>
          <w:p w14:paraId="15BA04EE">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□特定对象调研</w:t>
            </w:r>
            <w:r>
              <w:rPr>
                <w:rFonts w:hint="eastAsia" w:ascii="宋体" w:hAnsi="宋体" w:eastAsia="宋体" w:cs="宋体"/>
                <w:color w:val="auto"/>
                <w:szCs w:val="21"/>
                <w:u w:val="none"/>
                <w:lang w:val="en-US" w:eastAsia="zh-CN"/>
              </w:rPr>
              <w:t xml:space="preserve">      </w:t>
            </w:r>
            <w:r>
              <w:rPr>
                <w:rFonts w:hint="eastAsia" w:ascii="宋体" w:hAnsi="宋体" w:eastAsia="宋体" w:cs="宋体"/>
                <w:color w:val="auto"/>
                <w:szCs w:val="21"/>
                <w:u w:val="none"/>
              </w:rPr>
              <w:t>□分析师会议</w:t>
            </w:r>
          </w:p>
          <w:p w14:paraId="1C5BD443">
            <w:pPr>
              <w:autoSpaceDE w:val="0"/>
              <w:autoSpaceDN w:val="0"/>
              <w:spacing w:line="240" w:lineRule="auto"/>
              <w:rPr>
                <w:rFonts w:hint="eastAsia" w:ascii="宋体" w:hAnsi="宋体" w:eastAsia="宋体" w:cs="宋体"/>
                <w:color w:val="auto"/>
                <w:kern w:val="0"/>
                <w:szCs w:val="21"/>
                <w:u w:val="none"/>
              </w:rPr>
            </w:pPr>
            <w:r>
              <w:rPr>
                <w:rFonts w:hint="eastAsia" w:ascii="宋体" w:hAnsi="宋体" w:eastAsia="宋体" w:cs="宋体"/>
                <w:color w:val="auto"/>
                <w:szCs w:val="21"/>
                <w:u w:val="none"/>
              </w:rPr>
              <w:t>□</w:t>
            </w:r>
            <w:r>
              <w:rPr>
                <w:rFonts w:hint="eastAsia" w:ascii="宋体" w:hAnsi="宋体" w:eastAsia="宋体" w:cs="宋体"/>
                <w:color w:val="auto"/>
                <w:kern w:val="0"/>
                <w:szCs w:val="21"/>
                <w:u w:val="none"/>
              </w:rPr>
              <w:t>媒体采访</w:t>
            </w:r>
            <w:r>
              <w:rPr>
                <w:rFonts w:hint="eastAsia" w:ascii="宋体" w:hAnsi="宋体" w:eastAsia="宋体" w:cs="宋体"/>
                <w:color w:val="auto"/>
                <w:kern w:val="0"/>
                <w:szCs w:val="21"/>
                <w:u w:val="none"/>
                <w:lang w:val="en-US" w:eastAsia="zh-CN"/>
              </w:rPr>
              <w:t xml:space="preserve">          </w:t>
            </w:r>
            <w:r>
              <w:rPr>
                <w:rFonts w:hint="eastAsia" w:ascii="宋体" w:hAnsi="宋体" w:eastAsia="宋体" w:cs="宋体"/>
                <w:color w:val="auto"/>
                <w:szCs w:val="21"/>
                <w:u w:val="none"/>
              </w:rPr>
              <w:t>□</w:t>
            </w:r>
            <w:r>
              <w:rPr>
                <w:rFonts w:hint="eastAsia" w:ascii="宋体" w:hAnsi="宋体" w:eastAsia="宋体" w:cs="宋体"/>
                <w:color w:val="auto"/>
                <w:kern w:val="0"/>
                <w:szCs w:val="21"/>
                <w:u w:val="none"/>
              </w:rPr>
              <w:t>业绩说明会</w:t>
            </w:r>
          </w:p>
          <w:p w14:paraId="09EAD1DB">
            <w:pPr>
              <w:autoSpaceDE w:val="0"/>
              <w:autoSpaceDN w:val="0"/>
              <w:spacing w:line="240" w:lineRule="auto"/>
              <w:rPr>
                <w:rFonts w:hint="eastAsia" w:ascii="宋体" w:hAnsi="宋体" w:eastAsia="宋体" w:cs="宋体"/>
                <w:color w:val="auto"/>
                <w:kern w:val="0"/>
                <w:szCs w:val="21"/>
                <w:u w:val="none"/>
              </w:rPr>
            </w:pPr>
            <w:r>
              <w:rPr>
                <w:rFonts w:hint="eastAsia" w:ascii="宋体" w:hAnsi="宋体" w:eastAsia="宋体" w:cs="宋体"/>
                <w:color w:val="auto"/>
                <w:kern w:val="0"/>
                <w:szCs w:val="21"/>
                <w:u w:val="none"/>
              </w:rPr>
              <w:t>□新闻发布会</w:t>
            </w:r>
            <w:r>
              <w:rPr>
                <w:rFonts w:hint="eastAsia" w:ascii="宋体" w:hAnsi="宋体" w:eastAsia="宋体" w:cs="宋体"/>
                <w:color w:val="auto"/>
                <w:kern w:val="0"/>
                <w:szCs w:val="21"/>
                <w:u w:val="none"/>
                <w:lang w:val="en-US" w:eastAsia="zh-CN"/>
              </w:rPr>
              <w:t xml:space="preserve">        </w:t>
            </w:r>
            <w:r>
              <w:rPr>
                <w:rFonts w:hint="eastAsia" w:ascii="宋体" w:hAnsi="宋体" w:eastAsia="宋体" w:cs="宋体"/>
                <w:color w:val="auto"/>
                <w:szCs w:val="21"/>
                <w:u w:val="none"/>
              </w:rPr>
              <w:t>√</w:t>
            </w:r>
            <w:r>
              <w:rPr>
                <w:rFonts w:hint="eastAsia" w:ascii="宋体" w:hAnsi="宋体" w:eastAsia="宋体" w:cs="宋体"/>
                <w:color w:val="auto"/>
                <w:kern w:val="0"/>
                <w:szCs w:val="21"/>
                <w:u w:val="none"/>
              </w:rPr>
              <w:t>路演活动</w:t>
            </w:r>
          </w:p>
          <w:p w14:paraId="108164ED">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□现场参观</w:t>
            </w:r>
          </w:p>
          <w:p w14:paraId="4F098B93">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□其他（请文字说明）</w:t>
            </w:r>
          </w:p>
        </w:tc>
      </w:tr>
      <w:tr w14:paraId="0227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844" w:type="dxa"/>
            <w:vAlign w:val="center"/>
          </w:tcPr>
          <w:p w14:paraId="720BAA4A">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参与单位</w:t>
            </w:r>
          </w:p>
        </w:tc>
        <w:tc>
          <w:tcPr>
            <w:tcW w:w="7229" w:type="dxa"/>
            <w:vAlign w:val="center"/>
          </w:tcPr>
          <w:p w14:paraId="4490CD79">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广发证券股份有限公司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工银瑞信基金管理有限公司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中欧基金管理有限公司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南方基金管理股份有限公司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东兴基金管理有限公司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同泰基金管理有限公司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先锋基金管理有限公司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深圳清水源投资管理有限公司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厦门中略投资管理有限公司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深圳鑫然投资管理有限公司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深圳前海百创资本管理有限公司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上海域秀资产管理有限公司</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上海途灵资产管理有限公司（以上机构排名不分先后）</w:t>
            </w:r>
          </w:p>
        </w:tc>
      </w:tr>
      <w:tr w14:paraId="075D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844" w:type="dxa"/>
            <w:vAlign w:val="center"/>
          </w:tcPr>
          <w:p w14:paraId="3C9C2018">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公司接待人员姓名及职务</w:t>
            </w:r>
          </w:p>
        </w:tc>
        <w:tc>
          <w:tcPr>
            <w:tcW w:w="7229" w:type="dxa"/>
            <w:vAlign w:val="center"/>
          </w:tcPr>
          <w:p w14:paraId="1C4B1478">
            <w:pPr>
              <w:spacing w:line="240" w:lineRule="auto"/>
              <w:rPr>
                <w:rFonts w:hint="eastAsia" w:ascii="宋体" w:hAnsi="宋体" w:eastAsia="宋体" w:cs="宋体"/>
                <w:color w:val="auto"/>
                <w:szCs w:val="21"/>
                <w:u w:val="none"/>
                <w:lang w:eastAsia="zh-Hans"/>
              </w:rPr>
            </w:pPr>
            <w:r>
              <w:rPr>
                <w:rFonts w:hint="eastAsia" w:ascii="宋体" w:hAnsi="宋体" w:eastAsia="宋体" w:cs="宋体"/>
                <w:color w:val="auto"/>
                <w:szCs w:val="21"/>
                <w:u w:val="none"/>
              </w:rPr>
              <w:t>公司副总经理、董事会秘书</w:t>
            </w:r>
            <w:r>
              <w:rPr>
                <w:rFonts w:hint="eastAsia" w:ascii="宋体" w:hAnsi="宋体" w:eastAsia="宋体" w:cs="宋体"/>
                <w:color w:val="auto"/>
                <w:szCs w:val="21"/>
                <w:u w:val="none"/>
                <w:lang w:eastAsia="zh-Hans"/>
              </w:rPr>
              <w:t>陈安娜</w:t>
            </w:r>
            <w:r>
              <w:rPr>
                <w:rFonts w:hint="eastAsia" w:ascii="宋体" w:hAnsi="宋体" w:eastAsia="宋体" w:cs="宋体"/>
                <w:color w:val="auto"/>
                <w:szCs w:val="21"/>
                <w:u w:val="none"/>
              </w:rPr>
              <w:t>女士</w:t>
            </w:r>
          </w:p>
        </w:tc>
      </w:tr>
      <w:tr w14:paraId="1996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44" w:type="dxa"/>
            <w:vAlign w:val="center"/>
          </w:tcPr>
          <w:p w14:paraId="17A8BFE4">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时间</w:t>
            </w:r>
          </w:p>
        </w:tc>
        <w:tc>
          <w:tcPr>
            <w:tcW w:w="7229" w:type="dxa"/>
            <w:vAlign w:val="center"/>
          </w:tcPr>
          <w:p w14:paraId="3FD64161">
            <w:pPr>
              <w:spacing w:line="240" w:lineRule="auto"/>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202</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7</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30日</w:t>
            </w:r>
          </w:p>
        </w:tc>
      </w:tr>
      <w:tr w14:paraId="19E6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44" w:type="dxa"/>
            <w:vAlign w:val="center"/>
          </w:tcPr>
          <w:p w14:paraId="50BCD302">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地点</w:t>
            </w:r>
          </w:p>
        </w:tc>
        <w:tc>
          <w:tcPr>
            <w:tcW w:w="7229" w:type="dxa"/>
            <w:vAlign w:val="center"/>
          </w:tcPr>
          <w:p w14:paraId="76F7C253">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电话会议</w:t>
            </w:r>
          </w:p>
        </w:tc>
      </w:tr>
      <w:tr w14:paraId="3A0A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44" w:type="dxa"/>
            <w:vAlign w:val="center"/>
          </w:tcPr>
          <w:p w14:paraId="4815F51F">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投资者关系活动主要内容介绍</w:t>
            </w:r>
          </w:p>
        </w:tc>
        <w:tc>
          <w:tcPr>
            <w:tcW w:w="7229" w:type="dxa"/>
          </w:tcPr>
          <w:p w14:paraId="4198326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color w:val="auto"/>
                <w:szCs w:val="21"/>
                <w:u w:val="none"/>
                <w:lang w:val="en-US" w:eastAsia="zh-CN"/>
              </w:rPr>
            </w:pPr>
          </w:p>
          <w:p w14:paraId="1DEB264D">
            <w:pPr>
              <w:spacing w:line="240" w:lineRule="auto"/>
              <w:ind w:firstLine="422" w:firstLineChars="200"/>
              <w:jc w:val="both"/>
              <w:rPr>
                <w:rFonts w:hint="eastAsia"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一、金科环境简介</w:t>
            </w:r>
          </w:p>
          <w:p w14:paraId="66CDDCEB">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金科环境是专注水的深度处理和污废水资源化领域的科创板国家高新技术企业，2023年获得国家级专精特新“小巨人”企业认定。</w:t>
            </w:r>
          </w:p>
          <w:p w14:paraId="476F575E">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公司持续深化“资源化、AI数智化、产品化”战略，整合公司在水深度处理及资源化领域积淀的核心技术和应用Know-How，率先打通AI技术在水处理行业应用，推动水处理从“人脑经验驱动”转向“数据算法驱动”，“组合工艺”向“融合工艺”突破，对废水处理、再生利用、高品质水制造等水处理全流程进行功能整合，推出智能净水机组——新水岛®，应用自主研发的水萝卜®AI智能体，颠覆传统水厂的工程建设模式和运维管理模式，将水厂全部设备/设施、建筑物/构筑物高度集成为标准化、模块化的可移动智能装备。</w:t>
            </w:r>
          </w:p>
          <w:p w14:paraId="6A637148">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新水岛®产品入选《国家鼓励的工业节水工艺、技术和装备目录（2023年）》《北京市创新产品目录》，较传统工程模式水厂节省80%的占地面积，节省80%的交付时间，实现智慧运行、无人值守、安全高效；聚焦光伏新能源、半导体、PCB电子、热电、化纤、印染、钢铁等行业客户，为工业企业、工业园区、城镇场景提供高品质水，解决水资源短缺、环境容量不足、水安全、成本高等问题。</w:t>
            </w:r>
          </w:p>
          <w:p w14:paraId="4191DB36">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公司成立20余年以来承接了上百个项目，拥有众多国家重要项目业绩和荣誉，为客户提供全生命周期解决方案。在高品质饮用水领域：包括北京冬奥会配套的崇礼和延庆主会场饮用水厂、北京南水北调石景山水厂、获得国家优质工程奖的雄安新区第一自来水厂、国内首座30万吨级纳滤深度处理项目-张家港第四水厂获得GWI“2022全球水奖-年度最佳市政供水项目”金奖等。在污废水资源化领域：包括获得“2022年江苏省长江流域生态保护和修复工程项目”专项补助资金2019.92万元的无锡锡山项目、获批5000万元中央基建预算资金的唐山南堡经济开发区污水资源化回用项目等，综合能力及专业服务获得市场认可。</w:t>
            </w:r>
          </w:p>
          <w:p w14:paraId="61CAEA58">
            <w:pPr>
              <w:spacing w:line="240" w:lineRule="auto"/>
              <w:ind w:firstLine="420" w:firstLineChars="200"/>
              <w:jc w:val="both"/>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金科环境始终坚守“科技让人类获得水自由”的初心，打造更加创新、高效、智能、绿色的新产品与新技术，引领行业智能化与可持续发展，为守护绿水青山、建设美丽中国贡献持续动能。</w:t>
            </w:r>
          </w:p>
          <w:p w14:paraId="19723786">
            <w:pPr>
              <w:spacing w:line="240" w:lineRule="auto"/>
              <w:ind w:firstLine="0" w:firstLineChars="0"/>
              <w:jc w:val="both"/>
              <w:rPr>
                <w:rFonts w:hint="eastAsia" w:ascii="宋体" w:hAnsi="宋体" w:eastAsia="宋体" w:cs="宋体"/>
                <w:color w:val="auto"/>
                <w:u w:val="none"/>
                <w:lang w:val="en-US" w:eastAsia="zh-CN"/>
              </w:rPr>
            </w:pPr>
          </w:p>
          <w:p w14:paraId="0468E5B4">
            <w:pPr>
              <w:numPr>
                <w:ilvl w:val="0"/>
                <w:numId w:val="0"/>
              </w:numPr>
              <w:spacing w:line="240" w:lineRule="auto"/>
              <w:ind w:firstLine="422" w:firstLineChars="200"/>
              <w:jc w:val="both"/>
              <w:rPr>
                <w:rFonts w:hint="default" w:ascii="宋体" w:hAnsi="宋体" w:eastAsia="宋体" w:cs="宋体"/>
                <w:color w:val="auto"/>
                <w:u w:val="none"/>
                <w:lang w:val="en-US" w:eastAsia="zh-CN"/>
              </w:rPr>
            </w:pPr>
            <w:r>
              <w:rPr>
                <w:rFonts w:hint="eastAsia" w:ascii="宋体" w:hAnsi="宋体" w:eastAsia="宋体" w:cs="宋体"/>
                <w:b/>
                <w:bCs/>
                <w:color w:val="auto"/>
                <w:kern w:val="2"/>
                <w:sz w:val="21"/>
                <w:szCs w:val="22"/>
                <w:lang w:val="en-US" w:eastAsia="zh-CN" w:bidi="ar-SA"/>
              </w:rPr>
              <w:t>二、</w:t>
            </w:r>
            <w:r>
              <w:rPr>
                <w:rFonts w:hint="eastAsia" w:ascii="宋体" w:hAnsi="宋体" w:eastAsia="宋体" w:cs="宋体"/>
                <w:b/>
                <w:bCs/>
                <w:color w:val="auto"/>
                <w:u w:val="none"/>
                <w:lang w:val="en-US" w:eastAsia="zh-CN"/>
              </w:rPr>
              <w:t>金科环境水厂机器人新水岛NewaterHouse®介绍</w:t>
            </w:r>
          </w:p>
          <w:p w14:paraId="74E270A5">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新水岛®依托水萝卜®AI智能体运行能力结合工艺模块的物理集成优化与流程重构，实现了完全无人值守，并基于模块化设计、工业化流水线制造、现场简易拼装交付和4S区域化服务等核心优势，较传统工程类水厂节约80%占地面积、缩短80%交付时间、全厂可移动、更稳定高效智能的无人值守运行，从而显著降低水厂的全生命周期成本，为社会提供可持续的、充足的、可靠的、付得起的高品质水。</w:t>
            </w:r>
          </w:p>
          <w:p w14:paraId="33ADC6F8">
            <w:pPr>
              <w:spacing w:line="240" w:lineRule="auto"/>
              <w:ind w:firstLine="420" w:firstLineChars="200"/>
              <w:jc w:val="both"/>
              <w:rPr>
                <w:rFonts w:hint="default" w:ascii="宋体" w:hAnsi="宋体" w:eastAsia="宋体" w:cs="宋体"/>
                <w:color w:val="auto"/>
                <w:u w:val="none"/>
                <w:lang w:val="en-US" w:eastAsia="zh-CN"/>
              </w:rPr>
            </w:pPr>
            <w:r>
              <w:rPr>
                <w:rFonts w:hint="eastAsia" w:ascii="宋体" w:hAnsi="宋体" w:eastAsia="宋体" w:cs="宋体"/>
                <w:color w:val="auto"/>
                <w:u w:val="none"/>
                <w:lang w:val="en-US" w:eastAsia="zh-CN"/>
              </w:rPr>
              <w:t>新水岛®产品可以为工业企业、工业园区、城镇场景提供高品质水，解决水资源短缺、环境容量不足、水安全、成本高等问题，已在太原、舟山、无锡龙亭、无锡锡山、无锡安镇、无锡健鼎等地落地，为光伏新能源、半导体、PCB电子、热电、化纤、印染、钢铁等行业提供高品质再生水。</w:t>
            </w:r>
          </w:p>
          <w:p w14:paraId="3B00B346">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2023年</w:t>
            </w:r>
            <w:r>
              <w:rPr>
                <w:rFonts w:hint="eastAsia" w:ascii="宋体" w:hAnsi="宋体" w:eastAsia="宋体" w:cs="宋体"/>
                <w:color w:val="auto"/>
                <w:u w:val="none"/>
                <w:lang w:val="en-US" w:eastAsia="zh-CN"/>
              </w:rPr>
              <w:t>，</w:t>
            </w:r>
            <w:r>
              <w:rPr>
                <w:rFonts w:hint="default" w:ascii="宋体" w:hAnsi="宋体" w:eastAsia="宋体" w:cs="宋体"/>
                <w:color w:val="auto"/>
                <w:u w:val="none"/>
                <w:lang w:val="en-US" w:eastAsia="zh-CN"/>
              </w:rPr>
              <w:t>新水岛®产品入选《国家鼓励的工业节水工艺、技术和装备目录（2023年）》</w:t>
            </w:r>
            <w:r>
              <w:rPr>
                <w:rFonts w:hint="eastAsia" w:ascii="宋体" w:hAnsi="宋体" w:eastAsia="宋体" w:cs="宋体"/>
                <w:color w:val="auto"/>
                <w:u w:val="none"/>
                <w:lang w:val="en-US" w:eastAsia="zh-CN"/>
              </w:rPr>
              <w:t>。2024年，</w:t>
            </w:r>
            <w:r>
              <w:rPr>
                <w:rFonts w:hint="default" w:ascii="宋体" w:hAnsi="宋体" w:eastAsia="宋体" w:cs="宋体"/>
                <w:color w:val="auto"/>
                <w:u w:val="none"/>
                <w:lang w:val="en-US" w:eastAsia="zh-CN"/>
              </w:rPr>
              <w:t>经北京市多部门联合认定，并通过专家评审、公示等严格程序，新水岛®产品纳入《北京市创新产品目录》，公司新水岛®产品</w:t>
            </w:r>
            <w:r>
              <w:rPr>
                <w:rFonts w:hint="eastAsia" w:ascii="宋体" w:hAnsi="宋体" w:eastAsia="宋体" w:cs="宋体"/>
                <w:color w:val="auto"/>
                <w:u w:val="none"/>
                <w:lang w:val="en-US" w:eastAsia="zh-CN"/>
              </w:rPr>
              <w:t>的</w:t>
            </w:r>
            <w:r>
              <w:rPr>
                <w:rFonts w:hint="default" w:ascii="宋体" w:hAnsi="宋体" w:eastAsia="宋体" w:cs="宋体"/>
                <w:color w:val="auto"/>
                <w:u w:val="none"/>
                <w:lang w:val="en-US" w:eastAsia="zh-CN"/>
              </w:rPr>
              <w:t>领先性获得认可。</w:t>
            </w:r>
          </w:p>
          <w:p w14:paraId="2954D38E">
            <w:pPr>
              <w:spacing w:line="240" w:lineRule="auto"/>
              <w:ind w:firstLine="420" w:firstLineChars="200"/>
              <w:jc w:val="both"/>
              <w:rPr>
                <w:rFonts w:hint="default" w:ascii="宋体" w:hAnsi="宋体" w:eastAsia="宋体" w:cs="宋体"/>
                <w:color w:val="auto"/>
                <w:u w:val="none"/>
                <w:lang w:val="en-US" w:eastAsia="zh-CN"/>
              </w:rPr>
            </w:pPr>
          </w:p>
          <w:p w14:paraId="09AF8F2E">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三、水厂机器人</w:t>
            </w:r>
            <w:r>
              <w:rPr>
                <w:rFonts w:hint="default" w:ascii="宋体" w:hAnsi="宋体" w:eastAsia="宋体" w:cs="宋体"/>
                <w:b/>
                <w:bCs/>
                <w:color w:val="auto"/>
                <w:u w:val="none"/>
                <w:lang w:val="en-US" w:eastAsia="zh-CN"/>
              </w:rPr>
              <w:t>新水岛®作为RWA</w:t>
            </w:r>
            <w:r>
              <w:rPr>
                <w:rFonts w:hint="eastAsia" w:ascii="宋体" w:hAnsi="宋体" w:eastAsia="宋体" w:cs="宋体"/>
                <w:b/>
                <w:bCs/>
                <w:color w:val="auto"/>
                <w:u w:val="none"/>
                <w:lang w:val="en-US" w:eastAsia="zh-CN"/>
              </w:rPr>
              <w:t>优质</w:t>
            </w:r>
            <w:r>
              <w:rPr>
                <w:rFonts w:hint="default" w:ascii="宋体" w:hAnsi="宋体" w:eastAsia="宋体" w:cs="宋体"/>
                <w:b/>
                <w:bCs/>
                <w:color w:val="auto"/>
                <w:u w:val="none"/>
                <w:lang w:val="en-US" w:eastAsia="zh-CN"/>
              </w:rPr>
              <w:t>底层资产的四大特性</w:t>
            </w:r>
          </w:p>
          <w:p w14:paraId="3F48F38C">
            <w:pPr>
              <w:spacing w:line="240" w:lineRule="auto"/>
              <w:ind w:firstLine="422" w:firstLineChars="200"/>
              <w:jc w:val="both"/>
              <w:rPr>
                <w:rFonts w:hint="default" w:ascii="宋体" w:hAnsi="宋体" w:eastAsia="宋体" w:cs="宋体"/>
                <w:b/>
                <w:bCs/>
                <w:color w:val="auto"/>
                <w:u w:val="none"/>
                <w:lang w:val="en-US" w:eastAsia="zh-CN"/>
              </w:rPr>
            </w:pPr>
            <w:r>
              <w:rPr>
                <w:rFonts w:hint="default" w:ascii="宋体" w:hAnsi="宋体" w:eastAsia="宋体" w:cs="宋体"/>
                <w:b/>
                <w:bCs/>
                <w:color w:val="auto"/>
                <w:u w:val="none"/>
                <w:lang w:val="en-US" w:eastAsia="zh-CN"/>
              </w:rPr>
              <w:t>1、新水岛®产生长期稳定现金流，为RWA提供可靠底层资产</w:t>
            </w:r>
          </w:p>
          <w:p w14:paraId="0D1ADAA3">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因为污废水再生回用厂、供水厂和污废水处理厂等公共事业资产或工业生产通用配套设施具备强抗周期性和刚性需求，所以资产会形成持续稳定的收益流，这种可预测的现金流是RWA代币化的核心基础，能够降低投资者对资产价值波动的担忧。</w:t>
            </w:r>
          </w:p>
          <w:p w14:paraId="5C470998">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同时，新水岛®具备全厂可移动性，并且可以适用不同客户的不同应用场景</w:t>
            </w:r>
            <w:r>
              <w:rPr>
                <w:rFonts w:hint="eastAsia" w:ascii="宋体" w:hAnsi="宋体" w:eastAsia="宋体" w:cs="宋体"/>
                <w:color w:val="auto"/>
                <w:u w:val="none"/>
                <w:lang w:val="en-US" w:eastAsia="zh-CN"/>
              </w:rPr>
              <w:t>，包括</w:t>
            </w:r>
            <w:r>
              <w:rPr>
                <w:rFonts w:hint="default" w:ascii="宋体" w:hAnsi="宋体" w:eastAsia="宋体" w:cs="宋体"/>
                <w:color w:val="auto"/>
                <w:u w:val="none"/>
                <w:lang w:val="en-US" w:eastAsia="zh-CN"/>
              </w:rPr>
              <w:t>工业行业、园区和市政的供水、污废水再生利用等</w:t>
            </w:r>
            <w:r>
              <w:rPr>
                <w:rFonts w:hint="eastAsia" w:ascii="宋体" w:hAnsi="宋体" w:eastAsia="宋体" w:cs="宋体"/>
                <w:color w:val="auto"/>
                <w:u w:val="none"/>
                <w:lang w:val="en-US" w:eastAsia="zh-CN"/>
              </w:rPr>
              <w:t>，</w:t>
            </w:r>
            <w:r>
              <w:rPr>
                <w:rFonts w:hint="default" w:ascii="宋体" w:hAnsi="宋体" w:eastAsia="宋体" w:cs="宋体"/>
                <w:color w:val="auto"/>
                <w:u w:val="none"/>
                <w:lang w:val="en-US" w:eastAsia="zh-CN"/>
              </w:rPr>
              <w:t>因此可以重复使用</w:t>
            </w:r>
            <w:r>
              <w:rPr>
                <w:rFonts w:hint="eastAsia" w:ascii="宋体" w:hAnsi="宋体" w:eastAsia="宋体" w:cs="宋体"/>
                <w:color w:val="auto"/>
                <w:u w:val="none"/>
                <w:lang w:val="en-US" w:eastAsia="zh-CN"/>
              </w:rPr>
              <w:t>，</w:t>
            </w:r>
            <w:r>
              <w:rPr>
                <w:rFonts w:hint="default" w:ascii="宋体" w:hAnsi="宋体" w:eastAsia="宋体" w:cs="宋体"/>
                <w:color w:val="auto"/>
                <w:u w:val="none"/>
                <w:lang w:val="en-US" w:eastAsia="zh-CN"/>
              </w:rPr>
              <w:t>满足不同客户需求，其置换客户成本（包括拆除和移动复用时间）极低。</w:t>
            </w:r>
          </w:p>
          <w:p w14:paraId="1B5FB5CC">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新水岛®通过自动化运维进一步强化这一特性</w:t>
            </w:r>
            <w:r>
              <w:rPr>
                <w:rFonts w:hint="eastAsia" w:ascii="宋体" w:hAnsi="宋体" w:eastAsia="宋体" w:cs="宋体"/>
                <w:color w:val="auto"/>
                <w:u w:val="none"/>
                <w:lang w:val="en-US" w:eastAsia="zh-CN"/>
              </w:rPr>
              <w:t>。包括①</w:t>
            </w:r>
            <w:r>
              <w:rPr>
                <w:rFonts w:hint="default" w:ascii="宋体" w:hAnsi="宋体" w:eastAsia="宋体" w:cs="宋体"/>
                <w:color w:val="auto"/>
                <w:u w:val="none"/>
                <w:lang w:val="en-US" w:eastAsia="zh-CN"/>
              </w:rPr>
              <w:t>成本可控性：降低人工、故障维修等波动性成本，提升现金流稳定性</w:t>
            </w:r>
            <w:r>
              <w:rPr>
                <w:rFonts w:hint="eastAsia" w:ascii="宋体" w:hAnsi="宋体" w:eastAsia="宋体" w:cs="宋体"/>
                <w:color w:val="auto"/>
                <w:u w:val="none"/>
                <w:lang w:val="en-US" w:eastAsia="zh-CN"/>
              </w:rPr>
              <w:t>；②</w:t>
            </w:r>
            <w:r>
              <w:rPr>
                <w:rFonts w:hint="default" w:ascii="宋体" w:hAnsi="宋体" w:eastAsia="宋体" w:cs="宋体"/>
                <w:color w:val="auto"/>
                <w:u w:val="none"/>
                <w:lang w:val="en-US" w:eastAsia="zh-CN"/>
              </w:rPr>
              <w:t>收入可预测性：用水需求弹性低，结合智能水表自动计费，收入链上实时可验证。</w:t>
            </w:r>
          </w:p>
          <w:p w14:paraId="29B2B415">
            <w:pPr>
              <w:spacing w:line="240" w:lineRule="auto"/>
              <w:ind w:firstLine="422" w:firstLineChars="200"/>
              <w:jc w:val="both"/>
              <w:rPr>
                <w:rFonts w:hint="default" w:ascii="宋体" w:hAnsi="宋体" w:eastAsia="宋体" w:cs="宋体"/>
                <w:b/>
                <w:bCs/>
                <w:color w:val="auto"/>
                <w:u w:val="none"/>
                <w:lang w:val="en-US" w:eastAsia="zh-CN"/>
              </w:rPr>
            </w:pPr>
            <w:r>
              <w:rPr>
                <w:rFonts w:hint="default" w:ascii="宋体" w:hAnsi="宋体" w:eastAsia="宋体" w:cs="宋体"/>
                <w:b/>
                <w:bCs/>
                <w:color w:val="auto"/>
                <w:u w:val="none"/>
                <w:lang w:val="en-US" w:eastAsia="zh-CN"/>
              </w:rPr>
              <w:t>2、新水岛®是物理资产与数字孪生的双重锚定，有效提升RWA资产可信度</w:t>
            </w:r>
          </w:p>
          <w:p w14:paraId="6133A04D">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新水岛®既是实体设备（物理资产），又通过物联网（IoT）传感器生成实时运营数据（数字孪生），为RWA代币提供双重价值支撑，增强投资者对资产真实性的信任：</w:t>
            </w:r>
          </w:p>
          <w:p w14:paraId="2B889A72">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数据透明性：水质和水量监测、设备状态等数据上链，解决传统RWA资产透明度不足的痛点。</w:t>
            </w:r>
          </w:p>
          <w:p w14:paraId="33A22316">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资产可验证性：区块链记录设备位置、实时运行数据（如设备状态、能耗、维护记录等），确保链上代币与实体资产一一对应。</w:t>
            </w:r>
          </w:p>
          <w:p w14:paraId="483BF94C">
            <w:pPr>
              <w:spacing w:line="240" w:lineRule="auto"/>
              <w:ind w:firstLine="422" w:firstLineChars="200"/>
              <w:jc w:val="both"/>
              <w:rPr>
                <w:rFonts w:hint="default" w:ascii="宋体" w:hAnsi="宋体" w:eastAsia="宋体" w:cs="宋体"/>
                <w:color w:val="auto"/>
                <w:u w:val="none"/>
                <w:lang w:val="en-US" w:eastAsia="zh-CN"/>
              </w:rPr>
            </w:pPr>
            <w:r>
              <w:rPr>
                <w:rFonts w:hint="default" w:ascii="宋体" w:hAnsi="宋体" w:eastAsia="宋体" w:cs="宋体"/>
                <w:b/>
                <w:bCs/>
                <w:color w:val="auto"/>
                <w:u w:val="none"/>
                <w:lang w:val="en-US" w:eastAsia="zh-CN"/>
              </w:rPr>
              <w:t>3、新水岛</w:t>
            </w:r>
            <w:r>
              <w:rPr>
                <w:rFonts w:hint="eastAsia" w:ascii="宋体" w:hAnsi="宋体" w:eastAsia="宋体" w:cs="宋体"/>
                <w:b/>
                <w:bCs/>
                <w:color w:val="auto"/>
                <w:u w:val="none"/>
                <w:lang w:val="en-US" w:eastAsia="zh-CN"/>
              </w:rPr>
              <w:t>可以</w:t>
            </w:r>
            <w:r>
              <w:rPr>
                <w:rFonts w:hint="default" w:ascii="宋体" w:hAnsi="宋体" w:eastAsia="宋体" w:cs="宋体"/>
                <w:b/>
                <w:bCs/>
                <w:color w:val="auto"/>
                <w:u w:val="none"/>
                <w:lang w:val="en-US" w:eastAsia="zh-CN"/>
              </w:rPr>
              <w:t>实现全流程自动化金融，RWA跨境融资或收益分配流程最优</w:t>
            </w:r>
          </w:p>
          <w:p w14:paraId="44817CB0">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新水岛®与区块链结合，</w:t>
            </w:r>
            <w:r>
              <w:rPr>
                <w:rFonts w:hint="eastAsia" w:ascii="宋体" w:hAnsi="宋体" w:eastAsia="宋体" w:cs="宋体"/>
                <w:color w:val="auto"/>
                <w:u w:val="none"/>
                <w:lang w:val="en-US" w:eastAsia="zh-CN"/>
              </w:rPr>
              <w:t>可以</w:t>
            </w:r>
            <w:r>
              <w:rPr>
                <w:rFonts w:hint="default" w:ascii="宋体" w:hAnsi="宋体" w:eastAsia="宋体" w:cs="宋体"/>
                <w:color w:val="auto"/>
                <w:u w:val="none"/>
                <w:lang w:val="en-US" w:eastAsia="zh-CN"/>
              </w:rPr>
              <w:t>实现从生产到收益分配的全流程自动化：</w:t>
            </w:r>
          </w:p>
          <w:p w14:paraId="79647228">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收入自动转化：水费收入通过智能合约即时转换为稳定币，减少结算延迟。</w:t>
            </w:r>
          </w:p>
          <w:p w14:paraId="59BC46DD">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动态收益分配：投资者按代币份额自动获得稳定币分红，降低信托成本。</w:t>
            </w:r>
          </w:p>
          <w:p w14:paraId="4F3FC9D8">
            <w:pPr>
              <w:spacing w:line="240" w:lineRule="auto"/>
              <w:ind w:firstLine="422" w:firstLineChars="200"/>
              <w:jc w:val="both"/>
              <w:rPr>
                <w:rFonts w:hint="default" w:ascii="宋体" w:hAnsi="宋体" w:eastAsia="宋体" w:cs="宋体"/>
                <w:color w:val="auto"/>
                <w:u w:val="none"/>
                <w:lang w:val="en-US" w:eastAsia="zh-CN"/>
              </w:rPr>
            </w:pPr>
            <w:r>
              <w:rPr>
                <w:rFonts w:hint="default" w:ascii="宋体" w:hAnsi="宋体" w:eastAsia="宋体" w:cs="宋体"/>
                <w:b/>
                <w:bCs/>
                <w:color w:val="auto"/>
                <w:u w:val="none"/>
                <w:lang w:val="en-US" w:eastAsia="zh-CN"/>
              </w:rPr>
              <w:t>4、新水岛®具备绿色与可持续性属性，更易获得政策与监管支持</w:t>
            </w:r>
            <w:r>
              <w:rPr>
                <w:rFonts w:hint="default" w:ascii="宋体" w:hAnsi="宋体" w:eastAsia="宋体" w:cs="宋体"/>
                <w:color w:val="auto"/>
                <w:u w:val="none"/>
                <w:lang w:val="en-US" w:eastAsia="zh-CN"/>
              </w:rPr>
              <w:t></w:t>
            </w:r>
          </w:p>
          <w:p w14:paraId="142CC773">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“绿色与可持续发展类资产”是多地优先支持的RWA领域</w:t>
            </w:r>
            <w:r>
              <w:rPr>
                <w:rFonts w:hint="eastAsia" w:ascii="宋体" w:hAnsi="宋体" w:eastAsia="宋体" w:cs="宋体"/>
                <w:color w:val="auto"/>
                <w:u w:val="none"/>
                <w:lang w:val="en-US" w:eastAsia="zh-CN"/>
              </w:rPr>
              <w:t>。</w:t>
            </w:r>
            <w:r>
              <w:rPr>
                <w:rFonts w:hint="default" w:ascii="宋体" w:hAnsi="宋体" w:eastAsia="宋体" w:cs="宋体"/>
                <w:color w:val="auto"/>
                <w:u w:val="none"/>
                <w:lang w:val="en-US" w:eastAsia="zh-CN"/>
              </w:rPr>
              <w:t>污废水再生回用厂、供水厂和污废水处理厂属于典型绿色可持续发展基础设施或工业配套通用设施，更容易获得合规支持。</w:t>
            </w:r>
          </w:p>
          <w:p w14:paraId="5D39E77A">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目前，香港Ensemble沙盒试验的首阶段是将包括传统金融资产和现实世界资产的代币化，重点关注了四个主题：（1）固定收益与投资基金；（2）流动性管理；（3）绿色与可持续金融；（4）以及贸易与供应链融资。</w:t>
            </w:r>
          </w:p>
          <w:p w14:paraId="397B0C7A">
            <w:pPr>
              <w:spacing w:line="240" w:lineRule="auto"/>
              <w:ind w:firstLine="420" w:firstLineChars="200"/>
              <w:jc w:val="both"/>
              <w:rPr>
                <w:rFonts w:hint="eastAsia" w:ascii="宋体" w:hAnsi="宋体" w:eastAsia="宋体" w:cs="宋体"/>
                <w:color w:val="auto"/>
                <w:u w:val="none"/>
                <w:lang w:val="en-US" w:eastAsia="zh-CN"/>
              </w:rPr>
            </w:pPr>
            <w:r>
              <w:rPr>
                <w:rFonts w:hint="default" w:ascii="宋体" w:hAnsi="宋体" w:eastAsia="宋体" w:cs="宋体"/>
                <w:color w:val="auto"/>
                <w:u w:val="none"/>
                <w:lang w:val="en-US" w:eastAsia="zh-CN"/>
              </w:rPr>
              <w:t>其中，绿色与可持续金融基本上是挑选RWA底层资产时，最容易得分同时还能够兼顾融资利益的重点项</w:t>
            </w:r>
            <w:r>
              <w:rPr>
                <w:rFonts w:hint="eastAsia" w:ascii="宋体" w:hAnsi="宋体" w:eastAsia="宋体" w:cs="宋体"/>
                <w:color w:val="auto"/>
                <w:u w:val="none"/>
                <w:lang w:val="en-US" w:eastAsia="zh-CN"/>
              </w:rPr>
              <w:t>。</w:t>
            </w:r>
          </w:p>
          <w:p w14:paraId="7077C654">
            <w:pPr>
              <w:spacing w:line="240" w:lineRule="auto"/>
              <w:ind w:firstLine="420" w:firstLineChars="200"/>
              <w:jc w:val="both"/>
              <w:rPr>
                <w:rFonts w:hint="default" w:ascii="宋体" w:hAnsi="宋体" w:eastAsia="宋体" w:cs="宋体"/>
                <w:color w:val="auto"/>
                <w:u w:val="none"/>
                <w:lang w:val="en-US" w:eastAsia="zh-CN"/>
              </w:rPr>
            </w:pPr>
          </w:p>
          <w:p w14:paraId="5687CC0A">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四、市场空间及政策支持</w:t>
            </w:r>
          </w:p>
          <w:p w14:paraId="5959C10D">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1、</w:t>
            </w:r>
            <w:r>
              <w:rPr>
                <w:rFonts w:hint="default" w:ascii="宋体" w:hAnsi="宋体" w:eastAsia="宋体" w:cs="宋体"/>
                <w:b/>
                <w:bCs/>
                <w:color w:val="auto"/>
                <w:u w:val="none"/>
                <w:lang w:val="en-US" w:eastAsia="zh-CN"/>
              </w:rPr>
              <w:t>强调坚持“四定”原则，加快发展节水产业，加强非常规水利用</w:t>
            </w:r>
          </w:p>
          <w:p w14:paraId="3DB01A72">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近年来，国家发布了《节约用水条例》《关于全面推进美丽中国建设的意见》《推进重点城市再生水利用三年行动实施方案》《关于建设美丽中国先行区的实施意见》等一系列政策，大力推进节水型社会建设。强调要坚持以水定城、以水定地、以水定人、以水定产，推动各类资源节约集约利用，实施全面节水战略，到2026年，重点城市在强化再生水配置管理、完善再生水利用设施、拓展再生水利用场景、健全再生水利用机制等方面取得积极成效。到2035年，水资源利用效率达到国际先进水平。</w:t>
            </w:r>
          </w:p>
          <w:p w14:paraId="031A0D62">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2、</w:t>
            </w:r>
            <w:r>
              <w:rPr>
                <w:rFonts w:hint="default" w:ascii="宋体" w:hAnsi="宋体" w:eastAsia="宋体" w:cs="宋体"/>
                <w:b/>
                <w:bCs/>
                <w:color w:val="auto"/>
                <w:u w:val="none"/>
                <w:lang w:val="en-US" w:eastAsia="zh-CN"/>
              </w:rPr>
              <w:t>各地逐步提高自来水价格，鼓励再生水价值定价，全面促进水资源再生利用</w:t>
            </w:r>
          </w:p>
          <w:p w14:paraId="14103063">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北京市发布《关于本市再生水价格有关事项的通知》，明确了再生水价格管理形式已由政府指导价调整为市场调节价，进一步促进再生水市场活跃度，增强再生水供应企业灵活性和盈利空间。</w:t>
            </w:r>
          </w:p>
          <w:p w14:paraId="71FBC28C">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今年以来，深圳、广州等地调整自来水水价。提高非居民自来水价格，导致传统用水成本攀升，而再生水作为常规水源的替代品，水价优势凸显，促进高耗水等行业加速再生水应用。</w:t>
            </w:r>
          </w:p>
          <w:p w14:paraId="75B7C818">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3、</w:t>
            </w:r>
            <w:r>
              <w:rPr>
                <w:rFonts w:hint="default" w:ascii="宋体" w:hAnsi="宋体" w:eastAsia="宋体" w:cs="宋体"/>
                <w:b/>
                <w:bCs/>
                <w:color w:val="auto"/>
                <w:u w:val="none"/>
                <w:lang w:val="en-US" w:eastAsia="zh-CN"/>
              </w:rPr>
              <w:t>工业水耗限制升级，排放要求趋严，再生水新需求不断显现</w:t>
            </w:r>
          </w:p>
          <w:p w14:paraId="6A66A68B">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《光伏制造行业规范条件》提出生产耗水大幅降低，新建和改扩建项目再生水回用率高于40%等最新的行业要求。</w:t>
            </w:r>
          </w:p>
          <w:p w14:paraId="77C1BE53">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《关于加强矿井水保护和利用的指导意见》提出到2025年，全国矿井水利用量持续提高，利用率不断提升，黄河流域力争达到68%以上。</w:t>
            </w:r>
          </w:p>
          <w:p w14:paraId="7889D8F1">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《工业循环冷却水零排污技术规范》国标正式实施，提出在全国范围内实现各行业循环冷却水零排技术的推广应用，实现真正的节水、节能、安全、环保、降本、增效。</w:t>
            </w:r>
          </w:p>
          <w:p w14:paraId="099D838B">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《纺织工业水污染物排放标准》出台，推动纺织印染行业的技术进步，促进印染企业加强源头控制，优化末端治理，优化废水回用及资源化应用方案以减少污染。</w:t>
            </w:r>
          </w:p>
          <w:p w14:paraId="28A323EB">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4、</w:t>
            </w:r>
            <w:r>
              <w:rPr>
                <w:rFonts w:hint="default" w:ascii="宋体" w:hAnsi="宋体" w:eastAsia="宋体" w:cs="宋体"/>
                <w:b/>
                <w:bCs/>
                <w:color w:val="auto"/>
                <w:u w:val="none"/>
                <w:lang w:val="en-US" w:eastAsia="zh-CN"/>
              </w:rPr>
              <w:t>工业用水量需求大</w:t>
            </w:r>
          </w:p>
          <w:p w14:paraId="59C7AEF2">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中国作为全球最大的制造业大国，工业用水的需求量巨大。据水利部数据显示，2024年，全国用水总量为5928.0亿m³。其中，生活用水量为926.8亿m³，工业用水量为971.0亿m³，农业用水量为3648.4亿m³，人工生态环境补水量为381.8亿m³。与2023年相比，用水总量增加21.5亿m³，其中，生活用水量增加17.0亿m³，工业用水量增加0.8亿m³，农业用水量减少24.0亿m³，人工生态环境补水量增加27.7亿m³。全国用水消耗量为3251.5亿m³。</w:t>
            </w:r>
          </w:p>
          <w:p w14:paraId="0BF706D1">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5、</w:t>
            </w:r>
            <w:r>
              <w:rPr>
                <w:rFonts w:hint="default" w:ascii="宋体" w:hAnsi="宋体" w:eastAsia="宋体" w:cs="宋体"/>
                <w:b/>
                <w:bCs/>
                <w:color w:val="auto"/>
                <w:u w:val="none"/>
                <w:lang w:val="en-US" w:eastAsia="zh-CN"/>
              </w:rPr>
              <w:t>政策推动节水产业向万亿规模发展</w:t>
            </w:r>
          </w:p>
          <w:p w14:paraId="103B1519">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《关于加快发展节水产业的指导意见》，提出要推动节水产品装备升级换代，推动节水产品装备制造数字化、智能化、绿色化发展；到2027年，节水产业规模达到万亿。</w:t>
            </w:r>
          </w:p>
          <w:p w14:paraId="52C97743">
            <w:pPr>
              <w:spacing w:line="240" w:lineRule="auto"/>
              <w:ind w:firstLine="422" w:firstLineChars="200"/>
              <w:jc w:val="both"/>
              <w:rPr>
                <w:rFonts w:hint="default"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6、</w:t>
            </w:r>
            <w:r>
              <w:rPr>
                <w:rFonts w:hint="default" w:ascii="宋体" w:hAnsi="宋体" w:eastAsia="宋体" w:cs="宋体"/>
                <w:b/>
                <w:bCs/>
                <w:color w:val="auto"/>
                <w:u w:val="none"/>
                <w:lang w:val="en-US" w:eastAsia="zh-CN"/>
              </w:rPr>
              <w:t>饮用水领域对高品质水需求持续增长</w:t>
            </w:r>
          </w:p>
          <w:p w14:paraId="6CF3F4F5">
            <w:pPr>
              <w:spacing w:line="240" w:lineRule="auto"/>
              <w:ind w:firstLine="420" w:firstLineChars="200"/>
              <w:jc w:val="both"/>
              <w:rPr>
                <w:rFonts w:hint="default" w:ascii="宋体" w:hAnsi="宋体" w:eastAsia="宋体" w:cs="宋体"/>
                <w:color w:val="auto"/>
                <w:u w:val="none"/>
                <w:lang w:val="en-US" w:eastAsia="zh-CN"/>
              </w:rPr>
            </w:pPr>
            <w:r>
              <w:rPr>
                <w:rFonts w:hint="default" w:ascii="宋体" w:hAnsi="宋体" w:eastAsia="宋体" w:cs="宋体"/>
                <w:color w:val="auto"/>
                <w:u w:val="none"/>
                <w:lang w:val="en-US" w:eastAsia="zh-CN"/>
              </w:rPr>
              <w:t>中国饮用水行业在2022年的产量达到了9330.5万吨，而国内的需求量为9316.58万吨。市场对饮用水的需求非常大，并且随着居民收入的增加和消费结构的升级，这种需求仍在持续增长。政策方面，《重点管控新污染物清单（2023年版）》《生活饮用水卫生标准》正式实施，供水领域正迎来消费升级带来的高质量发展机遇。</w:t>
            </w:r>
          </w:p>
          <w:p w14:paraId="5575A7ED">
            <w:pPr>
              <w:spacing w:line="240" w:lineRule="auto"/>
              <w:ind w:firstLine="420" w:firstLineChars="200"/>
              <w:jc w:val="both"/>
              <w:rPr>
                <w:rFonts w:hint="default" w:ascii="宋体" w:hAnsi="宋体" w:eastAsia="宋体" w:cs="宋体"/>
                <w:color w:val="auto"/>
                <w:u w:val="none"/>
                <w:lang w:val="en-US" w:eastAsia="zh-CN"/>
              </w:rPr>
            </w:pPr>
          </w:p>
          <w:p w14:paraId="3B9F7EA0">
            <w:pPr>
              <w:spacing w:line="240" w:lineRule="auto"/>
              <w:ind w:firstLine="420" w:firstLineChars="200"/>
              <w:jc w:val="both"/>
              <w:rPr>
                <w:rFonts w:hint="eastAsia" w:ascii="宋体" w:hAnsi="宋体" w:eastAsia="宋体" w:cs="宋体"/>
                <w:color w:val="auto"/>
                <w:u w:val="none"/>
                <w:lang w:val="en-US" w:eastAsia="zh-CN"/>
              </w:rPr>
            </w:pPr>
          </w:p>
          <w:p w14:paraId="49993CA7">
            <w:pPr>
              <w:pStyle w:val="8"/>
              <w:spacing w:line="240" w:lineRule="auto"/>
              <w:ind w:left="0" w:leftChars="0" w:firstLine="422" w:firstLineChars="200"/>
              <w:rPr>
                <w:rFonts w:hint="eastAsia" w:ascii="宋体" w:hAnsi="宋体" w:eastAsia="宋体" w:cs="宋体"/>
                <w:b/>
                <w:bCs w:val="0"/>
                <w:color w:val="auto"/>
                <w:szCs w:val="21"/>
                <w:u w:val="none"/>
              </w:rPr>
            </w:pPr>
            <w:r>
              <w:rPr>
                <w:rFonts w:hint="eastAsia" w:ascii="宋体" w:hAnsi="宋体" w:eastAsia="宋体" w:cs="宋体"/>
                <w:b/>
                <w:bCs w:val="0"/>
                <w:color w:val="auto"/>
                <w:szCs w:val="21"/>
                <w:u w:val="none"/>
              </w:rPr>
              <w:t>交流问答环节</w:t>
            </w:r>
          </w:p>
          <w:p w14:paraId="11868731">
            <w:pPr>
              <w:numPr>
                <w:ilvl w:val="-1"/>
                <w:numId w:val="0"/>
              </w:numPr>
              <w:tabs>
                <w:tab w:val="left" w:pos="5690"/>
              </w:tabs>
              <w:ind w:left="0" w:firstLine="422" w:firstLineChars="200"/>
              <w:rPr>
                <w:rFonts w:hint="default" w:ascii="宋体" w:hAnsi="宋体" w:eastAsia="宋体" w:cs="宋体"/>
                <w:b/>
                <w:bCs w:val="0"/>
                <w:color w:val="auto"/>
                <w:szCs w:val="21"/>
                <w:u w:val="none"/>
                <w:lang w:val="en-US" w:eastAsia="zh-CN"/>
              </w:rPr>
            </w:pPr>
            <w:r>
              <w:rPr>
                <w:rFonts w:hint="eastAsia" w:ascii="宋体" w:hAnsi="宋体" w:eastAsia="宋体" w:cs="宋体"/>
                <w:b/>
                <w:bCs w:val="0"/>
                <w:color w:val="auto"/>
                <w:szCs w:val="21"/>
                <w:u w:val="none"/>
                <w:lang w:val="en-US" w:eastAsia="zh-CN"/>
              </w:rPr>
              <w:t>1、</w:t>
            </w:r>
            <w:r>
              <w:rPr>
                <w:rFonts w:hint="default" w:ascii="宋体" w:hAnsi="宋体" w:eastAsia="宋体" w:cs="宋体"/>
                <w:b/>
                <w:bCs w:val="0"/>
                <w:color w:val="auto"/>
                <w:szCs w:val="21"/>
                <w:u w:val="none"/>
                <w:lang w:val="en-US" w:eastAsia="zh-CN"/>
              </w:rPr>
              <w:t>新水岛</w:t>
            </w:r>
            <w:r>
              <w:rPr>
                <w:rFonts w:hint="default" w:ascii="宋体" w:hAnsi="宋体" w:eastAsia="宋体" w:cs="宋体"/>
                <w:b/>
                <w:bCs/>
                <w:color w:val="auto"/>
                <w:u w:val="none"/>
                <w:lang w:val="en-US" w:eastAsia="zh-CN"/>
              </w:rPr>
              <w:t>®</w:t>
            </w:r>
            <w:r>
              <w:rPr>
                <w:rFonts w:hint="default" w:ascii="宋体" w:hAnsi="宋体" w:eastAsia="宋体" w:cs="宋体"/>
                <w:b/>
                <w:bCs w:val="0"/>
                <w:color w:val="auto"/>
                <w:szCs w:val="21"/>
                <w:u w:val="none"/>
                <w:lang w:val="en-US" w:eastAsia="zh-CN"/>
              </w:rPr>
              <w:t>在数据服务上有哪些适应RWA的优势？</w:t>
            </w:r>
          </w:p>
          <w:p w14:paraId="14B01A48">
            <w:pPr>
              <w:numPr>
                <w:ilvl w:val="-1"/>
                <w:numId w:val="0"/>
              </w:numPr>
              <w:tabs>
                <w:tab w:val="left" w:pos="5690"/>
              </w:tabs>
              <w:ind w:left="0" w:firstLine="420" w:firstLineChars="200"/>
              <w:rPr>
                <w:rFonts w:hint="default" w:ascii="宋体" w:hAnsi="宋体" w:eastAsia="宋体" w:cs="宋体"/>
                <w:b w:val="0"/>
                <w:bCs/>
                <w:color w:val="auto"/>
                <w:szCs w:val="21"/>
                <w:u w:val="none"/>
                <w:lang w:val="en-US" w:eastAsia="zh-CN"/>
              </w:rPr>
            </w:pPr>
            <w:r>
              <w:rPr>
                <w:rFonts w:hint="eastAsia" w:ascii="宋体" w:hAnsi="宋体" w:eastAsia="宋体" w:cs="宋体"/>
                <w:b w:val="0"/>
                <w:bCs/>
                <w:color w:val="auto"/>
                <w:szCs w:val="21"/>
                <w:u w:val="none"/>
                <w:lang w:val="en-US" w:eastAsia="zh-CN"/>
              </w:rPr>
              <w:t>答：</w:t>
            </w:r>
            <w:r>
              <w:rPr>
                <w:rFonts w:hint="default" w:ascii="宋体" w:hAnsi="宋体" w:eastAsia="宋体" w:cs="宋体"/>
                <w:b w:val="0"/>
                <w:bCs/>
                <w:color w:val="auto"/>
                <w:szCs w:val="21"/>
                <w:u w:val="none"/>
                <w:lang w:val="en-US" w:eastAsia="zh-CN"/>
              </w:rPr>
              <w:t>新</w:t>
            </w:r>
            <w:r>
              <w:rPr>
                <w:rFonts w:hint="default" w:ascii="宋体" w:hAnsi="宋体" w:eastAsia="宋体" w:cs="宋体"/>
                <w:b w:val="0"/>
                <w:bCs/>
                <w:color w:val="auto"/>
                <w:szCs w:val="21"/>
                <w:u w:val="none"/>
                <w:lang w:val="en-US" w:eastAsia="zh-CN"/>
              </w:rPr>
              <w:t>水岛在数据服务上具备显著适应RWA的优势，数据完整性和深度得到</w:t>
            </w:r>
            <w:r>
              <w:rPr>
                <w:rFonts w:hint="eastAsia" w:ascii="宋体" w:hAnsi="宋体" w:eastAsia="宋体" w:cs="宋体"/>
                <w:b w:val="0"/>
                <w:bCs/>
                <w:color w:val="auto"/>
                <w:szCs w:val="21"/>
                <w:u w:val="none"/>
                <w:lang w:val="en-US" w:eastAsia="zh-CN"/>
              </w:rPr>
              <w:t>专业机构的</w:t>
            </w:r>
            <w:r>
              <w:rPr>
                <w:rFonts w:hint="default" w:ascii="宋体" w:hAnsi="宋体" w:eastAsia="宋体" w:cs="宋体"/>
                <w:b w:val="0"/>
                <w:bCs/>
                <w:color w:val="auto"/>
                <w:szCs w:val="21"/>
                <w:u w:val="none"/>
                <w:lang w:val="en-US" w:eastAsia="zh-CN"/>
              </w:rPr>
              <w:t>认可</w:t>
            </w:r>
            <w:r>
              <w:rPr>
                <w:rFonts w:hint="eastAsia" w:ascii="宋体" w:hAnsi="宋体" w:eastAsia="宋体" w:cs="宋体"/>
                <w:b w:val="0"/>
                <w:bCs/>
                <w:color w:val="auto"/>
                <w:szCs w:val="21"/>
                <w:u w:val="none"/>
                <w:lang w:val="en-US" w:eastAsia="zh-CN"/>
              </w:rPr>
              <w:t>。</w:t>
            </w:r>
          </w:p>
          <w:p w14:paraId="7DBFADC3">
            <w:pPr>
              <w:numPr>
                <w:ilvl w:val="-1"/>
                <w:numId w:val="0"/>
              </w:numPr>
              <w:tabs>
                <w:tab w:val="left" w:pos="5690"/>
              </w:tabs>
              <w:ind w:left="0" w:firstLine="420" w:firstLineChars="200"/>
              <w:rPr>
                <w:rFonts w:hint="default" w:ascii="宋体" w:hAnsi="宋体" w:eastAsia="宋体" w:cs="宋体"/>
                <w:b w:val="0"/>
                <w:bCs/>
                <w:color w:val="auto"/>
                <w:szCs w:val="21"/>
                <w:u w:val="none"/>
                <w:lang w:val="en-US" w:eastAsia="zh-CN"/>
              </w:rPr>
            </w:pPr>
            <w:r>
              <w:rPr>
                <w:rFonts w:hint="default" w:ascii="宋体" w:hAnsi="宋体" w:eastAsia="宋体" w:cs="宋体"/>
                <w:b w:val="0"/>
                <w:bCs/>
                <w:color w:val="auto"/>
                <w:szCs w:val="21"/>
                <w:u w:val="none"/>
                <w:lang w:val="en-US" w:eastAsia="zh-CN"/>
              </w:rPr>
              <w:t>运营端数据全面：通过水务AI智能体实时采集并结构化</w:t>
            </w:r>
            <w:bookmarkStart w:id="0" w:name="_GoBack"/>
            <w:bookmarkEnd w:id="0"/>
            <w:r>
              <w:rPr>
                <w:rFonts w:hint="default" w:ascii="宋体" w:hAnsi="宋体" w:eastAsia="宋体" w:cs="宋体"/>
                <w:b w:val="0"/>
                <w:bCs/>
                <w:color w:val="auto"/>
                <w:szCs w:val="21"/>
                <w:u w:val="none"/>
                <w:lang w:val="en-US" w:eastAsia="zh-CN"/>
              </w:rPr>
              <w:t>处理运营数据，包括资产运行情况打分、设备完好性、收入、现金流等，数据质量高、可信度强、实时性好，满足资产保值增值的数据需求。</w:t>
            </w:r>
          </w:p>
          <w:p w14:paraId="3E59E0BF">
            <w:pPr>
              <w:numPr>
                <w:ilvl w:val="-1"/>
                <w:numId w:val="0"/>
              </w:numPr>
              <w:tabs>
                <w:tab w:val="left" w:pos="5690"/>
              </w:tabs>
              <w:ind w:left="0" w:firstLine="420" w:firstLineChars="200"/>
              <w:rPr>
                <w:rFonts w:hint="default" w:ascii="宋体" w:hAnsi="宋体" w:eastAsia="宋体" w:cs="宋体"/>
                <w:b w:val="0"/>
                <w:bCs/>
                <w:color w:val="auto"/>
                <w:szCs w:val="21"/>
                <w:u w:val="none"/>
                <w:lang w:val="en-US" w:eastAsia="zh-CN"/>
              </w:rPr>
            </w:pPr>
            <w:r>
              <w:rPr>
                <w:rFonts w:hint="default" w:ascii="宋体" w:hAnsi="宋体" w:eastAsia="宋体" w:cs="宋体"/>
                <w:b w:val="0"/>
                <w:bCs/>
                <w:color w:val="auto"/>
                <w:szCs w:val="21"/>
                <w:u w:val="none"/>
                <w:lang w:val="en-US" w:eastAsia="zh-CN"/>
              </w:rPr>
              <w:t>覆盖全生命周期数据：不仅注重运营端数据，还包含设计、采购、制造等源头端数据，数据跨度和深度优于部分现有集成资产，为RWA提供了完整的数据基础。</w:t>
            </w:r>
          </w:p>
          <w:p w14:paraId="1FE087B7">
            <w:pPr>
              <w:numPr>
                <w:ilvl w:val="-1"/>
                <w:numId w:val="0"/>
              </w:numPr>
              <w:tabs>
                <w:tab w:val="left" w:pos="5690"/>
              </w:tabs>
              <w:ind w:left="0" w:firstLine="422" w:firstLineChars="200"/>
              <w:rPr>
                <w:rFonts w:hint="default" w:ascii="宋体" w:hAnsi="宋体" w:eastAsia="宋体" w:cs="宋体"/>
                <w:b/>
                <w:bCs w:val="0"/>
                <w:color w:val="auto"/>
                <w:szCs w:val="21"/>
                <w:u w:val="none"/>
                <w:lang w:val="en-US" w:eastAsia="zh-CN"/>
              </w:rPr>
            </w:pPr>
          </w:p>
          <w:p w14:paraId="0DD9286B">
            <w:pPr>
              <w:numPr>
                <w:ilvl w:val="-1"/>
                <w:numId w:val="0"/>
              </w:numPr>
              <w:tabs>
                <w:tab w:val="left" w:pos="5690"/>
              </w:tabs>
              <w:ind w:left="0" w:firstLine="422" w:firstLineChars="200"/>
              <w:rPr>
                <w:rFonts w:hint="default" w:ascii="宋体" w:hAnsi="宋体" w:eastAsia="宋体" w:cs="宋体"/>
                <w:b/>
                <w:bCs w:val="0"/>
                <w:color w:val="auto"/>
                <w:szCs w:val="21"/>
                <w:u w:val="none"/>
                <w:lang w:val="en-US" w:eastAsia="zh-CN"/>
              </w:rPr>
            </w:pPr>
            <w:r>
              <w:rPr>
                <w:rFonts w:hint="eastAsia" w:ascii="宋体" w:hAnsi="宋体" w:eastAsia="宋体" w:cs="宋体"/>
                <w:b/>
                <w:bCs w:val="0"/>
                <w:color w:val="auto"/>
                <w:szCs w:val="21"/>
                <w:u w:val="none"/>
                <w:lang w:val="en-US" w:eastAsia="zh-CN"/>
              </w:rPr>
              <w:t>2、公司与坤亨国际签署关于RWA发行合作框架协议的目的是？</w:t>
            </w:r>
            <w:r>
              <w:rPr>
                <w:rFonts w:hint="eastAsia" w:ascii="宋体" w:hAnsi="宋体" w:eastAsia="宋体" w:cs="宋体"/>
                <w:b/>
                <w:color w:val="auto"/>
                <w:szCs w:val="21"/>
                <w:u w:val="none"/>
                <w:lang w:val="en-US" w:eastAsia="zh-CN"/>
              </w:rPr>
              <w:t>请介绍下坤亨国际的情况？</w:t>
            </w:r>
          </w:p>
          <w:p w14:paraId="01DBF55E">
            <w:pPr>
              <w:ind w:firstLine="420" w:firstLineChars="200"/>
              <w:rPr>
                <w:rFonts w:hint="default" w:ascii="宋体" w:hAnsi="宋体" w:eastAsia="宋体" w:cs="宋体"/>
                <w:b/>
                <w:bCs w:val="0"/>
                <w:color w:val="auto"/>
                <w:szCs w:val="21"/>
                <w:u w:val="none"/>
                <w:lang w:val="en-US" w:eastAsia="zh-CN"/>
              </w:rPr>
            </w:pPr>
            <w:r>
              <w:rPr>
                <w:rFonts w:hint="eastAsia" w:ascii="宋体" w:hAnsi="宋体" w:eastAsia="宋体" w:cs="宋体"/>
                <w:b w:val="0"/>
                <w:bCs/>
                <w:color w:val="auto"/>
                <w:szCs w:val="21"/>
                <w:u w:val="none"/>
                <w:lang w:val="en-US" w:eastAsia="zh-CN"/>
              </w:rPr>
              <w:t>答：</w:t>
            </w:r>
            <w:r>
              <w:rPr>
                <w:rFonts w:hint="default" w:ascii="宋体" w:hAnsi="宋体" w:eastAsia="宋体" w:cs="宋体"/>
                <w:b w:val="0"/>
                <w:bCs/>
                <w:color w:val="auto"/>
                <w:szCs w:val="21"/>
                <w:u w:val="none"/>
                <w:lang w:val="en-US" w:eastAsia="zh-CN"/>
              </w:rPr>
              <w:t>本次合作是基于坤亨国际对金科环境水厂机器人新水岛Newater House®产品作为RWA（Real-World Assets）优质底层资产的认可，双方将共同探索基于新水岛Newater House®产品发行RWA业务，携手开创水务资产的数字化流转和高效管理，提升资产的市场价值</w:t>
            </w:r>
            <w:r>
              <w:rPr>
                <w:rFonts w:hint="default" w:ascii="宋体" w:hAnsi="宋体" w:eastAsia="宋体" w:cs="宋体"/>
                <w:b/>
                <w:bCs w:val="0"/>
                <w:color w:val="auto"/>
                <w:szCs w:val="21"/>
                <w:u w:val="none"/>
                <w:lang w:val="en-US" w:eastAsia="zh-CN"/>
              </w:rPr>
              <w:t>。</w:t>
            </w:r>
          </w:p>
          <w:p w14:paraId="2CAE6F45">
            <w:pPr>
              <w:ind w:firstLine="420" w:firstLineChars="200"/>
              <w:rPr>
                <w:rFonts w:hint="eastAsia" w:ascii="宋体" w:hAnsi="宋体" w:eastAsia="宋体"/>
                <w:szCs w:val="21"/>
              </w:rPr>
            </w:pPr>
            <w:r>
              <w:rPr>
                <w:rFonts w:hint="eastAsia" w:ascii="宋体" w:hAnsi="宋体" w:eastAsia="宋体" w:cs="宋体"/>
                <w:b w:val="0"/>
                <w:bCs/>
                <w:color w:val="auto"/>
                <w:szCs w:val="21"/>
                <w:u w:val="none"/>
              </w:rPr>
              <w:t>坤亨国际</w:t>
            </w:r>
            <w:r>
              <w:rPr>
                <w:rFonts w:hint="eastAsia" w:ascii="宋体" w:hAnsi="宋体" w:eastAsia="宋体"/>
                <w:bCs/>
                <w:szCs w:val="21"/>
              </w:rPr>
              <w:t>是</w:t>
            </w:r>
            <w:r>
              <w:rPr>
                <w:rFonts w:hint="eastAsia" w:ascii="宋体" w:hAnsi="宋体" w:eastAsia="宋体"/>
                <w:szCs w:val="21"/>
              </w:rPr>
              <w:t>一家专注于RWA项目解决方案的专业化服务机构，依托专业技术服务、资本核心业务，在资产数字化、金融产品设计及全球网络资源方面具备自身优势，可为多行业提供优质高效的科技金融技术服务，范围涵盖高速公路收费权、新能源项目收益权以及医疗危废物品处置收益权等多个领域。目前，坤亨国际已在香港、北京、广州和长沙四地设立办事处。</w:t>
            </w:r>
          </w:p>
          <w:p w14:paraId="36D12F1A">
            <w:pPr>
              <w:ind w:firstLine="420" w:firstLineChars="200"/>
              <w:rPr>
                <w:rFonts w:hint="eastAsia" w:ascii="宋体" w:hAnsi="宋体" w:eastAsia="宋体"/>
                <w:szCs w:val="21"/>
              </w:rPr>
            </w:pPr>
          </w:p>
          <w:p w14:paraId="711DDB43">
            <w:pPr>
              <w:numPr>
                <w:ilvl w:val="0"/>
                <w:numId w:val="0"/>
              </w:numPr>
              <w:spacing w:line="240" w:lineRule="auto"/>
              <w:ind w:firstLine="422" w:firstLineChars="200"/>
              <w:jc w:val="left"/>
              <w:rPr>
                <w:rFonts w:hint="eastAsia" w:ascii="宋体" w:hAnsi="宋体" w:eastAsia="宋体" w:cs="宋体"/>
                <w:b/>
                <w:color w:val="auto"/>
                <w:szCs w:val="21"/>
                <w:u w:val="none"/>
                <w:lang w:val="en-US" w:eastAsia="zh-CN"/>
              </w:rPr>
            </w:pPr>
            <w:r>
              <w:rPr>
                <w:rFonts w:hint="eastAsia" w:ascii="宋体" w:hAnsi="宋体" w:eastAsia="宋体"/>
                <w:b/>
                <w:szCs w:val="21"/>
                <w:lang w:val="en-US" w:eastAsia="zh-CN"/>
              </w:rPr>
              <w:t>3、请问公司的</w:t>
            </w:r>
            <w:r>
              <w:rPr>
                <w:rFonts w:hint="eastAsia" w:ascii="宋体" w:hAnsi="宋体" w:eastAsia="宋体"/>
                <w:b/>
                <w:szCs w:val="21"/>
              </w:rPr>
              <w:t>水厂机器人新水岛NewaterHouse®目前落地哪些项目？</w:t>
            </w:r>
          </w:p>
          <w:p w14:paraId="1628969C">
            <w:pPr>
              <w:spacing w:line="240" w:lineRule="auto"/>
              <w:ind w:firstLine="420" w:firstLineChars="200"/>
              <w:rPr>
                <w:rFonts w:hint="eastAsia" w:ascii="宋体" w:hAnsi="宋体" w:eastAsia="宋体" w:cs="宋体"/>
                <w:b w:val="0"/>
                <w:bCs/>
                <w:color w:val="auto"/>
                <w:szCs w:val="21"/>
                <w:u w:val="none"/>
                <w:lang w:val="en-US" w:eastAsia="zh-CN"/>
              </w:rPr>
            </w:pPr>
            <w:r>
              <w:rPr>
                <w:rFonts w:hint="eastAsia" w:ascii="宋体" w:hAnsi="宋体" w:eastAsia="宋体" w:cs="宋体"/>
                <w:b w:val="0"/>
                <w:bCs/>
                <w:color w:val="auto"/>
                <w:szCs w:val="21"/>
                <w:u w:val="none"/>
                <w:lang w:val="en-US" w:eastAsia="zh-CN"/>
              </w:rPr>
              <w:t xml:space="preserve">答：目前，公司的水厂机器人新水岛NewaterHouse®已在太原、舟山、开封、无锡龙亭、无锡锡山、无锡安镇、无锡健鼎落地项目。 </w:t>
            </w:r>
          </w:p>
          <w:p w14:paraId="594AB19C">
            <w:pPr>
              <w:spacing w:line="240" w:lineRule="auto"/>
              <w:rPr>
                <w:rFonts w:hint="eastAsia" w:ascii="宋体" w:hAnsi="宋体" w:eastAsia="宋体" w:cs="宋体"/>
                <w:color w:val="auto"/>
                <w:u w:val="none"/>
              </w:rPr>
            </w:pPr>
          </w:p>
          <w:p w14:paraId="5F40A1F6">
            <w:pPr>
              <w:spacing w:line="240" w:lineRule="auto"/>
              <w:ind w:firstLine="422" w:firstLineChars="200"/>
              <w:rPr>
                <w:rFonts w:hint="eastAsia"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4、新水岛</w:t>
            </w:r>
            <w:r>
              <w:rPr>
                <w:rFonts w:hint="default" w:ascii="宋体" w:hAnsi="宋体" w:eastAsia="宋体" w:cs="宋体"/>
                <w:b/>
                <w:bCs/>
                <w:color w:val="auto"/>
                <w:u w:val="none"/>
                <w:lang w:val="en-US" w:eastAsia="zh-CN"/>
              </w:rPr>
              <w:t>®</w:t>
            </w:r>
            <w:r>
              <w:rPr>
                <w:rFonts w:hint="eastAsia" w:ascii="宋体" w:hAnsi="宋体" w:eastAsia="宋体" w:cs="宋体"/>
                <w:b/>
                <w:bCs/>
                <w:color w:val="auto"/>
                <w:u w:val="none"/>
                <w:lang w:val="en-US" w:eastAsia="zh-CN"/>
              </w:rPr>
              <w:t>产品可以应用于哪些场景？</w:t>
            </w:r>
          </w:p>
          <w:p w14:paraId="0DD39D5F">
            <w:pPr>
              <w:ind w:firstLine="420" w:firstLineChars="200"/>
              <w:rPr>
                <w:rFonts w:hint="eastAsia" w:ascii="宋体" w:hAnsi="宋体" w:eastAsia="宋体"/>
                <w:szCs w:val="21"/>
              </w:rPr>
            </w:pPr>
            <w:r>
              <w:rPr>
                <w:rFonts w:hint="eastAsia" w:ascii="宋体" w:hAnsi="宋体" w:eastAsia="宋体"/>
                <w:szCs w:val="21"/>
              </w:rPr>
              <w:t>答：新水岛®广泛适用于工业、园区、城镇海水淡化等应用场景，可作为高品质供水基础设施（城镇、园区、工业）的替代方案，以常规水源（水库水、地下水、河道水等）和非常规水源（污水、矿井水、苦咸水等），为工业企业、工业园区和城镇提供高品质供水，成本和安全性方面更具竞争力。</w:t>
            </w:r>
          </w:p>
          <w:p w14:paraId="15E00799">
            <w:pPr>
              <w:ind w:firstLine="420" w:firstLineChars="200"/>
              <w:rPr>
                <w:rFonts w:hint="eastAsia" w:ascii="宋体" w:hAnsi="宋体" w:eastAsia="宋体"/>
                <w:szCs w:val="21"/>
                <w:lang w:val="en-US" w:eastAsia="zh-CN"/>
              </w:rPr>
            </w:pPr>
          </w:p>
          <w:p w14:paraId="30AC05F3">
            <w:pPr>
              <w:ind w:firstLine="422" w:firstLineChars="200"/>
              <w:rPr>
                <w:rFonts w:hint="eastAsia" w:ascii="宋体" w:hAnsi="宋体" w:eastAsia="宋体"/>
                <w:b/>
                <w:szCs w:val="21"/>
                <w:lang w:eastAsia="zh-CN"/>
              </w:rPr>
            </w:pPr>
            <w:r>
              <w:rPr>
                <w:rFonts w:hint="eastAsia" w:ascii="宋体" w:hAnsi="宋体" w:eastAsia="宋体" w:cs="宋体"/>
                <w:b/>
                <w:color w:val="auto"/>
                <w:szCs w:val="21"/>
                <w:u w:val="none"/>
                <w:lang w:val="en-US" w:eastAsia="zh-CN"/>
              </w:rPr>
              <w:t>5、公司</w:t>
            </w:r>
            <w:r>
              <w:rPr>
                <w:rFonts w:ascii="宋体" w:hAnsi="宋体" w:eastAsia="宋体"/>
                <w:b/>
                <w:szCs w:val="21"/>
              </w:rPr>
              <w:t>To</w:t>
            </w:r>
            <w:r>
              <w:rPr>
                <w:rFonts w:hint="eastAsia" w:ascii="宋体" w:hAnsi="宋体" w:eastAsia="宋体"/>
                <w:b/>
                <w:szCs w:val="21"/>
                <w:lang w:val="en-US" w:eastAsia="zh-CN"/>
              </w:rPr>
              <w:t xml:space="preserve"> </w:t>
            </w:r>
            <w:r>
              <w:rPr>
                <w:rFonts w:ascii="宋体" w:hAnsi="宋体" w:eastAsia="宋体"/>
                <w:b/>
                <w:szCs w:val="21"/>
              </w:rPr>
              <w:t>B端的下游客户主要为哪些行业？</w:t>
            </w:r>
          </w:p>
          <w:p w14:paraId="7759CC10">
            <w:pPr>
              <w:ind w:firstLine="420" w:firstLineChars="200"/>
              <w:rPr>
                <w:rFonts w:ascii="宋体" w:hAnsi="宋体" w:eastAsia="宋体"/>
                <w:szCs w:val="21"/>
              </w:rPr>
            </w:pPr>
            <w:r>
              <w:rPr>
                <w:rFonts w:hint="eastAsia" w:ascii="宋体" w:hAnsi="宋体" w:eastAsia="宋体"/>
                <w:szCs w:val="21"/>
              </w:rPr>
              <w:t>答：公司重点围绕包括</w:t>
            </w:r>
            <w:r>
              <w:rPr>
                <w:rFonts w:ascii="宋体" w:hAnsi="宋体" w:eastAsia="宋体"/>
                <w:szCs w:val="21"/>
              </w:rPr>
              <w:t>PCB、光伏等新兴产业，以及高耗水、高污染的化纤、印染等民生产业。随着新水岛</w:t>
            </w:r>
            <w:r>
              <w:rPr>
                <w:rFonts w:hint="eastAsia" w:ascii="宋体" w:hAnsi="宋体" w:eastAsia="宋体" w:cs="宋体"/>
                <w:color w:val="auto"/>
                <w:u w:val="none"/>
              </w:rPr>
              <w:t>®</w:t>
            </w:r>
            <w:r>
              <w:rPr>
                <w:rFonts w:ascii="宋体" w:hAnsi="宋体" w:eastAsia="宋体"/>
                <w:szCs w:val="21"/>
              </w:rPr>
              <w:t>的迭代及功能升级，公司也在持续拓展</w:t>
            </w:r>
            <w:r>
              <w:rPr>
                <w:rFonts w:hint="eastAsia" w:ascii="宋体" w:hAnsi="宋体" w:eastAsia="宋体"/>
                <w:szCs w:val="21"/>
                <w:lang w:val="en-US" w:eastAsia="zh-CN"/>
              </w:rPr>
              <w:t>其他</w:t>
            </w:r>
            <w:r>
              <w:rPr>
                <w:rFonts w:ascii="宋体" w:hAnsi="宋体" w:eastAsia="宋体"/>
                <w:szCs w:val="21"/>
              </w:rPr>
              <w:t>应用行业。</w:t>
            </w:r>
          </w:p>
          <w:p w14:paraId="0766FABD">
            <w:pPr>
              <w:spacing w:line="240" w:lineRule="auto"/>
              <w:ind w:firstLine="0"/>
              <w:rPr>
                <w:rFonts w:hint="eastAsia" w:ascii="宋体" w:hAnsi="宋体" w:eastAsia="宋体" w:cs="宋体"/>
                <w:bCs/>
                <w:color w:val="auto"/>
                <w:u w:val="none"/>
              </w:rPr>
            </w:pPr>
          </w:p>
          <w:p w14:paraId="29188A59">
            <w:pPr>
              <w:spacing w:line="240" w:lineRule="auto"/>
              <w:ind w:firstLine="420"/>
              <w:rPr>
                <w:rFonts w:hint="default" w:ascii="宋体" w:hAnsi="宋体" w:eastAsia="宋体" w:cs="宋体"/>
                <w:b/>
                <w:bCs w:val="0"/>
                <w:color w:val="auto"/>
                <w:highlight w:val="none"/>
                <w:u w:val="none"/>
                <w:lang w:val="en-US" w:eastAsia="zh-CN"/>
              </w:rPr>
            </w:pPr>
            <w:r>
              <w:rPr>
                <w:rFonts w:hint="eastAsia" w:ascii="宋体" w:hAnsi="宋体" w:eastAsia="宋体" w:cs="宋体"/>
                <w:b/>
                <w:bCs w:val="0"/>
                <w:color w:val="auto"/>
                <w:highlight w:val="none"/>
                <w:u w:val="none"/>
                <w:lang w:val="en-US" w:eastAsia="zh-CN"/>
              </w:rPr>
              <w:t>6、公司未来产品研发规划方向是什么？</w:t>
            </w:r>
          </w:p>
          <w:p w14:paraId="11AFD54B">
            <w:pPr>
              <w:spacing w:line="24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答：新水岛</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产品研发规划以技术升级与市场需求为导向，围绕新水岛</w:t>
            </w:r>
            <w:r>
              <w:rPr>
                <w:rFonts w:hint="default" w:ascii="宋体" w:hAnsi="宋体" w:eastAsia="宋体" w:cs="宋体"/>
                <w:bCs/>
                <w:color w:val="auto"/>
                <w:u w:val="none"/>
                <w:lang w:val="en-US" w:eastAsia="zh-CN"/>
              </w:rPr>
              <w:t>®</w:t>
            </w:r>
            <w:r>
              <w:rPr>
                <w:rFonts w:hint="eastAsia" w:ascii="宋体" w:hAnsi="宋体" w:eastAsia="宋体" w:cs="宋体"/>
                <w:color w:val="auto"/>
                <w:highlight w:val="none"/>
                <w:u w:val="none"/>
                <w:lang w:val="en-US" w:eastAsia="zh-CN"/>
              </w:rPr>
              <w:t>系列产品的迭代创新展开系统性布局，涵盖标准化量产、高效能升级、海水淡化场景突破、中小型市场覆盖及大规模技术储备五大核心方向。</w:t>
            </w:r>
          </w:p>
          <w:p w14:paraId="5D8E8DEC">
            <w:pPr>
              <w:spacing w:line="24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通过深度研究AI智能体技术，进一步加强水萝卜®AI智能体的无人值守能力，持续完善新水岛</w:t>
            </w:r>
            <w:r>
              <w:rPr>
                <w:rFonts w:hint="default" w:ascii="宋体" w:hAnsi="宋体" w:eastAsia="宋体" w:cs="宋体"/>
                <w:bCs/>
                <w:color w:val="auto"/>
                <w:u w:val="none"/>
                <w:lang w:val="en-US" w:eastAsia="zh-CN"/>
              </w:rPr>
              <w:t>®</w:t>
            </w:r>
            <w:r>
              <w:rPr>
                <w:rFonts w:hint="eastAsia" w:ascii="宋体" w:hAnsi="宋体" w:eastAsia="宋体" w:cs="宋体"/>
                <w:color w:val="auto"/>
                <w:highlight w:val="none"/>
                <w:u w:val="none"/>
                <w:lang w:val="en-US" w:eastAsia="zh-CN"/>
              </w:rPr>
              <w:t>场景下的无人值守智能体系统通用解决方案，加强与武汉大学的合作，开展更广泛的人工智能应用场景探索。</w:t>
            </w:r>
          </w:p>
          <w:p w14:paraId="59157CE7">
            <w:pPr>
              <w:spacing w:line="24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目前，水萝卜®AI智能体还在应用的初级阶段，已经带来了无人值守、运行成本大幅下降、系统稳定可靠的效果。基于对无人值守的分级细则，我们可以将配套硬件、系统软件、咨询等服务打包形成无人值守综合运营解决方案。水萝卜®AI智能体不仅可以在新水岛</w:t>
            </w:r>
            <w:r>
              <w:rPr>
                <w:rFonts w:hint="default" w:ascii="宋体" w:hAnsi="宋体" w:eastAsia="宋体" w:cs="宋体"/>
                <w:bCs/>
                <w:color w:val="auto"/>
                <w:u w:val="none"/>
                <w:lang w:val="en-US" w:eastAsia="zh-CN"/>
              </w:rPr>
              <w:t>®</w:t>
            </w:r>
            <w:r>
              <w:rPr>
                <w:rFonts w:hint="eastAsia" w:ascii="宋体" w:hAnsi="宋体" w:eastAsia="宋体" w:cs="宋体"/>
                <w:color w:val="auto"/>
                <w:highlight w:val="none"/>
                <w:u w:val="none"/>
                <w:lang w:val="en-US" w:eastAsia="zh-CN"/>
              </w:rPr>
              <w:t>产品上使用，还可以在存量市场发挥价值，独立搭载在普通的市政和工业集中水处理厂、工业基地的水处理系统等，已经具备了独立开拓市场应用的条件。目前，公司已有智慧系统独立销售的在手订单。</w:t>
            </w:r>
          </w:p>
          <w:p w14:paraId="3AD7D10E">
            <w:pPr>
              <w:spacing w:line="240" w:lineRule="auto"/>
              <w:ind w:firstLine="420" w:firstLineChars="200"/>
              <w:jc w:val="left"/>
              <w:rPr>
                <w:rFonts w:hint="eastAsia" w:ascii="宋体" w:hAnsi="宋体" w:eastAsia="宋体" w:cs="宋体"/>
                <w:color w:val="auto"/>
                <w:highlight w:val="none"/>
                <w:u w:val="none"/>
                <w:lang w:val="en-US" w:eastAsia="zh-CN"/>
              </w:rPr>
            </w:pPr>
          </w:p>
        </w:tc>
      </w:tr>
      <w:tr w14:paraId="3B95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4" w:type="dxa"/>
            <w:vAlign w:val="center"/>
          </w:tcPr>
          <w:p w14:paraId="4AAB5B85">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附件清单</w:t>
            </w:r>
          </w:p>
          <w:p w14:paraId="2AE2E17F">
            <w:pPr>
              <w:spacing w:line="240" w:lineRule="auto"/>
              <w:jc w:val="center"/>
              <w:rPr>
                <w:rFonts w:hint="eastAsia" w:ascii="宋体" w:hAnsi="宋体" w:eastAsia="宋体" w:cs="宋体"/>
                <w:color w:val="auto"/>
                <w:szCs w:val="21"/>
                <w:u w:val="none"/>
              </w:rPr>
            </w:pPr>
            <w:r>
              <w:rPr>
                <w:rFonts w:hint="eastAsia" w:ascii="宋体" w:hAnsi="宋体" w:eastAsia="宋体" w:cs="宋体"/>
                <w:b/>
                <w:bCs/>
                <w:color w:val="auto"/>
                <w:szCs w:val="21"/>
                <w:u w:val="none"/>
              </w:rPr>
              <w:t>（如有）</w:t>
            </w:r>
          </w:p>
        </w:tc>
        <w:tc>
          <w:tcPr>
            <w:tcW w:w="7229" w:type="dxa"/>
            <w:vAlign w:val="center"/>
          </w:tcPr>
          <w:p w14:paraId="5CF1995B">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无</w:t>
            </w:r>
          </w:p>
        </w:tc>
      </w:tr>
      <w:tr w14:paraId="13AE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4" w:type="dxa"/>
            <w:vAlign w:val="center"/>
          </w:tcPr>
          <w:p w14:paraId="61CDEB5D">
            <w:pPr>
              <w:spacing w:line="240" w:lineRule="auto"/>
              <w:jc w:val="center"/>
              <w:rPr>
                <w:rFonts w:hint="eastAsia" w:ascii="宋体" w:hAnsi="宋体" w:eastAsia="宋体" w:cs="宋体"/>
                <w:b/>
                <w:bCs/>
                <w:color w:val="auto"/>
                <w:szCs w:val="21"/>
                <w:u w:val="none"/>
              </w:rPr>
            </w:pPr>
            <w:r>
              <w:rPr>
                <w:rFonts w:hint="eastAsia" w:ascii="宋体" w:hAnsi="宋体" w:eastAsia="宋体" w:cs="宋体"/>
                <w:b/>
                <w:bCs/>
                <w:color w:val="auto"/>
                <w:szCs w:val="21"/>
                <w:u w:val="none"/>
              </w:rPr>
              <w:t>日期</w:t>
            </w:r>
          </w:p>
        </w:tc>
        <w:tc>
          <w:tcPr>
            <w:tcW w:w="7229" w:type="dxa"/>
            <w:vAlign w:val="center"/>
          </w:tcPr>
          <w:p w14:paraId="33CB2747">
            <w:pPr>
              <w:spacing w:line="240" w:lineRule="auto"/>
              <w:rPr>
                <w:rFonts w:hint="eastAsia" w:ascii="宋体" w:hAnsi="宋体" w:eastAsia="宋体" w:cs="宋体"/>
                <w:color w:val="auto"/>
                <w:szCs w:val="21"/>
                <w:u w:val="none"/>
              </w:rPr>
            </w:pPr>
            <w:r>
              <w:rPr>
                <w:rFonts w:hint="eastAsia" w:ascii="宋体" w:hAnsi="宋体" w:eastAsia="宋体" w:cs="宋体"/>
                <w:color w:val="auto"/>
                <w:szCs w:val="21"/>
                <w:u w:val="none"/>
              </w:rPr>
              <w:t>202</w:t>
            </w:r>
            <w:r>
              <w:rPr>
                <w:rFonts w:hint="eastAsia" w:ascii="宋体" w:hAnsi="宋体" w:eastAsia="宋体" w:cs="宋体"/>
                <w:color w:val="auto"/>
                <w:szCs w:val="21"/>
                <w:u w:val="none"/>
                <w:lang w:val="en-US" w:eastAsia="zh-CN"/>
              </w:rPr>
              <w:t>5</w:t>
            </w:r>
            <w:r>
              <w:rPr>
                <w:rFonts w:hint="eastAsia" w:ascii="宋体" w:hAnsi="宋体" w:eastAsia="宋体" w:cs="宋体"/>
                <w:color w:val="auto"/>
                <w:szCs w:val="21"/>
                <w:u w:val="none"/>
              </w:rPr>
              <w:t>年</w:t>
            </w:r>
            <w:r>
              <w:rPr>
                <w:rFonts w:hint="eastAsia" w:ascii="宋体" w:hAnsi="宋体" w:eastAsia="宋体" w:cs="宋体"/>
                <w:color w:val="auto"/>
                <w:szCs w:val="21"/>
                <w:u w:val="none"/>
                <w:lang w:val="en-US" w:eastAsia="zh-CN"/>
              </w:rPr>
              <w:t>7</w:t>
            </w:r>
            <w:r>
              <w:rPr>
                <w:rFonts w:hint="eastAsia" w:ascii="宋体" w:hAnsi="宋体" w:eastAsia="宋体" w:cs="宋体"/>
                <w:color w:val="auto"/>
                <w:szCs w:val="21"/>
                <w:u w:val="none"/>
              </w:rPr>
              <w:t>月</w:t>
            </w:r>
            <w:r>
              <w:rPr>
                <w:rFonts w:hint="eastAsia" w:ascii="宋体" w:hAnsi="宋体" w:eastAsia="宋体" w:cs="宋体"/>
                <w:color w:val="auto"/>
                <w:szCs w:val="21"/>
                <w:u w:val="none"/>
                <w:lang w:val="en-US" w:eastAsia="zh-CN"/>
              </w:rPr>
              <w:t>31</w:t>
            </w:r>
            <w:r>
              <w:rPr>
                <w:rFonts w:hint="eastAsia" w:ascii="宋体" w:hAnsi="宋体" w:eastAsia="宋体" w:cs="宋体"/>
                <w:color w:val="auto"/>
                <w:szCs w:val="21"/>
                <w:u w:val="none"/>
              </w:rPr>
              <w:t>日</w:t>
            </w:r>
          </w:p>
        </w:tc>
      </w:tr>
    </w:tbl>
    <w:p w14:paraId="2BC22078">
      <w:pPr>
        <w:rPr>
          <w:rFonts w:ascii="宋体" w:hAnsi="宋体" w:eastAsia="宋体"/>
          <w:sz w:val="20"/>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E048">
    <w:pPr>
      <w:pStyle w:val="6"/>
      <w:rPr>
        <w:rFonts w:ascii="宋体" w:hAnsi="宋体" w:eastAsia="宋体"/>
      </w:rPr>
    </w:pPr>
    <w:r>
      <w:rPr>
        <w:rFonts w:hint="eastAsia" w:ascii="宋体" w:hAnsi="宋体" w:eastAsia="宋体"/>
      </w:rPr>
      <w:t>证券代码：6</w:t>
    </w:r>
    <w:r>
      <w:rPr>
        <w:rFonts w:ascii="宋体" w:hAnsi="宋体" w:eastAsia="宋体"/>
      </w:rPr>
      <w:t>88466</w:t>
    </w:r>
    <w:r>
      <w:rPr>
        <w:rFonts w:ascii="宋体" w:hAnsi="宋体" w:eastAsia="宋体"/>
      </w:rPr>
      <w:ptab w:relativeTo="margin" w:alignment="center" w:leader="none"/>
    </w:r>
    <w:r>
      <w:rPr>
        <w:rFonts w:ascii="宋体" w:hAnsi="宋体" w:eastAsia="宋体"/>
      </w:rPr>
      <w:ptab w:relativeTo="margin" w:alignment="right" w:leader="none"/>
    </w:r>
    <w:r>
      <w:rPr>
        <w:rFonts w:hint="eastAsia" w:ascii="宋体" w:hAnsi="宋体" w:eastAsia="宋体"/>
      </w:rPr>
      <w:t>证券简称：</w:t>
    </w:r>
    <w:r>
      <w:rPr>
        <w:rFonts w:hint="eastAsia" w:ascii="宋体" w:hAnsi="宋体" w:eastAsia="宋体"/>
        <w:lang w:eastAsia="zh-Hans"/>
      </w:rPr>
      <w:t>金科环境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F6"/>
    <w:rsid w:val="000035D7"/>
    <w:rsid w:val="0001078F"/>
    <w:rsid w:val="00011C93"/>
    <w:rsid w:val="00014375"/>
    <w:rsid w:val="00027983"/>
    <w:rsid w:val="000442AF"/>
    <w:rsid w:val="000565EF"/>
    <w:rsid w:val="00056D76"/>
    <w:rsid w:val="00065DB5"/>
    <w:rsid w:val="00071508"/>
    <w:rsid w:val="00076595"/>
    <w:rsid w:val="00076BD8"/>
    <w:rsid w:val="00082E2E"/>
    <w:rsid w:val="00095562"/>
    <w:rsid w:val="000971E0"/>
    <w:rsid w:val="00097DEE"/>
    <w:rsid w:val="000A33AC"/>
    <w:rsid w:val="000B0FD6"/>
    <w:rsid w:val="000D1531"/>
    <w:rsid w:val="000D2076"/>
    <w:rsid w:val="000D632A"/>
    <w:rsid w:val="000E591F"/>
    <w:rsid w:val="000F1269"/>
    <w:rsid w:val="000F135B"/>
    <w:rsid w:val="000F2333"/>
    <w:rsid w:val="000F78F5"/>
    <w:rsid w:val="00101B38"/>
    <w:rsid w:val="0010454E"/>
    <w:rsid w:val="00104F5B"/>
    <w:rsid w:val="001127F4"/>
    <w:rsid w:val="00116CAB"/>
    <w:rsid w:val="001217AD"/>
    <w:rsid w:val="001221B2"/>
    <w:rsid w:val="00124A62"/>
    <w:rsid w:val="00125CBE"/>
    <w:rsid w:val="001276AE"/>
    <w:rsid w:val="0013199C"/>
    <w:rsid w:val="00133E52"/>
    <w:rsid w:val="00134AF2"/>
    <w:rsid w:val="001413A8"/>
    <w:rsid w:val="001546BD"/>
    <w:rsid w:val="00162C87"/>
    <w:rsid w:val="001648E4"/>
    <w:rsid w:val="001664B0"/>
    <w:rsid w:val="00172570"/>
    <w:rsid w:val="001A19CE"/>
    <w:rsid w:val="001A37B1"/>
    <w:rsid w:val="001A3BD7"/>
    <w:rsid w:val="001B0E3F"/>
    <w:rsid w:val="001B2F8E"/>
    <w:rsid w:val="001B4BAC"/>
    <w:rsid w:val="001B5391"/>
    <w:rsid w:val="001B66A6"/>
    <w:rsid w:val="001C295B"/>
    <w:rsid w:val="001C431B"/>
    <w:rsid w:val="001C6429"/>
    <w:rsid w:val="001D71AA"/>
    <w:rsid w:val="001E3743"/>
    <w:rsid w:val="001E4762"/>
    <w:rsid w:val="001E4764"/>
    <w:rsid w:val="001E55CE"/>
    <w:rsid w:val="001E616A"/>
    <w:rsid w:val="001E7A36"/>
    <w:rsid w:val="001F3569"/>
    <w:rsid w:val="001F610A"/>
    <w:rsid w:val="002015B6"/>
    <w:rsid w:val="00203F23"/>
    <w:rsid w:val="00207D0F"/>
    <w:rsid w:val="00216477"/>
    <w:rsid w:val="00217D95"/>
    <w:rsid w:val="00221BB6"/>
    <w:rsid w:val="00223383"/>
    <w:rsid w:val="002378D8"/>
    <w:rsid w:val="00242F65"/>
    <w:rsid w:val="00250DEF"/>
    <w:rsid w:val="002638A1"/>
    <w:rsid w:val="00263FE5"/>
    <w:rsid w:val="00270E7E"/>
    <w:rsid w:val="00277CB8"/>
    <w:rsid w:val="0028017B"/>
    <w:rsid w:val="0029105D"/>
    <w:rsid w:val="00293E9E"/>
    <w:rsid w:val="002A025F"/>
    <w:rsid w:val="002A0966"/>
    <w:rsid w:val="002B7308"/>
    <w:rsid w:val="002D26B4"/>
    <w:rsid w:val="002D42FE"/>
    <w:rsid w:val="002D518A"/>
    <w:rsid w:val="002E0EE2"/>
    <w:rsid w:val="002E273A"/>
    <w:rsid w:val="002E56B0"/>
    <w:rsid w:val="002F12C1"/>
    <w:rsid w:val="002F726C"/>
    <w:rsid w:val="002F7E43"/>
    <w:rsid w:val="00306E8D"/>
    <w:rsid w:val="003126C1"/>
    <w:rsid w:val="0033152E"/>
    <w:rsid w:val="00333EFB"/>
    <w:rsid w:val="00350BAF"/>
    <w:rsid w:val="00355AC8"/>
    <w:rsid w:val="00362922"/>
    <w:rsid w:val="00364AB3"/>
    <w:rsid w:val="00367F53"/>
    <w:rsid w:val="003716F9"/>
    <w:rsid w:val="00383C35"/>
    <w:rsid w:val="00390F65"/>
    <w:rsid w:val="00396B0C"/>
    <w:rsid w:val="003A01A7"/>
    <w:rsid w:val="003A4DDB"/>
    <w:rsid w:val="003B1E5C"/>
    <w:rsid w:val="003B30F1"/>
    <w:rsid w:val="003C0BAE"/>
    <w:rsid w:val="003C2E12"/>
    <w:rsid w:val="003D664C"/>
    <w:rsid w:val="003E61F0"/>
    <w:rsid w:val="003F2AE0"/>
    <w:rsid w:val="003F669C"/>
    <w:rsid w:val="00401373"/>
    <w:rsid w:val="00401817"/>
    <w:rsid w:val="0040374D"/>
    <w:rsid w:val="004104AE"/>
    <w:rsid w:val="004120D8"/>
    <w:rsid w:val="00425670"/>
    <w:rsid w:val="00432EED"/>
    <w:rsid w:val="0044643C"/>
    <w:rsid w:val="004523E5"/>
    <w:rsid w:val="004561F6"/>
    <w:rsid w:val="004575CD"/>
    <w:rsid w:val="0046353E"/>
    <w:rsid w:val="00473152"/>
    <w:rsid w:val="004914DB"/>
    <w:rsid w:val="0049469C"/>
    <w:rsid w:val="004A1210"/>
    <w:rsid w:val="004A4107"/>
    <w:rsid w:val="004A6937"/>
    <w:rsid w:val="004B143B"/>
    <w:rsid w:val="004C2DAC"/>
    <w:rsid w:val="004C3CCF"/>
    <w:rsid w:val="004D11BB"/>
    <w:rsid w:val="004D4B02"/>
    <w:rsid w:val="004F2B6C"/>
    <w:rsid w:val="004F4A5D"/>
    <w:rsid w:val="004F55FC"/>
    <w:rsid w:val="00507F63"/>
    <w:rsid w:val="005114CD"/>
    <w:rsid w:val="00513FBA"/>
    <w:rsid w:val="0052664D"/>
    <w:rsid w:val="0053128B"/>
    <w:rsid w:val="00533E1B"/>
    <w:rsid w:val="00543305"/>
    <w:rsid w:val="005445F5"/>
    <w:rsid w:val="00562D66"/>
    <w:rsid w:val="00565297"/>
    <w:rsid w:val="005839F5"/>
    <w:rsid w:val="005841A3"/>
    <w:rsid w:val="00586AB0"/>
    <w:rsid w:val="00587F6A"/>
    <w:rsid w:val="00590094"/>
    <w:rsid w:val="00590208"/>
    <w:rsid w:val="005978B8"/>
    <w:rsid w:val="005A1BCA"/>
    <w:rsid w:val="005A6AD7"/>
    <w:rsid w:val="005B37E3"/>
    <w:rsid w:val="005B4595"/>
    <w:rsid w:val="005B4BF0"/>
    <w:rsid w:val="005B55AC"/>
    <w:rsid w:val="005B6123"/>
    <w:rsid w:val="005B7952"/>
    <w:rsid w:val="005C0D11"/>
    <w:rsid w:val="005C6999"/>
    <w:rsid w:val="005D6956"/>
    <w:rsid w:val="005D76D0"/>
    <w:rsid w:val="005E1706"/>
    <w:rsid w:val="005E2633"/>
    <w:rsid w:val="006017D6"/>
    <w:rsid w:val="00601E1A"/>
    <w:rsid w:val="006139C4"/>
    <w:rsid w:val="00615609"/>
    <w:rsid w:val="0062025D"/>
    <w:rsid w:val="00622C51"/>
    <w:rsid w:val="00622CFD"/>
    <w:rsid w:val="00627061"/>
    <w:rsid w:val="0063081D"/>
    <w:rsid w:val="00630FA6"/>
    <w:rsid w:val="00633381"/>
    <w:rsid w:val="006364F2"/>
    <w:rsid w:val="00637038"/>
    <w:rsid w:val="00643A33"/>
    <w:rsid w:val="0065021A"/>
    <w:rsid w:val="00651F36"/>
    <w:rsid w:val="006555DD"/>
    <w:rsid w:val="0066615A"/>
    <w:rsid w:val="006726E0"/>
    <w:rsid w:val="00677480"/>
    <w:rsid w:val="00687211"/>
    <w:rsid w:val="00690C7A"/>
    <w:rsid w:val="00691884"/>
    <w:rsid w:val="0069765E"/>
    <w:rsid w:val="006A05AF"/>
    <w:rsid w:val="006A1B6A"/>
    <w:rsid w:val="006B415A"/>
    <w:rsid w:val="006B7B02"/>
    <w:rsid w:val="006C7BB1"/>
    <w:rsid w:val="006D0EB1"/>
    <w:rsid w:val="006D5B34"/>
    <w:rsid w:val="006D5F17"/>
    <w:rsid w:val="006E3DFD"/>
    <w:rsid w:val="006F1C9C"/>
    <w:rsid w:val="006F29C4"/>
    <w:rsid w:val="006F7643"/>
    <w:rsid w:val="007002D9"/>
    <w:rsid w:val="00703F23"/>
    <w:rsid w:val="00705B63"/>
    <w:rsid w:val="00707759"/>
    <w:rsid w:val="0072061B"/>
    <w:rsid w:val="007276CB"/>
    <w:rsid w:val="007328AA"/>
    <w:rsid w:val="00743CD2"/>
    <w:rsid w:val="00750EAB"/>
    <w:rsid w:val="007614AC"/>
    <w:rsid w:val="007718C6"/>
    <w:rsid w:val="0077224B"/>
    <w:rsid w:val="00774BFA"/>
    <w:rsid w:val="00780AB7"/>
    <w:rsid w:val="00790A89"/>
    <w:rsid w:val="007942F4"/>
    <w:rsid w:val="007A180F"/>
    <w:rsid w:val="007A76E3"/>
    <w:rsid w:val="007B1165"/>
    <w:rsid w:val="007B30B4"/>
    <w:rsid w:val="007B4C3F"/>
    <w:rsid w:val="007C3789"/>
    <w:rsid w:val="007C3D18"/>
    <w:rsid w:val="007C48E3"/>
    <w:rsid w:val="007C60DE"/>
    <w:rsid w:val="007C6146"/>
    <w:rsid w:val="007D1B32"/>
    <w:rsid w:val="007D6CD9"/>
    <w:rsid w:val="007E0003"/>
    <w:rsid w:val="007E556F"/>
    <w:rsid w:val="007F3E49"/>
    <w:rsid w:val="0080490D"/>
    <w:rsid w:val="00804BD5"/>
    <w:rsid w:val="00804DE4"/>
    <w:rsid w:val="008206D0"/>
    <w:rsid w:val="00823D01"/>
    <w:rsid w:val="008250DE"/>
    <w:rsid w:val="00827A8F"/>
    <w:rsid w:val="008324A0"/>
    <w:rsid w:val="00837FAC"/>
    <w:rsid w:val="008431D3"/>
    <w:rsid w:val="008534E5"/>
    <w:rsid w:val="00855380"/>
    <w:rsid w:val="00863245"/>
    <w:rsid w:val="00865BC6"/>
    <w:rsid w:val="00867E8E"/>
    <w:rsid w:val="00871ECC"/>
    <w:rsid w:val="00876EBC"/>
    <w:rsid w:val="00882EBD"/>
    <w:rsid w:val="00885B40"/>
    <w:rsid w:val="0089250B"/>
    <w:rsid w:val="008950FE"/>
    <w:rsid w:val="00895FCF"/>
    <w:rsid w:val="00897A9D"/>
    <w:rsid w:val="008B18A0"/>
    <w:rsid w:val="008B27FB"/>
    <w:rsid w:val="008B4B8F"/>
    <w:rsid w:val="008B58AC"/>
    <w:rsid w:val="008B741F"/>
    <w:rsid w:val="008C027A"/>
    <w:rsid w:val="008C1D2A"/>
    <w:rsid w:val="008C46C8"/>
    <w:rsid w:val="008C67F4"/>
    <w:rsid w:val="008D2F49"/>
    <w:rsid w:val="008D570A"/>
    <w:rsid w:val="008E3189"/>
    <w:rsid w:val="008F0280"/>
    <w:rsid w:val="008F1A39"/>
    <w:rsid w:val="008F2CFF"/>
    <w:rsid w:val="008F3912"/>
    <w:rsid w:val="008F63AD"/>
    <w:rsid w:val="00906893"/>
    <w:rsid w:val="0091193C"/>
    <w:rsid w:val="0092325E"/>
    <w:rsid w:val="00940F7C"/>
    <w:rsid w:val="009413A3"/>
    <w:rsid w:val="00943CF7"/>
    <w:rsid w:val="00963367"/>
    <w:rsid w:val="00965EAE"/>
    <w:rsid w:val="00970EF0"/>
    <w:rsid w:val="009955CA"/>
    <w:rsid w:val="00996753"/>
    <w:rsid w:val="009A34A7"/>
    <w:rsid w:val="009A6FE9"/>
    <w:rsid w:val="009B64F6"/>
    <w:rsid w:val="009C17C6"/>
    <w:rsid w:val="009C6013"/>
    <w:rsid w:val="009C70D1"/>
    <w:rsid w:val="009D2DAA"/>
    <w:rsid w:val="009D5683"/>
    <w:rsid w:val="009E3C92"/>
    <w:rsid w:val="009F5E4D"/>
    <w:rsid w:val="00A03FF6"/>
    <w:rsid w:val="00A06A5F"/>
    <w:rsid w:val="00A07BC9"/>
    <w:rsid w:val="00A136BA"/>
    <w:rsid w:val="00A31DAD"/>
    <w:rsid w:val="00A41632"/>
    <w:rsid w:val="00A44791"/>
    <w:rsid w:val="00A5109B"/>
    <w:rsid w:val="00A52F30"/>
    <w:rsid w:val="00A57596"/>
    <w:rsid w:val="00A62B73"/>
    <w:rsid w:val="00A644DC"/>
    <w:rsid w:val="00A656BE"/>
    <w:rsid w:val="00A6713B"/>
    <w:rsid w:val="00A7095B"/>
    <w:rsid w:val="00A7391B"/>
    <w:rsid w:val="00A747DF"/>
    <w:rsid w:val="00A80CB0"/>
    <w:rsid w:val="00A81C51"/>
    <w:rsid w:val="00A83BE0"/>
    <w:rsid w:val="00A97D70"/>
    <w:rsid w:val="00AB40C8"/>
    <w:rsid w:val="00AC6DD6"/>
    <w:rsid w:val="00AC7277"/>
    <w:rsid w:val="00AC76C9"/>
    <w:rsid w:val="00AD3A09"/>
    <w:rsid w:val="00AE09CC"/>
    <w:rsid w:val="00AE3BEF"/>
    <w:rsid w:val="00AE5C21"/>
    <w:rsid w:val="00AE6E7E"/>
    <w:rsid w:val="00B06C95"/>
    <w:rsid w:val="00B10A42"/>
    <w:rsid w:val="00B161D3"/>
    <w:rsid w:val="00B2287F"/>
    <w:rsid w:val="00B306A5"/>
    <w:rsid w:val="00B318EF"/>
    <w:rsid w:val="00B36D64"/>
    <w:rsid w:val="00B42F3D"/>
    <w:rsid w:val="00B516CB"/>
    <w:rsid w:val="00B53E6C"/>
    <w:rsid w:val="00B541EF"/>
    <w:rsid w:val="00B56783"/>
    <w:rsid w:val="00B62825"/>
    <w:rsid w:val="00B63392"/>
    <w:rsid w:val="00B641FD"/>
    <w:rsid w:val="00B7558D"/>
    <w:rsid w:val="00B76ECC"/>
    <w:rsid w:val="00B91F5B"/>
    <w:rsid w:val="00BA4F14"/>
    <w:rsid w:val="00BA6751"/>
    <w:rsid w:val="00BB0085"/>
    <w:rsid w:val="00BC0989"/>
    <w:rsid w:val="00BC1550"/>
    <w:rsid w:val="00BC7B87"/>
    <w:rsid w:val="00BD044B"/>
    <w:rsid w:val="00BD2790"/>
    <w:rsid w:val="00BE00B1"/>
    <w:rsid w:val="00BE0EED"/>
    <w:rsid w:val="00BF2AC6"/>
    <w:rsid w:val="00BF603E"/>
    <w:rsid w:val="00BF6A58"/>
    <w:rsid w:val="00C01B19"/>
    <w:rsid w:val="00C036D6"/>
    <w:rsid w:val="00C038FE"/>
    <w:rsid w:val="00C051EE"/>
    <w:rsid w:val="00C05792"/>
    <w:rsid w:val="00C0724F"/>
    <w:rsid w:val="00C15B17"/>
    <w:rsid w:val="00C15CD5"/>
    <w:rsid w:val="00C165F4"/>
    <w:rsid w:val="00C24E88"/>
    <w:rsid w:val="00C253D9"/>
    <w:rsid w:val="00C260C1"/>
    <w:rsid w:val="00C3257E"/>
    <w:rsid w:val="00C35DFE"/>
    <w:rsid w:val="00C500E8"/>
    <w:rsid w:val="00C51214"/>
    <w:rsid w:val="00C515F1"/>
    <w:rsid w:val="00C64711"/>
    <w:rsid w:val="00C71E0C"/>
    <w:rsid w:val="00C73F21"/>
    <w:rsid w:val="00C93138"/>
    <w:rsid w:val="00C93874"/>
    <w:rsid w:val="00C95507"/>
    <w:rsid w:val="00CA05E7"/>
    <w:rsid w:val="00CA4DB0"/>
    <w:rsid w:val="00CA5C16"/>
    <w:rsid w:val="00CC1830"/>
    <w:rsid w:val="00CC27F0"/>
    <w:rsid w:val="00CC6701"/>
    <w:rsid w:val="00CE2BF6"/>
    <w:rsid w:val="00CE311C"/>
    <w:rsid w:val="00CE5AD1"/>
    <w:rsid w:val="00CF09B9"/>
    <w:rsid w:val="00CF13D7"/>
    <w:rsid w:val="00CF5DAF"/>
    <w:rsid w:val="00D105AF"/>
    <w:rsid w:val="00D11961"/>
    <w:rsid w:val="00D15234"/>
    <w:rsid w:val="00D159F1"/>
    <w:rsid w:val="00D172E2"/>
    <w:rsid w:val="00D20A01"/>
    <w:rsid w:val="00D21B68"/>
    <w:rsid w:val="00D232D2"/>
    <w:rsid w:val="00D26244"/>
    <w:rsid w:val="00D26DBF"/>
    <w:rsid w:val="00D341FD"/>
    <w:rsid w:val="00D34471"/>
    <w:rsid w:val="00D34A33"/>
    <w:rsid w:val="00D3615F"/>
    <w:rsid w:val="00D406DE"/>
    <w:rsid w:val="00D41DAA"/>
    <w:rsid w:val="00D433F3"/>
    <w:rsid w:val="00D517DB"/>
    <w:rsid w:val="00D6476F"/>
    <w:rsid w:val="00D6613A"/>
    <w:rsid w:val="00D706B5"/>
    <w:rsid w:val="00D81EAF"/>
    <w:rsid w:val="00D84BA2"/>
    <w:rsid w:val="00D85AF2"/>
    <w:rsid w:val="00D90E2C"/>
    <w:rsid w:val="00D96FF4"/>
    <w:rsid w:val="00D972CA"/>
    <w:rsid w:val="00DA1B06"/>
    <w:rsid w:val="00DA3DB3"/>
    <w:rsid w:val="00DC13E5"/>
    <w:rsid w:val="00DC16A6"/>
    <w:rsid w:val="00DC49DF"/>
    <w:rsid w:val="00DC7823"/>
    <w:rsid w:val="00DD1361"/>
    <w:rsid w:val="00DD4AC4"/>
    <w:rsid w:val="00DF6423"/>
    <w:rsid w:val="00E00594"/>
    <w:rsid w:val="00E0612D"/>
    <w:rsid w:val="00E11464"/>
    <w:rsid w:val="00E20781"/>
    <w:rsid w:val="00E425A1"/>
    <w:rsid w:val="00E42829"/>
    <w:rsid w:val="00E448D9"/>
    <w:rsid w:val="00E456C1"/>
    <w:rsid w:val="00E47721"/>
    <w:rsid w:val="00E77D85"/>
    <w:rsid w:val="00E87A78"/>
    <w:rsid w:val="00E90D0D"/>
    <w:rsid w:val="00EB14B2"/>
    <w:rsid w:val="00EB22D9"/>
    <w:rsid w:val="00EB2D2B"/>
    <w:rsid w:val="00EB62E3"/>
    <w:rsid w:val="00EC0A6E"/>
    <w:rsid w:val="00EE2025"/>
    <w:rsid w:val="00EE6956"/>
    <w:rsid w:val="00EF6AEF"/>
    <w:rsid w:val="00F0175E"/>
    <w:rsid w:val="00F14DF7"/>
    <w:rsid w:val="00F179C2"/>
    <w:rsid w:val="00F214CD"/>
    <w:rsid w:val="00F229D9"/>
    <w:rsid w:val="00F27C2E"/>
    <w:rsid w:val="00F302D5"/>
    <w:rsid w:val="00F32CB8"/>
    <w:rsid w:val="00F340D0"/>
    <w:rsid w:val="00F542E4"/>
    <w:rsid w:val="00F55D07"/>
    <w:rsid w:val="00F56CF5"/>
    <w:rsid w:val="00F57369"/>
    <w:rsid w:val="00F70CA7"/>
    <w:rsid w:val="00F71553"/>
    <w:rsid w:val="00F740C3"/>
    <w:rsid w:val="00F75341"/>
    <w:rsid w:val="00F85411"/>
    <w:rsid w:val="00F87C48"/>
    <w:rsid w:val="00F93EE2"/>
    <w:rsid w:val="00F94A55"/>
    <w:rsid w:val="00FA432B"/>
    <w:rsid w:val="00FA73EB"/>
    <w:rsid w:val="00FB0864"/>
    <w:rsid w:val="00FB19DB"/>
    <w:rsid w:val="00FB3E0E"/>
    <w:rsid w:val="00FB5338"/>
    <w:rsid w:val="00FE3D97"/>
    <w:rsid w:val="00FF35B4"/>
    <w:rsid w:val="00FF44A8"/>
    <w:rsid w:val="02921956"/>
    <w:rsid w:val="03126D81"/>
    <w:rsid w:val="034321D6"/>
    <w:rsid w:val="037E7D41"/>
    <w:rsid w:val="038A1E69"/>
    <w:rsid w:val="03B66504"/>
    <w:rsid w:val="07FF58E5"/>
    <w:rsid w:val="08F0070A"/>
    <w:rsid w:val="0A105BB1"/>
    <w:rsid w:val="0A635827"/>
    <w:rsid w:val="0AB067D0"/>
    <w:rsid w:val="0AC92FC0"/>
    <w:rsid w:val="0B2E5519"/>
    <w:rsid w:val="0B9E3927"/>
    <w:rsid w:val="0BD0037E"/>
    <w:rsid w:val="0CBE467B"/>
    <w:rsid w:val="0CC021A1"/>
    <w:rsid w:val="10582315"/>
    <w:rsid w:val="131F376E"/>
    <w:rsid w:val="13837789"/>
    <w:rsid w:val="13EB3FA7"/>
    <w:rsid w:val="13F617A7"/>
    <w:rsid w:val="143C1C0B"/>
    <w:rsid w:val="14F25809"/>
    <w:rsid w:val="156C1118"/>
    <w:rsid w:val="15E0651D"/>
    <w:rsid w:val="15EB4733"/>
    <w:rsid w:val="1644258F"/>
    <w:rsid w:val="168F3833"/>
    <w:rsid w:val="18461C09"/>
    <w:rsid w:val="1A43097D"/>
    <w:rsid w:val="1B245FF1"/>
    <w:rsid w:val="1CAB61AD"/>
    <w:rsid w:val="1CCE39BD"/>
    <w:rsid w:val="1E4A2212"/>
    <w:rsid w:val="1E9F35DC"/>
    <w:rsid w:val="1F845C8A"/>
    <w:rsid w:val="204A0C14"/>
    <w:rsid w:val="20E3151B"/>
    <w:rsid w:val="21A34113"/>
    <w:rsid w:val="21C62001"/>
    <w:rsid w:val="233D5EA2"/>
    <w:rsid w:val="23454BFB"/>
    <w:rsid w:val="239A3F95"/>
    <w:rsid w:val="23DC1928"/>
    <w:rsid w:val="253B75C0"/>
    <w:rsid w:val="272C4530"/>
    <w:rsid w:val="284512D8"/>
    <w:rsid w:val="284970BE"/>
    <w:rsid w:val="2971584D"/>
    <w:rsid w:val="2C163734"/>
    <w:rsid w:val="2C2F6C5B"/>
    <w:rsid w:val="2C732934"/>
    <w:rsid w:val="313C4787"/>
    <w:rsid w:val="31887AB3"/>
    <w:rsid w:val="31C74AB4"/>
    <w:rsid w:val="3239599B"/>
    <w:rsid w:val="323D48CA"/>
    <w:rsid w:val="3267118D"/>
    <w:rsid w:val="32F26CA9"/>
    <w:rsid w:val="335858DF"/>
    <w:rsid w:val="33774B00"/>
    <w:rsid w:val="337F0EBB"/>
    <w:rsid w:val="338D1533"/>
    <w:rsid w:val="33BD3E8D"/>
    <w:rsid w:val="34A01C20"/>
    <w:rsid w:val="35B5229C"/>
    <w:rsid w:val="37807D45"/>
    <w:rsid w:val="381B2168"/>
    <w:rsid w:val="397E3EE0"/>
    <w:rsid w:val="3AB143E9"/>
    <w:rsid w:val="3D51281E"/>
    <w:rsid w:val="3FC8440B"/>
    <w:rsid w:val="3FEB51AC"/>
    <w:rsid w:val="408A03D2"/>
    <w:rsid w:val="40BE2FFC"/>
    <w:rsid w:val="41033FED"/>
    <w:rsid w:val="41B2577E"/>
    <w:rsid w:val="42294FF0"/>
    <w:rsid w:val="429A07C3"/>
    <w:rsid w:val="43296A35"/>
    <w:rsid w:val="43F851E1"/>
    <w:rsid w:val="451D72EC"/>
    <w:rsid w:val="454B049A"/>
    <w:rsid w:val="45D63A33"/>
    <w:rsid w:val="45F813BF"/>
    <w:rsid w:val="469B0FAE"/>
    <w:rsid w:val="47405F0D"/>
    <w:rsid w:val="479954ED"/>
    <w:rsid w:val="491737F8"/>
    <w:rsid w:val="49883A05"/>
    <w:rsid w:val="4A635BBB"/>
    <w:rsid w:val="4ACF53D6"/>
    <w:rsid w:val="4ADF76BB"/>
    <w:rsid w:val="4B06354E"/>
    <w:rsid w:val="4B644064"/>
    <w:rsid w:val="4BC95DE3"/>
    <w:rsid w:val="4BD14343"/>
    <w:rsid w:val="4BE218A0"/>
    <w:rsid w:val="4C2630C7"/>
    <w:rsid w:val="4C406A42"/>
    <w:rsid w:val="4C975D73"/>
    <w:rsid w:val="4E710F72"/>
    <w:rsid w:val="4E8D1FA1"/>
    <w:rsid w:val="501D04CE"/>
    <w:rsid w:val="51EE6435"/>
    <w:rsid w:val="5200299A"/>
    <w:rsid w:val="52342BF7"/>
    <w:rsid w:val="52A03BD4"/>
    <w:rsid w:val="53195734"/>
    <w:rsid w:val="532A16EF"/>
    <w:rsid w:val="54FB51DA"/>
    <w:rsid w:val="553857AD"/>
    <w:rsid w:val="5662719C"/>
    <w:rsid w:val="58AE63FA"/>
    <w:rsid w:val="59E44380"/>
    <w:rsid w:val="5A281AE1"/>
    <w:rsid w:val="5ACC12DE"/>
    <w:rsid w:val="5AD07876"/>
    <w:rsid w:val="5BCE57BB"/>
    <w:rsid w:val="5C6C0922"/>
    <w:rsid w:val="5C843150"/>
    <w:rsid w:val="5D506DDA"/>
    <w:rsid w:val="5E631F59"/>
    <w:rsid w:val="5E8D3FB3"/>
    <w:rsid w:val="5F5B0FFC"/>
    <w:rsid w:val="5F724D3E"/>
    <w:rsid w:val="5F977ABF"/>
    <w:rsid w:val="601F4F1B"/>
    <w:rsid w:val="61F25ACE"/>
    <w:rsid w:val="624A76B8"/>
    <w:rsid w:val="62775FD3"/>
    <w:rsid w:val="63683E26"/>
    <w:rsid w:val="64DF660A"/>
    <w:rsid w:val="65166422"/>
    <w:rsid w:val="67DC2FF0"/>
    <w:rsid w:val="67F31335"/>
    <w:rsid w:val="6821251A"/>
    <w:rsid w:val="68AA7102"/>
    <w:rsid w:val="69014CB8"/>
    <w:rsid w:val="69BE3E7E"/>
    <w:rsid w:val="6ADA0C61"/>
    <w:rsid w:val="6B3B5FB2"/>
    <w:rsid w:val="6BAA5389"/>
    <w:rsid w:val="6C2F6884"/>
    <w:rsid w:val="6D716441"/>
    <w:rsid w:val="6D7A79CA"/>
    <w:rsid w:val="6FF9E366"/>
    <w:rsid w:val="725C51B7"/>
    <w:rsid w:val="764A76DD"/>
    <w:rsid w:val="771F0CBB"/>
    <w:rsid w:val="77CC4815"/>
    <w:rsid w:val="7869130D"/>
    <w:rsid w:val="79F96A09"/>
    <w:rsid w:val="7A8F7F06"/>
    <w:rsid w:val="7AA02113"/>
    <w:rsid w:val="7BA75723"/>
    <w:rsid w:val="7C6D0F22"/>
    <w:rsid w:val="7E8F153A"/>
    <w:rsid w:val="CEEFA1B1"/>
    <w:rsid w:val="F6633EF2"/>
    <w:rsid w:val="FFFD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0"/>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link w:val="22"/>
    <w:qFormat/>
    <w:uiPriority w:val="10"/>
    <w:pPr>
      <w:spacing w:before="120" w:after="120"/>
      <w:ind w:firstLine="200" w:firstLineChars="200"/>
      <w:jc w:val="left"/>
      <w:outlineLvl w:val="0"/>
    </w:pPr>
    <w:rPr>
      <w:rFonts w:asciiTheme="majorHAnsi" w:hAnsiTheme="majorHAnsi" w:cstheme="majorBidi"/>
      <w:bCs/>
      <w:szCs w:val="32"/>
    </w:rPr>
  </w:style>
  <w:style w:type="paragraph" w:styleId="9">
    <w:name w:val="annotation subject"/>
    <w:basedOn w:val="3"/>
    <w:next w:val="3"/>
    <w:link w:val="24"/>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脚 字符"/>
    <w:basedOn w:val="12"/>
    <w:link w:val="5"/>
    <w:qFormat/>
    <w:uiPriority w:val="99"/>
    <w:rPr>
      <w:sz w:val="18"/>
      <w:szCs w:val="18"/>
    </w:rPr>
  </w:style>
  <w:style w:type="paragraph" w:customStyle="1" w:styleId="17">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table" w:customStyle="1" w:styleId="18">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页眉 字符"/>
    <w:basedOn w:val="12"/>
    <w:link w:val="6"/>
    <w:qFormat/>
    <w:uiPriority w:val="99"/>
    <w:rPr>
      <w:sz w:val="18"/>
      <w:szCs w:val="18"/>
    </w:rPr>
  </w:style>
  <w:style w:type="character" w:customStyle="1" w:styleId="20">
    <w:name w:val="批注框文本 字符"/>
    <w:basedOn w:val="12"/>
    <w:link w:val="4"/>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标题 字符"/>
    <w:basedOn w:val="12"/>
    <w:link w:val="8"/>
    <w:qFormat/>
    <w:uiPriority w:val="10"/>
    <w:rPr>
      <w:rFonts w:asciiTheme="majorHAnsi" w:hAnsiTheme="majorHAnsi" w:cstheme="majorBidi"/>
      <w:bCs/>
      <w:szCs w:val="32"/>
    </w:rPr>
  </w:style>
  <w:style w:type="character" w:customStyle="1" w:styleId="23">
    <w:name w:val="批注文字 字符"/>
    <w:basedOn w:val="12"/>
    <w:link w:val="3"/>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6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4456-92EA-4044-827D-0B9D73C4EC90}">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4905</Words>
  <Characters>5194</Characters>
  <Lines>52</Lines>
  <Paragraphs>14</Paragraphs>
  <TotalTime>4</TotalTime>
  <ScaleCrop>false</ScaleCrop>
  <LinksUpToDate>false</LinksUpToDate>
  <CharactersWithSpaces>5223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2023-05-06T03:21:00Z</dcterms:created>
  <dc:creator>mao olivia</dc:creator>
  <cp:lastModifiedBy>Z</cp:lastModifiedBy>
  <cp:lastPrinted>2020-06-19T09:05:00Z</cp:lastPrinted>
  <dcterms:modified xsi:type="dcterms:W3CDTF">2025-07-31T05:24:22Z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eyJoZGlkIjoiZmY4MTAyOGUxMjRhZDJjMzg1MjZlYzZkNzk5NmI3ZWQiLCJ1c2VySWQiOiIzODI0ODA0MDcifQ==</vt:lpwstr>
  </property>
  <property fmtid="{D5CDD505-2E9C-101B-9397-08002B2CF9AE}" pid="4" name="ICV">
    <vt:lpwstr>BEB4A39D87D74692B819E220F31EAAB6_12</vt:lpwstr>
  </property>
</Properties>
</file>