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E89E6">
      <w:pPr>
        <w:spacing w:before="156" w:beforeLines="50" w:after="156" w:afterLines="50" w:line="400" w:lineRule="exact"/>
        <w:rPr>
          <w:rFonts w:hint="eastAsia" w:asciiTheme="minorEastAsia" w:hAnsiTheme="minorEastAsia" w:eastAsiaTheme="minorEastAsia" w:cstheme="minorEastAsia"/>
          <w:bCs/>
          <w:iCs/>
          <w:color w:val="000000"/>
          <w:sz w:val="24"/>
        </w:rPr>
      </w:pPr>
      <w:r>
        <w:rPr>
          <w:rFonts w:hAnsi="宋体"/>
          <w:bCs/>
          <w:iCs/>
          <w:color w:val="000000"/>
          <w:sz w:val="24"/>
        </w:rPr>
        <w:t>证券代码：</w:t>
      </w:r>
      <w:r>
        <w:rPr>
          <w:rFonts w:hint="eastAsia" w:asciiTheme="minorEastAsia" w:hAnsiTheme="minorEastAsia" w:eastAsiaTheme="minorEastAsia" w:cstheme="minorEastAsia"/>
          <w:color w:val="000000"/>
          <w:sz w:val="24"/>
        </w:rPr>
        <w:t xml:space="preserve">600141                             </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bCs/>
          <w:iCs/>
          <w:color w:val="000000"/>
          <w:sz w:val="24"/>
        </w:rPr>
        <w:t>证券简称：</w:t>
      </w:r>
      <w:r>
        <w:rPr>
          <w:rFonts w:hint="eastAsia" w:asciiTheme="minorEastAsia" w:hAnsiTheme="minorEastAsia" w:eastAsiaTheme="minorEastAsia" w:cstheme="minorEastAsia"/>
          <w:color w:val="000000"/>
          <w:sz w:val="24"/>
        </w:rPr>
        <w:t>兴发集团</w:t>
      </w:r>
    </w:p>
    <w:p w14:paraId="3D9BE1D4">
      <w:pPr>
        <w:spacing w:before="156" w:beforeLines="50" w:after="156" w:afterLines="50" w:line="400" w:lineRule="exact"/>
        <w:rPr>
          <w:rFonts w:hint="default" w:eastAsia="宋体"/>
          <w:bCs/>
          <w:iCs/>
          <w:color w:val="000000"/>
          <w:sz w:val="24"/>
          <w:lang w:val="en-US" w:eastAsia="zh-CN"/>
        </w:rPr>
      </w:pPr>
      <w:r>
        <w:rPr>
          <w:rFonts w:hint="eastAsia" w:asciiTheme="minorEastAsia" w:hAnsiTheme="minorEastAsia" w:eastAsiaTheme="minorEastAsia" w:cstheme="minorEastAsia"/>
          <w:bCs/>
          <w:iCs/>
          <w:color w:val="000000"/>
          <w:sz w:val="24"/>
          <w:lang w:val="en-US" w:eastAsia="zh-CN"/>
        </w:rPr>
        <w:t>转债</w:t>
      </w:r>
      <w:r>
        <w:rPr>
          <w:rFonts w:hint="eastAsia" w:asciiTheme="minorEastAsia" w:hAnsiTheme="minorEastAsia" w:eastAsiaTheme="minorEastAsia" w:cstheme="minorEastAsia"/>
          <w:bCs/>
          <w:iCs/>
          <w:color w:val="000000"/>
          <w:sz w:val="24"/>
        </w:rPr>
        <w:t>代码：</w:t>
      </w:r>
      <w:r>
        <w:rPr>
          <w:rFonts w:hint="eastAsia" w:asciiTheme="minorEastAsia" w:hAnsiTheme="minorEastAsia" w:eastAsiaTheme="minorEastAsia" w:cstheme="minorEastAsia"/>
          <w:bCs/>
          <w:iCs/>
          <w:color w:val="000000"/>
          <w:sz w:val="24"/>
          <w:lang w:val="en-US" w:eastAsia="zh-CN"/>
        </w:rPr>
        <w:t>110089</w:t>
      </w:r>
      <w:r>
        <w:rPr>
          <w:color w:val="000000"/>
          <w:sz w:val="24"/>
        </w:rPr>
        <w:t xml:space="preserve">                             </w:t>
      </w:r>
      <w:r>
        <w:rPr>
          <w:rFonts w:hint="eastAsia"/>
          <w:color w:val="000000"/>
          <w:sz w:val="24"/>
          <w:lang w:val="en-US" w:eastAsia="zh-CN"/>
        </w:rPr>
        <w:t xml:space="preserve">               转债</w:t>
      </w:r>
      <w:r>
        <w:rPr>
          <w:rFonts w:hAnsi="宋体"/>
          <w:bCs/>
          <w:iCs/>
          <w:color w:val="000000"/>
          <w:sz w:val="24"/>
        </w:rPr>
        <w:t>简称：</w:t>
      </w:r>
      <w:r>
        <w:rPr>
          <w:rFonts w:hint="eastAsia" w:hAnsi="宋体"/>
          <w:bCs/>
          <w:iCs/>
          <w:color w:val="000000"/>
          <w:sz w:val="24"/>
          <w:lang w:val="en-US" w:eastAsia="zh-CN"/>
        </w:rPr>
        <w:t>兴发转债</w:t>
      </w:r>
    </w:p>
    <w:p w14:paraId="68019A1A">
      <w:pPr>
        <w:spacing w:before="156" w:beforeLines="50" w:after="156" w:afterLines="50" w:line="400" w:lineRule="exact"/>
        <w:jc w:val="center"/>
        <w:rPr>
          <w:rFonts w:hint="default" w:ascii="宋体" w:hAnsi="宋体"/>
          <w:b/>
          <w:bCs/>
          <w:iCs/>
          <w:color w:val="000000"/>
          <w:sz w:val="32"/>
          <w:szCs w:val="32"/>
        </w:rPr>
      </w:pPr>
    </w:p>
    <w:p w14:paraId="78E0B449">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湖北兴发化工集团股份有限公司</w:t>
      </w:r>
      <w:r>
        <w:rPr>
          <w:rFonts w:hint="eastAsia" w:ascii="宋体" w:hAnsi="宋体"/>
          <w:b/>
          <w:bCs/>
          <w:iCs/>
          <w:color w:val="000000"/>
          <w:sz w:val="32"/>
          <w:szCs w:val="32"/>
        </w:rPr>
        <w:t>投资者关系活动记录表</w:t>
      </w:r>
    </w:p>
    <w:p w14:paraId="331A7E3B">
      <w:pPr>
        <w:spacing w:line="400" w:lineRule="exact"/>
        <w:jc w:val="both"/>
        <w:rPr>
          <w:rFonts w:hint="default" w:eastAsia="宋体"/>
          <w:bCs/>
          <w:iCs/>
          <w:color w:val="000000"/>
          <w:sz w:val="24"/>
          <w:lang w:val="en-US" w:eastAsia="zh-CN"/>
        </w:rPr>
      </w:pPr>
      <w:r>
        <w:rPr>
          <w:rFonts w:hint="eastAsia" w:ascii="宋体" w:hAnsi="宋体"/>
          <w:bCs/>
          <w:iCs/>
          <w:color w:val="000000"/>
          <w:sz w:val="24"/>
          <w:lang w:val="en-US" w:eastAsia="zh-CN"/>
        </w:rPr>
        <w:t>编号：2025-002</w:t>
      </w:r>
    </w:p>
    <w:tbl>
      <w:tblPr>
        <w:tblStyle w:val="6"/>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7935"/>
      </w:tblGrid>
      <w:tr w14:paraId="7277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14:paraId="206D3F46">
            <w:pPr>
              <w:spacing w:line="420" w:lineRule="exact"/>
              <w:rPr>
                <w:bCs/>
                <w:iCs/>
                <w:color w:val="000000"/>
                <w:sz w:val="24"/>
              </w:rPr>
            </w:pPr>
            <w:r>
              <w:rPr>
                <w:rFonts w:hAnsi="宋体"/>
                <w:bCs/>
                <w:iCs/>
                <w:color w:val="000000"/>
                <w:kern w:val="0"/>
                <w:sz w:val="24"/>
              </w:rPr>
              <w:t>投资者关系活动类别</w:t>
            </w:r>
          </w:p>
        </w:tc>
        <w:tc>
          <w:tcPr>
            <w:tcW w:w="7935" w:type="dxa"/>
            <w:tcBorders>
              <w:top w:val="single" w:color="auto" w:sz="4" w:space="0"/>
              <w:left w:val="single" w:color="auto" w:sz="4" w:space="0"/>
              <w:bottom w:val="single" w:color="auto" w:sz="4" w:space="0"/>
              <w:right w:val="single" w:color="auto" w:sz="4" w:space="0"/>
            </w:tcBorders>
            <w:noWrap w:val="0"/>
            <w:vAlign w:val="top"/>
          </w:tcPr>
          <w:p w14:paraId="0D4E17E1">
            <w:pPr>
              <w:spacing w:line="420" w:lineRule="exact"/>
              <w:rPr>
                <w:bCs/>
                <w:iCs/>
                <w:color w:val="000000"/>
                <w:sz w:val="24"/>
              </w:rPr>
            </w:pPr>
            <w:r>
              <w:rPr>
                <w:rFonts w:hint="eastAsia"/>
                <w:bCs/>
                <w:iCs/>
                <w:color w:val="000000"/>
                <w:kern w:val="0"/>
                <w:sz w:val="24"/>
                <w:lang w:eastAsia="zh-CN"/>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409F943A">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rFonts w:hint="eastAsia"/>
                <w:bCs/>
                <w:iCs/>
                <w:color w:val="000000"/>
                <w:kern w:val="0"/>
                <w:sz w:val="24"/>
              </w:rPr>
              <w:t xml:space="preserve"> </w:t>
            </w:r>
            <w:r>
              <w:rPr>
                <w:bCs/>
                <w:iCs/>
                <w:color w:val="000000"/>
                <w:kern w:val="0"/>
                <w:sz w:val="24"/>
              </w:rPr>
              <w:t>□</w:t>
            </w:r>
            <w:r>
              <w:rPr>
                <w:rFonts w:hAnsi="宋体"/>
                <w:kern w:val="0"/>
                <w:sz w:val="24"/>
              </w:rPr>
              <w:t>业绩说明会</w:t>
            </w:r>
          </w:p>
          <w:p w14:paraId="314A6BB2">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rFonts w:hint="eastAsia"/>
                <w:kern w:val="0"/>
                <w:sz w:val="24"/>
                <w:lang w:val="en-US" w:eastAsia="zh-CN"/>
              </w:rPr>
              <w:t xml:space="preserve"> </w:t>
            </w:r>
            <w:r>
              <w:rPr>
                <w:kern w:val="0"/>
                <w:sz w:val="24"/>
              </w:rPr>
              <w:t xml:space="preserve"> </w:t>
            </w:r>
            <w:r>
              <w:rPr>
                <w:rFonts w:hint="eastAsia"/>
                <w:bCs/>
                <w:iCs/>
                <w:color w:val="000000"/>
                <w:kern w:val="0"/>
                <w:sz w:val="24"/>
                <w:lang w:eastAsia="zh-CN"/>
              </w:rPr>
              <w:t>☑</w:t>
            </w:r>
            <w:r>
              <w:rPr>
                <w:rFonts w:hint="eastAsia"/>
                <w:bCs/>
                <w:iCs/>
                <w:color w:val="000000"/>
                <w:kern w:val="0"/>
                <w:sz w:val="24"/>
              </w:rPr>
              <w:t xml:space="preserve"> </w:t>
            </w:r>
            <w:r>
              <w:rPr>
                <w:rFonts w:hAnsi="宋体"/>
                <w:kern w:val="0"/>
                <w:sz w:val="24"/>
              </w:rPr>
              <w:t>路演活动</w:t>
            </w:r>
          </w:p>
          <w:p w14:paraId="24F6DB7E">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39D529BD">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14:paraId="7377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14:paraId="20730DE6">
            <w:pPr>
              <w:spacing w:line="420" w:lineRule="exact"/>
              <w:rPr>
                <w:bCs/>
                <w:iCs/>
                <w:color w:val="000000"/>
                <w:kern w:val="0"/>
                <w:sz w:val="24"/>
              </w:rPr>
            </w:pPr>
            <w:r>
              <w:rPr>
                <w:rFonts w:hAnsi="宋体"/>
                <w:bCs/>
                <w:iCs/>
                <w:color w:val="000000"/>
                <w:kern w:val="0"/>
                <w:sz w:val="24"/>
              </w:rPr>
              <w:t>参与单位名称及人员姓名</w:t>
            </w:r>
          </w:p>
        </w:tc>
        <w:tc>
          <w:tcPr>
            <w:tcW w:w="7935" w:type="dxa"/>
            <w:tcBorders>
              <w:top w:val="single" w:color="auto" w:sz="4" w:space="0"/>
              <w:left w:val="single" w:color="auto" w:sz="4" w:space="0"/>
              <w:bottom w:val="single" w:color="auto" w:sz="4" w:space="0"/>
              <w:right w:val="single" w:color="auto" w:sz="4" w:space="0"/>
            </w:tcBorders>
            <w:shd w:val="clear" w:color="auto" w:fill="auto"/>
            <w:noWrap w:val="0"/>
            <w:vAlign w:val="bottom"/>
          </w:tcPr>
          <w:p w14:paraId="0542391C">
            <w:pPr>
              <w:spacing w:line="420" w:lineRule="exact"/>
              <w:rPr>
                <w:rFonts w:hint="default" w:ascii="宋体" w:hAnsi="宋体" w:eastAsia="宋体"/>
                <w:sz w:val="24"/>
                <w:lang w:val="en-US" w:eastAsia="zh-CN"/>
              </w:rPr>
            </w:pPr>
            <w:r>
              <w:rPr>
                <w:rFonts w:hint="default" w:ascii="宋体" w:hAnsi="宋体"/>
                <w:sz w:val="24"/>
                <w:lang w:val="en-US" w:eastAsia="zh-CN"/>
              </w:rPr>
              <w:t>汇添富基金、太保资产、浦银安盛基金、申万菱信基金、路博迈基金、太平资产、融通基金、西部利得基金、华夏基金、华宝基金、国联安基金、交银施罗德基金、易方达基金、汇丰晋信基金、天弘基金、浙商基金、鹏华基金、前海开源基金、诺安基金、宏利基金、兴证全球基金、富国基金、华安基金、摩根基金、中欧基金、永赢基金</w:t>
            </w:r>
            <w:r>
              <w:rPr>
                <w:rFonts w:hint="eastAsia" w:ascii="宋体" w:hAnsi="宋体"/>
                <w:sz w:val="24"/>
                <w:lang w:val="en-US" w:eastAsia="zh-CN"/>
              </w:rPr>
              <w:t>、泉果基金、鹏扬基金、渊泓投资、聚鸣投资、广发自营、煜德投资、中信证券、华西证券、山东嘉信、华泰化工、方正证券、太和致远私募基金、国海证券、易米基金、国联民生基金、复胜资产、鹏扬基金、中邮基金、弘尚资产、大家保险、嘉实基金、华商基金等</w:t>
            </w:r>
          </w:p>
        </w:tc>
      </w:tr>
      <w:tr w14:paraId="3A2A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14:paraId="67F17167">
            <w:pPr>
              <w:spacing w:line="420" w:lineRule="exact"/>
              <w:rPr>
                <w:rFonts w:hint="eastAsia"/>
                <w:bCs/>
                <w:iCs/>
                <w:color w:val="000000"/>
                <w:kern w:val="2"/>
                <w:sz w:val="24"/>
              </w:rPr>
            </w:pPr>
            <w:r>
              <w:rPr>
                <w:rFonts w:hint="eastAsia" w:hAnsi="Times New Roman"/>
                <w:bCs/>
                <w:iCs/>
                <w:color w:val="000000"/>
                <w:kern w:val="2"/>
                <w:sz w:val="24"/>
              </w:rPr>
              <w:t>时间</w:t>
            </w:r>
          </w:p>
        </w:tc>
        <w:tc>
          <w:tcPr>
            <w:tcW w:w="7935" w:type="dxa"/>
            <w:tcBorders>
              <w:top w:val="single" w:color="auto" w:sz="4" w:space="0"/>
              <w:left w:val="single" w:color="auto" w:sz="4" w:space="0"/>
              <w:bottom w:val="single" w:color="auto" w:sz="4" w:space="0"/>
              <w:right w:val="single" w:color="auto" w:sz="4" w:space="0"/>
            </w:tcBorders>
            <w:noWrap w:val="0"/>
            <w:vAlign w:val="top"/>
          </w:tcPr>
          <w:p w14:paraId="475E1067">
            <w:pPr>
              <w:spacing w:line="420" w:lineRule="exact"/>
              <w:rPr>
                <w:rFonts w:hint="eastAsia"/>
                <w:bCs/>
                <w:iCs/>
                <w:color w:val="000000"/>
                <w:sz w:val="24"/>
              </w:rPr>
            </w:pPr>
            <w:r>
              <w:rPr>
                <w:rFonts w:hint="eastAsia"/>
                <w:bCs/>
                <w:iCs/>
                <w:color w:val="000000"/>
                <w:sz w:val="24"/>
              </w:rPr>
              <w:t>2025年</w:t>
            </w:r>
            <w:r>
              <w:rPr>
                <w:rFonts w:hint="eastAsia"/>
                <w:bCs/>
                <w:iCs/>
                <w:color w:val="000000"/>
                <w:sz w:val="24"/>
                <w:lang w:val="en-US" w:eastAsia="zh-CN"/>
              </w:rPr>
              <w:t>7</w:t>
            </w:r>
            <w:r>
              <w:rPr>
                <w:rFonts w:hint="eastAsia"/>
                <w:bCs/>
                <w:iCs/>
                <w:color w:val="000000"/>
                <w:sz w:val="24"/>
              </w:rPr>
              <w:t>月</w:t>
            </w:r>
            <w:r>
              <w:rPr>
                <w:rFonts w:hint="eastAsia"/>
                <w:bCs/>
                <w:iCs/>
                <w:color w:val="000000"/>
                <w:sz w:val="24"/>
                <w:lang w:val="en-US" w:eastAsia="zh-CN"/>
              </w:rPr>
              <w:t>14</w:t>
            </w:r>
            <w:r>
              <w:rPr>
                <w:rFonts w:hint="eastAsia"/>
                <w:bCs/>
                <w:iCs/>
                <w:color w:val="000000"/>
                <w:sz w:val="24"/>
              </w:rPr>
              <w:t>日</w:t>
            </w:r>
          </w:p>
          <w:p w14:paraId="1A3C1901">
            <w:pPr>
              <w:spacing w:line="420" w:lineRule="exact"/>
              <w:rPr>
                <w:rFonts w:hint="eastAsia"/>
                <w:bCs/>
                <w:iCs/>
                <w:color w:val="000000"/>
                <w:sz w:val="24"/>
                <w:lang w:val="en-US" w:eastAsia="zh-CN"/>
              </w:rPr>
            </w:pPr>
            <w:r>
              <w:rPr>
                <w:rFonts w:hint="eastAsia"/>
                <w:bCs/>
                <w:iCs/>
                <w:color w:val="000000"/>
                <w:sz w:val="24"/>
                <w:lang w:val="en-US" w:eastAsia="zh-CN"/>
              </w:rPr>
              <w:t>2025年7月15日</w:t>
            </w:r>
          </w:p>
          <w:p w14:paraId="6F54BF17">
            <w:pPr>
              <w:spacing w:line="420" w:lineRule="exact"/>
              <w:rPr>
                <w:rFonts w:hint="eastAsia"/>
                <w:bCs/>
                <w:iCs/>
                <w:color w:val="000000"/>
                <w:sz w:val="24"/>
                <w:lang w:val="en-US" w:eastAsia="zh-CN"/>
              </w:rPr>
            </w:pPr>
            <w:r>
              <w:rPr>
                <w:rFonts w:hint="eastAsia"/>
                <w:bCs/>
                <w:iCs/>
                <w:color w:val="000000"/>
                <w:sz w:val="24"/>
                <w:lang w:val="en-US" w:eastAsia="zh-CN"/>
              </w:rPr>
              <w:t>2025年7月16日</w:t>
            </w:r>
          </w:p>
          <w:p w14:paraId="77EB02BE">
            <w:pPr>
              <w:spacing w:line="420" w:lineRule="exact"/>
              <w:rPr>
                <w:rFonts w:hint="eastAsia"/>
                <w:bCs/>
                <w:iCs/>
                <w:color w:val="000000"/>
                <w:sz w:val="24"/>
                <w:lang w:val="en-US" w:eastAsia="zh-CN"/>
              </w:rPr>
            </w:pPr>
            <w:r>
              <w:rPr>
                <w:rFonts w:hint="eastAsia"/>
                <w:bCs/>
                <w:iCs/>
                <w:color w:val="000000"/>
                <w:sz w:val="24"/>
                <w:lang w:val="en-US" w:eastAsia="zh-CN"/>
              </w:rPr>
              <w:t>2025年7月17日</w:t>
            </w:r>
          </w:p>
          <w:p w14:paraId="1ED26A09">
            <w:pPr>
              <w:spacing w:line="420" w:lineRule="exact"/>
              <w:rPr>
                <w:rFonts w:hint="eastAsia"/>
                <w:bCs/>
                <w:iCs/>
                <w:color w:val="000000"/>
                <w:sz w:val="24"/>
              </w:rPr>
            </w:pPr>
            <w:r>
              <w:rPr>
                <w:rFonts w:hint="eastAsia"/>
                <w:bCs/>
                <w:iCs/>
                <w:color w:val="000000"/>
                <w:sz w:val="24"/>
                <w:lang w:val="en-US" w:eastAsia="zh-CN"/>
              </w:rPr>
              <w:t>2025年7月18日</w:t>
            </w:r>
          </w:p>
          <w:p w14:paraId="758D6C56">
            <w:pPr>
              <w:spacing w:line="420" w:lineRule="exact"/>
              <w:rPr>
                <w:rFonts w:hint="eastAsia"/>
                <w:bCs/>
                <w:iCs/>
                <w:color w:val="000000"/>
                <w:sz w:val="24"/>
                <w:lang w:val="en-US" w:eastAsia="zh-CN"/>
              </w:rPr>
            </w:pPr>
            <w:r>
              <w:rPr>
                <w:rFonts w:hint="eastAsia"/>
                <w:bCs/>
                <w:iCs/>
                <w:color w:val="000000"/>
                <w:sz w:val="24"/>
                <w:lang w:val="en-US" w:eastAsia="zh-CN"/>
              </w:rPr>
              <w:t>2025年7月24日</w:t>
            </w:r>
          </w:p>
          <w:p w14:paraId="051C10A4">
            <w:pPr>
              <w:spacing w:line="420" w:lineRule="exact"/>
              <w:rPr>
                <w:rFonts w:hint="eastAsia"/>
                <w:bCs/>
                <w:iCs/>
                <w:color w:val="000000"/>
                <w:sz w:val="24"/>
                <w:lang w:val="en-US" w:eastAsia="zh-CN"/>
              </w:rPr>
            </w:pPr>
            <w:r>
              <w:rPr>
                <w:rFonts w:hint="eastAsia"/>
                <w:bCs/>
                <w:iCs/>
                <w:color w:val="000000"/>
                <w:sz w:val="24"/>
                <w:lang w:val="en-US" w:eastAsia="zh-CN"/>
              </w:rPr>
              <w:t>2025年7月25日</w:t>
            </w:r>
          </w:p>
          <w:p w14:paraId="3B843844">
            <w:pPr>
              <w:spacing w:line="420" w:lineRule="exact"/>
              <w:rPr>
                <w:rFonts w:hint="eastAsia"/>
                <w:bCs/>
                <w:iCs/>
                <w:color w:val="000000"/>
                <w:sz w:val="24"/>
                <w:lang w:val="en-US" w:eastAsia="zh-CN"/>
              </w:rPr>
            </w:pPr>
            <w:r>
              <w:rPr>
                <w:rFonts w:hint="eastAsia"/>
                <w:bCs/>
                <w:iCs/>
                <w:color w:val="000000"/>
                <w:sz w:val="24"/>
                <w:lang w:val="en-US" w:eastAsia="zh-CN"/>
              </w:rPr>
              <w:t>2025年7月28日</w:t>
            </w:r>
          </w:p>
          <w:p w14:paraId="2190636F">
            <w:pPr>
              <w:spacing w:line="420" w:lineRule="exact"/>
              <w:rPr>
                <w:rFonts w:hint="default"/>
                <w:bCs/>
                <w:iCs/>
                <w:color w:val="000000"/>
                <w:sz w:val="24"/>
                <w:lang w:val="en-US" w:eastAsia="zh-CN"/>
              </w:rPr>
            </w:pPr>
            <w:r>
              <w:rPr>
                <w:rFonts w:hint="eastAsia"/>
                <w:bCs/>
                <w:iCs/>
                <w:color w:val="000000"/>
                <w:sz w:val="24"/>
                <w:lang w:val="en-US" w:eastAsia="zh-CN"/>
              </w:rPr>
              <w:t>2025年7月29日</w:t>
            </w:r>
          </w:p>
        </w:tc>
      </w:tr>
      <w:tr w14:paraId="1D79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14:paraId="784FDF19">
            <w:pPr>
              <w:spacing w:line="420" w:lineRule="exact"/>
              <w:rPr>
                <w:bCs/>
                <w:iCs/>
                <w:color w:val="000000"/>
                <w:kern w:val="0"/>
                <w:sz w:val="24"/>
              </w:rPr>
            </w:pPr>
            <w:r>
              <w:rPr>
                <w:rFonts w:hAnsi="宋体"/>
                <w:bCs/>
                <w:iCs/>
                <w:color w:val="000000"/>
                <w:kern w:val="0"/>
                <w:sz w:val="24"/>
              </w:rPr>
              <w:t>地点</w:t>
            </w:r>
          </w:p>
        </w:tc>
        <w:tc>
          <w:tcPr>
            <w:tcW w:w="7935" w:type="dxa"/>
            <w:tcBorders>
              <w:top w:val="single" w:color="auto" w:sz="4" w:space="0"/>
              <w:left w:val="single" w:color="auto" w:sz="4" w:space="0"/>
              <w:bottom w:val="single" w:color="auto" w:sz="4" w:space="0"/>
              <w:right w:val="single" w:color="auto" w:sz="4" w:space="0"/>
            </w:tcBorders>
            <w:noWrap w:val="0"/>
            <w:vAlign w:val="top"/>
          </w:tcPr>
          <w:p w14:paraId="14732363">
            <w:pPr>
              <w:spacing w:line="420" w:lineRule="exact"/>
              <w:rPr>
                <w:rFonts w:hint="default" w:eastAsia="宋体"/>
                <w:bCs/>
                <w:iCs/>
                <w:color w:val="000000"/>
                <w:sz w:val="24"/>
                <w:lang w:val="en-US" w:eastAsia="zh-CN"/>
              </w:rPr>
            </w:pPr>
            <w:r>
              <w:rPr>
                <w:rFonts w:hint="eastAsia"/>
                <w:bCs/>
                <w:iCs/>
                <w:color w:val="000000"/>
                <w:sz w:val="24"/>
                <w:lang w:val="en-US" w:eastAsia="zh-CN"/>
              </w:rPr>
              <w:t>现场、线上</w:t>
            </w:r>
          </w:p>
        </w:tc>
      </w:tr>
      <w:tr w14:paraId="5112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14:paraId="5FCDB002">
            <w:pPr>
              <w:spacing w:line="420" w:lineRule="exact"/>
              <w:rPr>
                <w:bCs/>
                <w:iCs/>
                <w:color w:val="000000"/>
                <w:kern w:val="0"/>
                <w:sz w:val="24"/>
              </w:rPr>
            </w:pPr>
            <w:r>
              <w:rPr>
                <w:rFonts w:hAnsi="宋体"/>
                <w:bCs/>
                <w:iCs/>
                <w:color w:val="000000"/>
                <w:kern w:val="0"/>
                <w:sz w:val="24"/>
              </w:rPr>
              <w:t>上市公司接待人员姓名</w:t>
            </w:r>
          </w:p>
        </w:tc>
        <w:tc>
          <w:tcPr>
            <w:tcW w:w="7935" w:type="dxa"/>
            <w:tcBorders>
              <w:top w:val="single" w:color="auto" w:sz="4" w:space="0"/>
              <w:left w:val="single" w:color="auto" w:sz="4" w:space="0"/>
              <w:bottom w:val="single" w:color="auto" w:sz="4" w:space="0"/>
              <w:right w:val="single" w:color="auto" w:sz="4" w:space="0"/>
            </w:tcBorders>
            <w:noWrap w:val="0"/>
            <w:vAlign w:val="center"/>
          </w:tcPr>
          <w:p w14:paraId="4CD7617D">
            <w:pPr>
              <w:spacing w:line="420" w:lineRule="exact"/>
              <w:rPr>
                <w:rFonts w:hint="default" w:ascii="宋体" w:hAnsi="宋体"/>
                <w:bCs/>
                <w:sz w:val="24"/>
              </w:rPr>
            </w:pPr>
            <w:r>
              <w:rPr>
                <w:rFonts w:hint="default" w:ascii="宋体" w:hAnsi="宋体"/>
                <w:bCs/>
                <w:sz w:val="24"/>
              </w:rPr>
              <w:t>董事会秘书鲍伯颖</w:t>
            </w:r>
          </w:p>
        </w:tc>
      </w:tr>
      <w:tr w14:paraId="110E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center"/>
          </w:tcPr>
          <w:p w14:paraId="22F94934">
            <w:pPr>
              <w:spacing w:line="420" w:lineRule="exact"/>
              <w:rPr>
                <w:bCs/>
                <w:iCs/>
                <w:color w:val="000000"/>
                <w:kern w:val="0"/>
                <w:sz w:val="24"/>
              </w:rPr>
            </w:pPr>
            <w:r>
              <w:rPr>
                <w:rFonts w:hAnsi="宋体"/>
                <w:bCs/>
                <w:iCs/>
                <w:color w:val="000000"/>
                <w:kern w:val="0"/>
                <w:sz w:val="24"/>
              </w:rPr>
              <w:t>投资者关系活动主要内容介绍</w:t>
            </w:r>
          </w:p>
          <w:p w14:paraId="4910B35D">
            <w:pPr>
              <w:spacing w:line="420" w:lineRule="exact"/>
              <w:rPr>
                <w:bCs/>
                <w:iCs/>
                <w:color w:val="000000"/>
                <w:sz w:val="24"/>
              </w:rPr>
            </w:pPr>
          </w:p>
        </w:tc>
        <w:tc>
          <w:tcPr>
            <w:tcW w:w="7935" w:type="dxa"/>
            <w:tcBorders>
              <w:top w:val="single" w:color="auto" w:sz="4" w:space="0"/>
              <w:left w:val="single" w:color="auto" w:sz="4" w:space="0"/>
              <w:bottom w:val="single" w:color="auto" w:sz="4" w:space="0"/>
              <w:right w:val="single" w:color="auto" w:sz="4" w:space="0"/>
            </w:tcBorders>
            <w:noWrap w:val="0"/>
            <w:vAlign w:val="top"/>
          </w:tcPr>
          <w:p w14:paraId="642C4383">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46" w:firstLineChars="200"/>
              <w:textAlignment w:val="auto"/>
              <w:rPr>
                <w:rFonts w:hint="eastAsia" w:ascii="宋体" w:hAnsi="宋体" w:eastAsia="宋体"/>
                <w:b/>
                <w:sz w:val="24"/>
                <w:szCs w:val="24"/>
                <w:lang w:eastAsia="zh-CN"/>
              </w:rPr>
            </w:pPr>
            <w:r>
              <w:rPr>
                <w:rFonts w:hint="eastAsia" w:ascii="宋体" w:hAnsi="宋体" w:eastAsia="宋体" w:cs="Times New Roman"/>
                <w:b/>
                <w:kern w:val="2"/>
                <w:sz w:val="24"/>
                <w:szCs w:val="24"/>
                <w:lang w:val="en-US" w:eastAsia="zh-CN" w:bidi="ar-SA"/>
              </w:rPr>
              <w:t>1、</w:t>
            </w:r>
            <w:r>
              <w:rPr>
                <w:rFonts w:hint="eastAsia" w:ascii="宋体" w:hAnsi="宋体"/>
                <w:b/>
                <w:sz w:val="24"/>
                <w:szCs w:val="24"/>
                <w:lang w:val="en-US" w:eastAsia="zh-CN"/>
              </w:rPr>
              <w:t>如何看待当前草甘膦的市场行情</w:t>
            </w:r>
            <w:r>
              <w:rPr>
                <w:rFonts w:hint="eastAsia" w:ascii="宋体" w:hAnsi="宋体"/>
                <w:b/>
                <w:sz w:val="24"/>
                <w:szCs w:val="24"/>
                <w:lang w:eastAsia="zh-CN"/>
              </w:rPr>
              <w:t>？</w:t>
            </w:r>
          </w:p>
          <w:p w14:paraId="16B3BDDD">
            <w:pPr>
              <w:pStyle w:val="8"/>
              <w:spacing w:line="460" w:lineRule="exact"/>
              <w:ind w:left="-1" w:leftChars="-1" w:firstLine="480"/>
              <w:rPr>
                <w:rFonts w:hint="default" w:ascii="宋体" w:hAnsi="宋体" w:eastAsia="宋体"/>
                <w:bCs/>
                <w:iCs/>
                <w:color w:val="000000"/>
                <w:sz w:val="24"/>
                <w:lang w:val="en-US" w:eastAsia="zh-CN"/>
              </w:rPr>
            </w:pPr>
            <w:r>
              <w:rPr>
                <w:rFonts w:hint="eastAsia" w:ascii="宋体" w:hAnsi="宋体" w:eastAsia="宋体"/>
                <w:bCs/>
                <w:iCs/>
                <w:color w:val="000000"/>
                <w:sz w:val="24"/>
                <w:lang w:val="en-US" w:eastAsia="zh-CN"/>
              </w:rPr>
              <w:t>答：</w:t>
            </w:r>
            <w:r>
              <w:rPr>
                <w:rFonts w:hint="default" w:ascii="宋体" w:hAnsi="宋体" w:eastAsia="宋体"/>
                <w:bCs/>
                <w:iCs/>
                <w:color w:val="000000"/>
                <w:sz w:val="24"/>
                <w:lang w:val="en-US" w:eastAsia="zh-CN"/>
              </w:rPr>
              <w:t>感谢您对公司的关注！</w:t>
            </w:r>
            <w:r>
              <w:rPr>
                <w:rFonts w:hint="eastAsia" w:ascii="宋体" w:hAnsi="宋体"/>
                <w:bCs/>
                <w:iCs/>
                <w:color w:val="000000"/>
                <w:sz w:val="24"/>
                <w:lang w:val="en-US" w:eastAsia="zh-CN"/>
              </w:rPr>
              <w:t>当前</w:t>
            </w:r>
            <w:r>
              <w:rPr>
                <w:rFonts w:hint="eastAsia" w:ascii="宋体" w:hAnsi="宋体" w:eastAsia="宋体"/>
                <w:bCs/>
                <w:iCs/>
                <w:color w:val="000000"/>
                <w:sz w:val="24"/>
                <w:lang w:val="en-US" w:eastAsia="zh-CN"/>
              </w:rPr>
              <w:t>草甘膦市场价格</w:t>
            </w:r>
            <w:r>
              <w:rPr>
                <w:rFonts w:hint="eastAsia" w:ascii="宋体" w:hAnsi="宋体"/>
                <w:bCs/>
                <w:iCs/>
                <w:color w:val="000000"/>
                <w:sz w:val="24"/>
                <w:lang w:val="en-US" w:eastAsia="zh-CN"/>
              </w:rPr>
              <w:t>较一季度出现明显上涨，</w:t>
            </w:r>
            <w:r>
              <w:rPr>
                <w:rFonts w:hint="eastAsia" w:ascii="宋体" w:hAnsi="宋体" w:eastAsia="宋体"/>
                <w:bCs/>
                <w:iCs/>
                <w:color w:val="000000"/>
                <w:sz w:val="24"/>
                <w:lang w:val="en-US" w:eastAsia="zh-CN"/>
              </w:rPr>
              <w:t>上</w:t>
            </w:r>
            <w:r>
              <w:rPr>
                <w:rFonts w:hint="eastAsia" w:ascii="宋体" w:hAnsi="宋体"/>
                <w:bCs/>
                <w:iCs/>
                <w:color w:val="000000"/>
                <w:sz w:val="24"/>
                <w:lang w:val="en-US" w:eastAsia="zh-CN"/>
              </w:rPr>
              <w:t>升幅度超过</w:t>
            </w:r>
            <w:r>
              <w:rPr>
                <w:rFonts w:hint="eastAsia" w:ascii="宋体" w:hAnsi="宋体" w:eastAsia="宋体"/>
                <w:bCs/>
                <w:iCs/>
                <w:color w:val="000000"/>
                <w:sz w:val="24"/>
                <w:lang w:val="en-US" w:eastAsia="zh-CN"/>
              </w:rPr>
              <w:t>2,</w:t>
            </w:r>
            <w:r>
              <w:rPr>
                <w:rFonts w:hint="eastAsia" w:ascii="宋体" w:hAnsi="宋体"/>
                <w:bCs/>
                <w:iCs/>
                <w:color w:val="000000"/>
                <w:sz w:val="24"/>
                <w:lang w:val="en-US" w:eastAsia="zh-CN"/>
              </w:rPr>
              <w:t>0</w:t>
            </w:r>
            <w:r>
              <w:rPr>
                <w:rFonts w:hint="eastAsia" w:ascii="宋体" w:hAnsi="宋体" w:eastAsia="宋体"/>
                <w:bCs/>
                <w:iCs/>
                <w:color w:val="000000"/>
                <w:sz w:val="24"/>
                <w:lang w:val="en-US" w:eastAsia="zh-CN"/>
              </w:rPr>
              <w:t>00元/吨。</w:t>
            </w:r>
            <w:r>
              <w:rPr>
                <w:rFonts w:hint="eastAsia" w:ascii="宋体" w:hAnsi="宋体"/>
                <w:bCs/>
                <w:iCs/>
                <w:color w:val="000000"/>
                <w:sz w:val="24"/>
                <w:lang w:val="en-US" w:eastAsia="zh-CN"/>
              </w:rPr>
              <w:t>其</w:t>
            </w:r>
            <w:r>
              <w:rPr>
                <w:rFonts w:hint="eastAsia" w:ascii="宋体" w:hAnsi="宋体" w:eastAsia="宋体"/>
                <w:bCs/>
                <w:iCs/>
                <w:color w:val="000000"/>
                <w:sz w:val="24"/>
                <w:lang w:val="en-US" w:eastAsia="zh-CN"/>
              </w:rPr>
              <w:t>主要原因：一是行业库存处于较低水平，且6-8月正值草甘膦出口南美地区的传统旺季，生产企业产能利用率饱和，市场供应紧张局面凸显；二是孟山都破产传闻引发市场对产能供应稳定性的担忧，对国内草甘膦市场的低迷行情形成较强提振作用；三是草甘膦价格在较长时间内处于低位运行状态，行业整体存在强烈的价格修复需求。</w:t>
            </w:r>
            <w:r>
              <w:rPr>
                <w:rFonts w:hint="eastAsia" w:ascii="宋体" w:hAnsi="宋体"/>
                <w:bCs/>
                <w:iCs/>
                <w:color w:val="000000"/>
                <w:sz w:val="24"/>
                <w:lang w:val="en-US" w:eastAsia="zh-CN"/>
              </w:rPr>
              <w:t>后期</w:t>
            </w:r>
            <w:r>
              <w:rPr>
                <w:rFonts w:hint="eastAsia" w:ascii="宋体" w:hAnsi="宋体" w:eastAsia="宋体"/>
                <w:bCs/>
                <w:iCs/>
                <w:color w:val="000000"/>
                <w:sz w:val="24"/>
                <w:lang w:val="en-US" w:eastAsia="zh-CN"/>
              </w:rPr>
              <w:t>草甘膦价格或将延续涨势，一是当前国内主流企业接单情况大多表现良好，库存压力</w:t>
            </w:r>
            <w:r>
              <w:rPr>
                <w:rFonts w:hint="eastAsia" w:ascii="宋体" w:hAnsi="宋体"/>
                <w:bCs/>
                <w:iCs/>
                <w:color w:val="000000"/>
                <w:sz w:val="24"/>
                <w:lang w:val="en-US" w:eastAsia="zh-CN"/>
              </w:rPr>
              <w:t>小</w:t>
            </w:r>
            <w:r>
              <w:rPr>
                <w:rFonts w:hint="eastAsia" w:ascii="宋体" w:hAnsi="宋体" w:eastAsia="宋体"/>
                <w:bCs/>
                <w:iCs/>
                <w:color w:val="000000"/>
                <w:sz w:val="24"/>
                <w:lang w:val="en-US" w:eastAsia="zh-CN"/>
              </w:rPr>
              <w:t>；二是在买涨不买跌的心态下，内外贸客户拿货积极</w:t>
            </w:r>
            <w:r>
              <w:rPr>
                <w:rFonts w:hint="eastAsia" w:ascii="宋体" w:hAnsi="宋体"/>
                <w:bCs/>
                <w:iCs/>
                <w:color w:val="000000"/>
                <w:sz w:val="24"/>
                <w:lang w:val="en-US" w:eastAsia="zh-CN"/>
              </w:rPr>
              <w:t>。</w:t>
            </w:r>
          </w:p>
          <w:p w14:paraId="7ED0B123">
            <w:pPr>
              <w:pStyle w:val="8"/>
              <w:numPr>
                <w:ilvl w:val="0"/>
                <w:numId w:val="0"/>
              </w:numPr>
              <w:spacing w:line="460" w:lineRule="exact"/>
              <w:ind w:left="0" w:leftChars="0" w:firstLine="446" w:firstLineChars="200"/>
              <w:rPr>
                <w:rFonts w:hint="default" w:ascii="宋体" w:hAnsi="宋体"/>
                <w:b/>
                <w:sz w:val="24"/>
                <w:szCs w:val="24"/>
                <w:lang w:val="en-US"/>
              </w:rPr>
            </w:pPr>
            <w:r>
              <w:rPr>
                <w:rFonts w:hint="default" w:ascii="宋体" w:hAnsi="宋体" w:eastAsia="宋体" w:cs="Times New Roman"/>
                <w:b/>
                <w:kern w:val="2"/>
                <w:sz w:val="24"/>
                <w:szCs w:val="24"/>
                <w:lang w:val="en-US" w:eastAsia="zh-CN" w:bidi="ar-SA"/>
              </w:rPr>
              <w:t>2、</w:t>
            </w:r>
            <w:r>
              <w:rPr>
                <w:rFonts w:hint="eastAsia" w:ascii="宋体" w:hAnsi="宋体"/>
                <w:b/>
                <w:sz w:val="24"/>
                <w:szCs w:val="24"/>
                <w:lang w:val="en-US" w:eastAsia="zh-CN"/>
              </w:rPr>
              <w:t>公司肥料二季度出口情况，以及二期配额数量？</w:t>
            </w:r>
          </w:p>
          <w:p w14:paraId="2B9BDC88">
            <w:pPr>
              <w:pStyle w:val="8"/>
              <w:spacing w:line="460" w:lineRule="exact"/>
              <w:ind w:left="-1" w:leftChars="-1" w:firstLine="480"/>
              <w:rPr>
                <w:rFonts w:hint="default" w:ascii="宋体" w:hAnsi="宋体" w:eastAsia="宋体"/>
                <w:bCs/>
                <w:iCs/>
                <w:color w:val="000000"/>
                <w:sz w:val="24"/>
                <w:lang w:val="en-US" w:eastAsia="zh-CN"/>
              </w:rPr>
            </w:pPr>
            <w:r>
              <w:rPr>
                <w:rFonts w:hint="eastAsia" w:ascii="宋体" w:hAnsi="宋体" w:eastAsia="宋体"/>
                <w:bCs/>
                <w:iCs/>
                <w:color w:val="000000"/>
                <w:sz w:val="24"/>
                <w:lang w:val="en-US" w:eastAsia="zh-CN"/>
              </w:rPr>
              <w:t>答：</w:t>
            </w:r>
            <w:r>
              <w:rPr>
                <w:rFonts w:hint="default" w:ascii="宋体" w:hAnsi="宋体" w:eastAsia="宋体"/>
                <w:bCs/>
                <w:iCs/>
                <w:color w:val="000000"/>
                <w:sz w:val="24"/>
                <w:lang w:val="en-US" w:eastAsia="zh-CN"/>
              </w:rPr>
              <w:t>感谢您对公司的关注！</w:t>
            </w:r>
            <w:r>
              <w:rPr>
                <w:rFonts w:hint="eastAsia" w:ascii="宋体" w:hAnsi="宋体"/>
                <w:bCs/>
                <w:iCs/>
                <w:color w:val="000000"/>
                <w:sz w:val="24"/>
                <w:lang w:val="en-US" w:eastAsia="zh-CN"/>
              </w:rPr>
              <w:t>公司二季度完成肥料出口超过7万吨，目前暂未下发二期出口配额。后续公司将积极争取第二阶段出口配额，同时做好国内磷肥市场保供稳价相关工作。</w:t>
            </w:r>
          </w:p>
          <w:p w14:paraId="756C8D91">
            <w:pPr>
              <w:pStyle w:val="8"/>
              <w:numPr>
                <w:ilvl w:val="0"/>
                <w:numId w:val="0"/>
              </w:numPr>
              <w:spacing w:line="460" w:lineRule="exact"/>
              <w:ind w:left="0" w:leftChars="0" w:firstLine="446" w:firstLineChars="200"/>
              <w:rPr>
                <w:rFonts w:hint="default" w:ascii="宋体" w:hAnsi="宋体"/>
                <w:b/>
                <w:sz w:val="24"/>
                <w:szCs w:val="24"/>
                <w:lang w:val="en-US"/>
              </w:rPr>
            </w:pPr>
            <w:r>
              <w:rPr>
                <w:rFonts w:hint="default" w:ascii="宋体" w:hAnsi="宋体" w:eastAsia="宋体" w:cs="Times New Roman"/>
                <w:b/>
                <w:kern w:val="2"/>
                <w:sz w:val="24"/>
                <w:szCs w:val="24"/>
                <w:lang w:val="en-US" w:eastAsia="zh-CN" w:bidi="ar-SA"/>
              </w:rPr>
              <w:t>3、</w:t>
            </w:r>
            <w:r>
              <w:rPr>
                <w:rFonts w:hint="eastAsia" w:ascii="宋体" w:hAnsi="宋体"/>
                <w:b/>
                <w:sz w:val="24"/>
                <w:szCs w:val="24"/>
                <w:lang w:val="en-US" w:eastAsia="zh-CN"/>
              </w:rPr>
              <w:t>兴发的磷矿未来是否有增量？</w:t>
            </w:r>
          </w:p>
          <w:p w14:paraId="3A878A2A">
            <w:pPr>
              <w:pStyle w:val="8"/>
              <w:spacing w:line="460" w:lineRule="exact"/>
              <w:ind w:left="-1" w:leftChars="-1" w:firstLine="480"/>
              <w:rPr>
                <w:rFonts w:hint="eastAsia" w:ascii="宋体" w:hAnsi="宋体" w:eastAsia="宋体"/>
                <w:bCs/>
                <w:iCs/>
                <w:color w:val="000000"/>
                <w:sz w:val="24"/>
                <w:lang w:val="en-US" w:eastAsia="zh-CN"/>
              </w:rPr>
            </w:pPr>
            <w:r>
              <w:rPr>
                <w:rFonts w:hint="eastAsia" w:ascii="宋体" w:hAnsi="宋体" w:eastAsia="宋体"/>
                <w:bCs/>
                <w:iCs/>
                <w:color w:val="000000"/>
                <w:sz w:val="24"/>
                <w:lang w:val="en-US" w:eastAsia="zh-CN"/>
              </w:rPr>
              <w:t>答：</w:t>
            </w:r>
            <w:r>
              <w:rPr>
                <w:rFonts w:hint="default" w:ascii="宋体" w:hAnsi="宋体" w:eastAsia="宋体"/>
                <w:bCs/>
                <w:iCs/>
                <w:color w:val="000000"/>
                <w:sz w:val="24"/>
                <w:lang w:val="en-US" w:eastAsia="zh-CN"/>
              </w:rPr>
              <w:t>感谢您对公司的关注！</w:t>
            </w:r>
            <w:r>
              <w:rPr>
                <w:rFonts w:hint="eastAsia" w:ascii="宋体" w:hAnsi="宋体"/>
                <w:bCs/>
                <w:iCs/>
                <w:color w:val="000000"/>
                <w:sz w:val="24"/>
                <w:lang w:val="en-US" w:eastAsia="zh-CN"/>
              </w:rPr>
              <w:t>公司</w:t>
            </w:r>
            <w:r>
              <w:rPr>
                <w:rFonts w:hint="eastAsia" w:ascii="宋体" w:hAnsi="宋体" w:eastAsia="宋体"/>
                <w:bCs/>
                <w:iCs/>
                <w:color w:val="000000"/>
                <w:sz w:val="24"/>
                <w:lang w:val="en-US" w:eastAsia="zh-CN"/>
              </w:rPr>
              <w:t>当前磷矿石年开采总产能为585万吨</w:t>
            </w:r>
            <w:r>
              <w:rPr>
                <w:rFonts w:hint="default" w:ascii="宋体" w:hAnsi="宋体" w:eastAsia="宋体"/>
                <w:bCs/>
                <w:iCs/>
                <w:color w:val="000000"/>
                <w:sz w:val="24"/>
                <w:lang w:val="en-US" w:eastAsia="zh-CN"/>
              </w:rPr>
              <w:t>/年</w:t>
            </w:r>
            <w:r>
              <w:rPr>
                <w:rFonts w:hint="eastAsia" w:ascii="宋体" w:hAnsi="宋体"/>
                <w:bCs/>
                <w:iCs/>
                <w:color w:val="000000"/>
                <w:sz w:val="24"/>
                <w:lang w:val="en-US" w:eastAsia="zh-CN"/>
              </w:rPr>
              <w:t>，</w:t>
            </w:r>
            <w:r>
              <w:rPr>
                <w:rFonts w:hint="eastAsia" w:ascii="宋体" w:hAnsi="宋体" w:eastAsia="宋体"/>
                <w:bCs/>
                <w:iCs/>
                <w:color w:val="000000"/>
                <w:sz w:val="24"/>
                <w:lang w:val="en-US" w:eastAsia="zh-CN"/>
              </w:rPr>
              <w:t>根据资源整合与开发规划，未来五年内</w:t>
            </w:r>
            <w:r>
              <w:rPr>
                <w:rFonts w:hint="eastAsia" w:ascii="宋体" w:hAnsi="宋体"/>
                <w:bCs/>
                <w:iCs/>
                <w:color w:val="000000"/>
                <w:sz w:val="24"/>
                <w:lang w:val="en-US" w:eastAsia="zh-CN"/>
              </w:rPr>
              <w:t>有望</w:t>
            </w:r>
            <w:r>
              <w:rPr>
                <w:rFonts w:hint="eastAsia" w:ascii="宋体" w:hAnsi="宋体" w:eastAsia="宋体"/>
                <w:bCs/>
                <w:iCs/>
                <w:color w:val="000000"/>
                <w:sz w:val="24"/>
                <w:lang w:val="en-US" w:eastAsia="zh-CN"/>
              </w:rPr>
              <w:t>实现产能倍增：一是参股子公司湖北宜安联合实业有限责任公司拥有磷矿探明储量3.15亿吨，目前处于采矿工程建设阶段，设计产能为400万吨/年，预计年内建成并取得安全生产许可证。二是控股子公司荆州市荆化矿产品贸易有限公司及联营公司保康县尧治河桥沟矿业有限公司合计拥有磷矿探明储量4.77亿吨，目前正在积极推进探转采工作（其中桥沟磷矿</w:t>
            </w:r>
            <w:r>
              <w:rPr>
                <w:rFonts w:hint="eastAsia" w:ascii="宋体" w:hAnsi="宋体"/>
                <w:bCs/>
                <w:iCs/>
                <w:color w:val="000000"/>
                <w:sz w:val="24"/>
                <w:lang w:val="en-US" w:eastAsia="zh-CN"/>
              </w:rPr>
              <w:t>已取得200万吨/年采矿权证，</w:t>
            </w:r>
            <w:r>
              <w:rPr>
                <w:rFonts w:hint="eastAsia" w:ascii="宋体" w:hAnsi="宋体" w:eastAsia="宋体"/>
                <w:bCs/>
                <w:iCs/>
                <w:color w:val="000000"/>
                <w:sz w:val="24"/>
                <w:lang w:val="en-US" w:eastAsia="zh-CN"/>
              </w:rPr>
              <w:t>力争下半年启动采矿工程建设），力争早日实现产能投放。三是公司与万华化学合资成立的远安兴华矿业有限公司拥有远安县杨柳东矿区磷矿保有推断资源量约1.56亿吨，预计年内完成探矿工作</w:t>
            </w:r>
            <w:r>
              <w:rPr>
                <w:rFonts w:hint="eastAsia" w:ascii="宋体" w:hAnsi="宋体"/>
                <w:bCs/>
                <w:iCs/>
                <w:color w:val="000000"/>
                <w:sz w:val="24"/>
                <w:lang w:val="en-US" w:eastAsia="zh-CN"/>
              </w:rPr>
              <w:t>，后续将加快推进探转采工作</w:t>
            </w:r>
            <w:r>
              <w:rPr>
                <w:rFonts w:hint="eastAsia" w:ascii="宋体" w:hAnsi="宋体" w:eastAsia="宋体"/>
                <w:bCs/>
                <w:iCs/>
                <w:color w:val="000000"/>
                <w:sz w:val="24"/>
                <w:lang w:val="en-US" w:eastAsia="zh-CN"/>
              </w:rPr>
              <w:t>。四是积极推进公司兴山区域磷矿资源整合，进一步提升规模化开采能力和绿色化开采水平。五是积极通过独自争取、联合争取以及并购重组等方式，争取更多优质磷矿资源。</w:t>
            </w:r>
          </w:p>
          <w:p w14:paraId="5057A08B">
            <w:pPr>
              <w:pStyle w:val="8"/>
              <w:numPr>
                <w:ilvl w:val="0"/>
                <w:numId w:val="0"/>
              </w:numPr>
              <w:spacing w:line="460" w:lineRule="exact"/>
              <w:ind w:left="0" w:leftChars="0" w:firstLine="446" w:firstLineChars="200"/>
              <w:rPr>
                <w:rFonts w:hint="default" w:ascii="宋体" w:hAnsi="宋体"/>
                <w:b/>
                <w:sz w:val="24"/>
                <w:szCs w:val="24"/>
                <w:lang w:val="en-US"/>
              </w:rPr>
            </w:pPr>
            <w:r>
              <w:rPr>
                <w:rFonts w:hint="default" w:ascii="宋体" w:hAnsi="宋体" w:eastAsia="宋体" w:cs="Times New Roman"/>
                <w:b/>
                <w:kern w:val="2"/>
                <w:sz w:val="24"/>
                <w:szCs w:val="24"/>
                <w:lang w:val="en-US" w:eastAsia="zh-CN" w:bidi="ar-SA"/>
              </w:rPr>
              <w:t>4、</w:t>
            </w:r>
            <w:r>
              <w:rPr>
                <w:rFonts w:hint="eastAsia" w:ascii="宋体" w:hAnsi="宋体"/>
                <w:b/>
                <w:sz w:val="24"/>
                <w:szCs w:val="24"/>
                <w:lang w:val="en-US" w:eastAsia="zh-CN"/>
              </w:rPr>
              <w:t>公司今年新增特种化学品的市场表现如何？</w:t>
            </w:r>
          </w:p>
          <w:p w14:paraId="5F05619C">
            <w:pPr>
              <w:pStyle w:val="8"/>
              <w:spacing w:line="460" w:lineRule="exact"/>
              <w:ind w:left="-1" w:leftChars="-1" w:firstLine="480"/>
              <w:rPr>
                <w:rFonts w:hint="default" w:ascii="宋体" w:hAnsi="宋体"/>
                <w:sz w:val="24"/>
                <w:szCs w:val="24"/>
                <w:lang w:val="en-US"/>
              </w:rPr>
            </w:pPr>
            <w:r>
              <w:rPr>
                <w:rFonts w:hint="eastAsia" w:ascii="宋体" w:hAnsi="宋体"/>
                <w:sz w:val="24"/>
                <w:szCs w:val="24"/>
                <w:lang w:val="en-US" w:eastAsia="zh-CN"/>
              </w:rPr>
              <w:t>答：</w:t>
            </w:r>
            <w:r>
              <w:rPr>
                <w:rFonts w:hint="default" w:ascii="宋体" w:hAnsi="宋体" w:eastAsia="宋体"/>
                <w:bCs/>
                <w:iCs/>
                <w:color w:val="000000"/>
                <w:sz w:val="24"/>
                <w:lang w:val="en-US" w:eastAsia="zh-CN"/>
              </w:rPr>
              <w:t>感谢您对公司的关注！公司特种化学品业务经营态势总体稳健。</w:t>
            </w:r>
            <w:r>
              <w:rPr>
                <w:rFonts w:hint="eastAsia" w:ascii="宋体" w:hAnsi="宋体"/>
                <w:bCs/>
                <w:iCs/>
                <w:color w:val="000000"/>
                <w:sz w:val="24"/>
                <w:lang w:val="en-US" w:eastAsia="zh-CN"/>
              </w:rPr>
              <w:t>今年以来相继投产有机硅皮革100万米/年、泡棉15万平/年、乙硫醇3000吨/年、磷化剂5000吨/年等新研发产品，均取得较好的市场表现，随着生产调试不断优化和客户导入工作持续推进，上述产品的市场销量环比均出现不同程度增长，预期后续将会有更好的盈利表现。</w:t>
            </w:r>
          </w:p>
          <w:p w14:paraId="2B1DE874">
            <w:pPr>
              <w:pStyle w:val="8"/>
              <w:numPr>
                <w:ilvl w:val="0"/>
                <w:numId w:val="0"/>
              </w:numPr>
              <w:spacing w:line="460" w:lineRule="exact"/>
              <w:ind w:left="0" w:leftChars="0" w:firstLine="446" w:firstLineChars="200"/>
              <w:rPr>
                <w:rFonts w:hint="default" w:ascii="宋体" w:hAnsi="宋体"/>
                <w:b/>
                <w:sz w:val="24"/>
                <w:szCs w:val="24"/>
              </w:rPr>
            </w:pPr>
            <w:r>
              <w:rPr>
                <w:rFonts w:hint="default" w:ascii="宋体" w:hAnsi="宋体" w:eastAsia="宋体" w:cs="Times New Roman"/>
                <w:b/>
                <w:kern w:val="2"/>
                <w:sz w:val="24"/>
                <w:szCs w:val="24"/>
                <w:lang w:val="en-US" w:eastAsia="zh-CN" w:bidi="ar-SA"/>
              </w:rPr>
              <w:t>5、</w:t>
            </w:r>
            <w:r>
              <w:rPr>
                <w:rFonts w:hint="eastAsia" w:ascii="宋体" w:hAnsi="宋体"/>
                <w:b/>
                <w:sz w:val="24"/>
                <w:szCs w:val="24"/>
                <w:lang w:val="en-US" w:eastAsia="zh-CN"/>
              </w:rPr>
              <w:t>公司新能源业务生产经营情况如何</w:t>
            </w:r>
            <w:r>
              <w:rPr>
                <w:rFonts w:hint="default" w:ascii="宋体" w:hAnsi="宋体"/>
                <w:b/>
                <w:sz w:val="24"/>
                <w:szCs w:val="24"/>
              </w:rPr>
              <w:t>？</w:t>
            </w:r>
          </w:p>
          <w:p w14:paraId="09E9E269">
            <w:pPr>
              <w:pStyle w:val="8"/>
              <w:spacing w:line="460" w:lineRule="exact"/>
              <w:ind w:left="-1" w:leftChars="-1" w:firstLine="480"/>
              <w:rPr>
                <w:rFonts w:hint="default" w:ascii="宋体" w:hAnsi="宋体" w:eastAsia="宋体"/>
                <w:bCs/>
                <w:iCs/>
                <w:color w:val="000000"/>
                <w:sz w:val="24"/>
                <w:lang w:val="en-US" w:eastAsia="zh-CN"/>
              </w:rPr>
            </w:pPr>
            <w:r>
              <w:rPr>
                <w:rFonts w:hint="eastAsia" w:ascii="宋体" w:hAnsi="宋体" w:eastAsia="宋体"/>
                <w:bCs/>
                <w:iCs/>
                <w:color w:val="000000"/>
                <w:sz w:val="24"/>
                <w:lang w:val="en-US" w:eastAsia="zh-CN"/>
              </w:rPr>
              <w:t>答：</w:t>
            </w:r>
            <w:r>
              <w:rPr>
                <w:rFonts w:hint="default" w:ascii="宋体" w:hAnsi="宋体" w:eastAsia="宋体"/>
                <w:bCs/>
                <w:iCs/>
                <w:color w:val="000000"/>
                <w:sz w:val="24"/>
                <w:lang w:val="en-US" w:eastAsia="zh-CN"/>
              </w:rPr>
              <w:t>感谢您对公司的关注！目前公司依托精细磷化工发展基础，先后建成磷酸铁、磷酸铁锂、磷酸二氢锂等新能源材料项目，其中磷酸铁产品质量得到客户一致认可，自今年3月份开始已实现满产满销，产品质量、成本控制跻身行业第一梯队；磷酸铁锂顺利导入行业前十电芯厂，自6月份开始实现千吨级稳定供货</w:t>
            </w:r>
            <w:r>
              <w:rPr>
                <w:rFonts w:hint="eastAsia" w:ascii="宋体" w:hAnsi="宋体"/>
                <w:bCs/>
                <w:iCs/>
                <w:color w:val="000000"/>
                <w:sz w:val="24"/>
                <w:lang w:val="en-US" w:eastAsia="zh-CN"/>
              </w:rPr>
              <w:t>，随着客户导入工作的持续推进，预期下半年产能利用率将会明显提升</w:t>
            </w:r>
            <w:r>
              <w:rPr>
                <w:rFonts w:hint="default" w:ascii="宋体" w:hAnsi="宋体" w:eastAsia="宋体"/>
                <w:bCs/>
                <w:iCs/>
                <w:color w:val="000000"/>
                <w:sz w:val="24"/>
                <w:lang w:val="en-US" w:eastAsia="zh-CN"/>
              </w:rPr>
              <w:t>；磷酸二氢锂实现行业头部企业稳定供货。同时公司加快研发提升工作，三代半磷酸铁锂性能有显著提升，达到行业先进水平，提前布局第四代高压实型磷酸铁锂产品、第五代超高压实型磷酸铁锂产品等前瞻研发工作，并已取得积极进展。</w:t>
            </w:r>
          </w:p>
          <w:p w14:paraId="290287A2">
            <w:pPr>
              <w:pStyle w:val="8"/>
              <w:spacing w:line="460" w:lineRule="exact"/>
              <w:ind w:left="-1" w:leftChars="-1" w:firstLine="480"/>
              <w:rPr>
                <w:rFonts w:hint="eastAsia" w:ascii="宋体" w:hAnsi="宋体"/>
                <w:sz w:val="24"/>
                <w:szCs w:val="24"/>
                <w:lang w:val="en-US" w:eastAsia="zh-CN"/>
              </w:rPr>
            </w:pPr>
            <w:r>
              <w:rPr>
                <w:rFonts w:hint="default" w:ascii="宋体" w:hAnsi="宋体" w:eastAsia="宋体"/>
                <w:bCs/>
                <w:iCs/>
                <w:color w:val="000000"/>
                <w:sz w:val="24"/>
                <w:lang w:val="en-US" w:eastAsia="zh-CN"/>
              </w:rPr>
              <w:t>未来，公司将持续做好磷酸铁及磷酸铁锂产品质量提升和客户拓展等相关工作，不断增强产品的市场竞争力，切实将新能源业务培育为公司重要增长极。</w:t>
            </w:r>
          </w:p>
          <w:p w14:paraId="54FA48C9">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46" w:firstLineChars="200"/>
              <w:textAlignment w:val="auto"/>
              <w:rPr>
                <w:rFonts w:hint="eastAsia" w:ascii="宋体" w:hAnsi="宋体"/>
                <w:b/>
                <w:sz w:val="24"/>
                <w:szCs w:val="24"/>
                <w:lang w:val="en-US" w:eastAsia="zh-CN"/>
              </w:rPr>
            </w:pPr>
            <w:r>
              <w:rPr>
                <w:rFonts w:hint="eastAsia" w:ascii="宋体" w:hAnsi="宋体"/>
                <w:b/>
                <w:sz w:val="24"/>
                <w:szCs w:val="24"/>
                <w:lang w:val="en-US" w:eastAsia="zh-CN"/>
              </w:rPr>
              <w:t>6、目前公司有机硅单体DMC实际产量多少？有机硅价格每上涨1000元，利润增厚多少？</w:t>
            </w:r>
          </w:p>
          <w:p w14:paraId="2FF5EB24">
            <w:pPr>
              <w:pStyle w:val="8"/>
              <w:numPr>
                <w:ilvl w:val="0"/>
                <w:numId w:val="0"/>
              </w:numPr>
              <w:spacing w:line="460" w:lineRule="exact"/>
              <w:ind w:firstLine="446" w:firstLineChars="200"/>
              <w:rPr>
                <w:rFonts w:hint="eastAsia" w:ascii="宋体" w:hAnsi="宋体" w:eastAsia="宋体"/>
                <w:bCs/>
                <w:iCs/>
                <w:color w:val="000000"/>
                <w:sz w:val="24"/>
                <w:lang w:val="en-US" w:eastAsia="zh-CN"/>
              </w:rPr>
            </w:pPr>
            <w:r>
              <w:rPr>
                <w:rFonts w:hint="eastAsia" w:ascii="宋体" w:hAnsi="宋体" w:eastAsia="宋体"/>
                <w:bCs/>
                <w:iCs/>
                <w:color w:val="000000"/>
                <w:sz w:val="24"/>
                <w:lang w:val="en-US" w:eastAsia="zh-CN"/>
              </w:rPr>
              <w:t>答：</w:t>
            </w:r>
            <w:r>
              <w:rPr>
                <w:rFonts w:hint="default" w:ascii="宋体" w:hAnsi="宋体" w:eastAsia="宋体"/>
                <w:bCs/>
                <w:iCs/>
                <w:color w:val="000000"/>
                <w:sz w:val="24"/>
                <w:lang w:val="en-US" w:eastAsia="zh-CN"/>
              </w:rPr>
              <w:t>感谢您对公司的关注！公司DMC实际产能</w:t>
            </w:r>
            <w:r>
              <w:rPr>
                <w:rFonts w:hint="eastAsia" w:ascii="宋体" w:hAnsi="宋体"/>
                <w:bCs/>
                <w:iCs/>
                <w:color w:val="000000"/>
                <w:sz w:val="24"/>
                <w:lang w:val="en-US" w:eastAsia="zh-CN"/>
              </w:rPr>
              <w:t>约</w:t>
            </w:r>
            <w:r>
              <w:rPr>
                <w:rFonts w:hint="default" w:ascii="宋体" w:hAnsi="宋体" w:eastAsia="宋体"/>
                <w:bCs/>
                <w:iCs/>
                <w:color w:val="000000"/>
                <w:sz w:val="24"/>
                <w:lang w:val="en-US" w:eastAsia="zh-CN"/>
              </w:rPr>
              <w:t>30万吨/年</w:t>
            </w:r>
            <w:r>
              <w:rPr>
                <w:rFonts w:hint="eastAsia" w:ascii="宋体" w:hAnsi="宋体"/>
                <w:bCs/>
                <w:iCs/>
                <w:color w:val="000000"/>
                <w:sz w:val="24"/>
                <w:lang w:val="en-US" w:eastAsia="zh-CN"/>
              </w:rPr>
              <w:t>，DMC</w:t>
            </w:r>
            <w:r>
              <w:rPr>
                <w:rFonts w:hint="eastAsia" w:ascii="宋体" w:hAnsi="宋体" w:eastAsia="宋体"/>
                <w:bCs/>
                <w:iCs/>
                <w:color w:val="000000"/>
                <w:sz w:val="24"/>
                <w:lang w:val="en-US" w:eastAsia="zh-CN"/>
              </w:rPr>
              <w:t>价格上涨对公司</w:t>
            </w:r>
            <w:r>
              <w:rPr>
                <w:rFonts w:hint="eastAsia" w:ascii="宋体" w:hAnsi="宋体"/>
                <w:bCs/>
                <w:iCs/>
                <w:color w:val="000000"/>
                <w:sz w:val="24"/>
                <w:lang w:val="en-US" w:eastAsia="zh-CN"/>
              </w:rPr>
              <w:t>有机硅业务板块</w:t>
            </w:r>
            <w:r>
              <w:rPr>
                <w:rFonts w:hint="eastAsia" w:ascii="宋体" w:hAnsi="宋体" w:eastAsia="宋体"/>
                <w:bCs/>
                <w:iCs/>
                <w:color w:val="000000"/>
                <w:sz w:val="24"/>
                <w:lang w:val="en-US" w:eastAsia="zh-CN"/>
              </w:rPr>
              <w:t>存在积极影响，但具体增厚利润的数额需要综合考虑公司的产能、成本结构、市场销售策略以及行业竞争等多种因素。若仅考虑产能因素，</w:t>
            </w:r>
            <w:r>
              <w:rPr>
                <w:rFonts w:hint="eastAsia" w:ascii="宋体" w:hAnsi="宋体"/>
                <w:bCs/>
                <w:iCs/>
                <w:color w:val="000000"/>
                <w:sz w:val="24"/>
                <w:lang w:val="en-US" w:eastAsia="zh-CN"/>
              </w:rPr>
              <w:t>有机硅</w:t>
            </w:r>
            <w:r>
              <w:rPr>
                <w:rFonts w:hint="eastAsia" w:ascii="宋体" w:hAnsi="宋体" w:eastAsia="宋体"/>
                <w:bCs/>
                <w:iCs/>
                <w:color w:val="000000"/>
                <w:sz w:val="24"/>
                <w:lang w:val="en-US" w:eastAsia="zh-CN"/>
              </w:rPr>
              <w:t>价格每上涨1000元/吨，预计能为公司增加约</w:t>
            </w:r>
            <w:r>
              <w:rPr>
                <w:rFonts w:hint="eastAsia" w:ascii="宋体" w:hAnsi="宋体"/>
                <w:bCs/>
                <w:iCs/>
                <w:color w:val="000000"/>
                <w:sz w:val="24"/>
                <w:lang w:val="en-US" w:eastAsia="zh-CN"/>
              </w:rPr>
              <w:t>3</w:t>
            </w:r>
            <w:r>
              <w:rPr>
                <w:rFonts w:hint="eastAsia" w:ascii="宋体" w:hAnsi="宋体" w:eastAsia="宋体"/>
                <w:bCs/>
                <w:iCs/>
                <w:color w:val="000000"/>
                <w:sz w:val="24"/>
                <w:lang w:val="en-US" w:eastAsia="zh-CN"/>
              </w:rPr>
              <w:t>亿元/年利润。公司会密切关注市场动态，持续优化生产与销售策略，努力提升经营质效，为股东创造更多价值。</w:t>
            </w:r>
          </w:p>
          <w:p w14:paraId="579AA2A6">
            <w:pPr>
              <w:pStyle w:val="8"/>
              <w:numPr>
                <w:ilvl w:val="0"/>
                <w:numId w:val="0"/>
              </w:numPr>
              <w:spacing w:line="460" w:lineRule="exact"/>
              <w:ind w:left="0" w:leftChars="0" w:firstLine="446" w:firstLineChars="200"/>
              <w:rPr>
                <w:rFonts w:hint="default" w:ascii="宋体" w:hAnsi="宋体"/>
                <w:b/>
                <w:sz w:val="24"/>
                <w:szCs w:val="24"/>
              </w:rPr>
            </w:pPr>
            <w:r>
              <w:rPr>
                <w:rFonts w:hint="eastAsia" w:ascii="宋体" w:hAnsi="宋体"/>
                <w:b/>
                <w:sz w:val="24"/>
                <w:szCs w:val="24"/>
                <w:lang w:val="en-US" w:eastAsia="zh-CN"/>
              </w:rPr>
              <w:t>7、</w:t>
            </w:r>
            <w:r>
              <w:rPr>
                <w:rFonts w:hint="default" w:ascii="宋体" w:hAnsi="宋体"/>
                <w:b/>
                <w:sz w:val="24"/>
                <w:szCs w:val="24"/>
              </w:rPr>
              <w:t>近期股东人数</w:t>
            </w:r>
            <w:r>
              <w:rPr>
                <w:rFonts w:hint="eastAsia" w:ascii="宋体" w:hAnsi="宋体"/>
                <w:b/>
                <w:sz w:val="24"/>
                <w:szCs w:val="24"/>
                <w:lang w:val="en-US" w:eastAsia="zh-CN"/>
              </w:rPr>
              <w:t>共有多少户？</w:t>
            </w:r>
          </w:p>
          <w:p w14:paraId="1D1157E6">
            <w:pPr>
              <w:pStyle w:val="8"/>
              <w:numPr>
                <w:ilvl w:val="0"/>
                <w:numId w:val="0"/>
              </w:numPr>
              <w:spacing w:line="460" w:lineRule="exact"/>
              <w:ind w:firstLine="446" w:firstLineChars="200"/>
              <w:rPr>
                <w:rFonts w:hint="default" w:ascii="宋体" w:hAnsi="宋体" w:eastAsia="宋体"/>
                <w:bCs/>
                <w:iCs/>
                <w:color w:val="000000"/>
                <w:sz w:val="24"/>
                <w:lang w:val="en-US" w:eastAsia="zh-CN"/>
              </w:rPr>
            </w:pPr>
            <w:r>
              <w:rPr>
                <w:rFonts w:hint="eastAsia" w:ascii="宋体" w:hAnsi="宋体"/>
                <w:sz w:val="24"/>
                <w:szCs w:val="24"/>
                <w:lang w:val="en-US" w:eastAsia="zh-CN"/>
              </w:rPr>
              <w:t>答：感谢您对公司的关注！截止7月18日，公司股东总户数为59,812户。</w:t>
            </w:r>
          </w:p>
        </w:tc>
      </w:tr>
      <w:tr w14:paraId="18CE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center"/>
          </w:tcPr>
          <w:p w14:paraId="30926E74">
            <w:pPr>
              <w:spacing w:line="420" w:lineRule="exact"/>
              <w:rPr>
                <w:bCs/>
                <w:iCs/>
                <w:color w:val="000000"/>
                <w:kern w:val="0"/>
                <w:sz w:val="24"/>
              </w:rPr>
            </w:pPr>
            <w:r>
              <w:rPr>
                <w:rFonts w:hAnsi="宋体"/>
                <w:bCs/>
                <w:iCs/>
                <w:color w:val="000000"/>
                <w:kern w:val="0"/>
                <w:sz w:val="24"/>
              </w:rPr>
              <w:t>附件清单（如有）</w:t>
            </w:r>
          </w:p>
        </w:tc>
        <w:tc>
          <w:tcPr>
            <w:tcW w:w="7935" w:type="dxa"/>
            <w:tcBorders>
              <w:top w:val="single" w:color="auto" w:sz="4" w:space="0"/>
              <w:left w:val="single" w:color="auto" w:sz="4" w:space="0"/>
              <w:bottom w:val="single" w:color="auto" w:sz="4" w:space="0"/>
              <w:right w:val="single" w:color="auto" w:sz="4" w:space="0"/>
            </w:tcBorders>
            <w:noWrap w:val="0"/>
            <w:vAlign w:val="center"/>
          </w:tcPr>
          <w:p w14:paraId="3C20FF0E">
            <w:pPr>
              <w:spacing w:line="420" w:lineRule="exact"/>
              <w:jc w:val="both"/>
              <w:rPr>
                <w:rFonts w:hint="default" w:eastAsia="宋体"/>
                <w:bCs/>
                <w:iCs/>
                <w:color w:val="000000"/>
                <w:sz w:val="24"/>
                <w:lang w:val="en-US" w:eastAsia="zh-CN"/>
              </w:rPr>
            </w:pPr>
            <w:r>
              <w:rPr>
                <w:rFonts w:hint="eastAsia"/>
                <w:bCs/>
                <w:iCs/>
                <w:color w:val="000000"/>
                <w:sz w:val="24"/>
                <w:lang w:val="en-US" w:eastAsia="zh-CN"/>
              </w:rPr>
              <w:t>无</w:t>
            </w:r>
            <w:bookmarkStart w:id="0" w:name="_GoBack"/>
            <w:bookmarkEnd w:id="0"/>
          </w:p>
        </w:tc>
      </w:tr>
      <w:tr w14:paraId="5AB4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center"/>
          </w:tcPr>
          <w:p w14:paraId="2855ACED">
            <w:pPr>
              <w:spacing w:line="420" w:lineRule="exact"/>
              <w:rPr>
                <w:bCs/>
                <w:iCs/>
                <w:color w:val="000000"/>
                <w:kern w:val="0"/>
                <w:sz w:val="24"/>
              </w:rPr>
            </w:pPr>
            <w:r>
              <w:rPr>
                <w:rFonts w:hAnsi="宋体"/>
                <w:bCs/>
                <w:iCs/>
                <w:color w:val="000000"/>
                <w:kern w:val="0"/>
                <w:sz w:val="24"/>
              </w:rPr>
              <w:t>日期</w:t>
            </w:r>
          </w:p>
        </w:tc>
        <w:tc>
          <w:tcPr>
            <w:tcW w:w="7935" w:type="dxa"/>
            <w:tcBorders>
              <w:top w:val="single" w:color="auto" w:sz="4" w:space="0"/>
              <w:left w:val="single" w:color="auto" w:sz="4" w:space="0"/>
              <w:bottom w:val="single" w:color="auto" w:sz="4" w:space="0"/>
              <w:right w:val="single" w:color="auto" w:sz="4" w:space="0"/>
            </w:tcBorders>
            <w:noWrap w:val="0"/>
            <w:vAlign w:val="top"/>
          </w:tcPr>
          <w:p w14:paraId="782F3D13">
            <w:pPr>
              <w:spacing w:line="420" w:lineRule="exact"/>
              <w:rPr>
                <w:rFonts w:hint="default" w:eastAsia="宋体"/>
                <w:bCs/>
                <w:iCs/>
                <w:color w:val="000000"/>
                <w:sz w:val="24"/>
                <w:lang w:val="en-US" w:eastAsia="zh-CN"/>
              </w:rPr>
            </w:pPr>
            <w:r>
              <w:rPr>
                <w:rFonts w:hint="eastAsia" w:asciiTheme="minorEastAsia" w:hAnsiTheme="minorEastAsia" w:eastAsiaTheme="minorEastAsia" w:cstheme="minorEastAsia"/>
                <w:bCs/>
                <w:iCs/>
                <w:color w:val="000000"/>
                <w:sz w:val="24"/>
              </w:rPr>
              <w:t>2025</w:t>
            </w:r>
            <w:r>
              <w:rPr>
                <w:rFonts w:hint="eastAsia" w:asciiTheme="minorEastAsia" w:hAnsiTheme="minorEastAsia" w:eastAsiaTheme="minorEastAsia" w:cstheme="minorEastAsia"/>
                <w:bCs/>
                <w:iCs/>
                <w:color w:val="000000"/>
                <w:sz w:val="24"/>
                <w:lang w:val="en-US" w:eastAsia="zh-CN"/>
              </w:rPr>
              <w:t>年7月31日</w:t>
            </w:r>
          </w:p>
        </w:tc>
      </w:tr>
    </w:tbl>
    <w:p w14:paraId="69B0CA65">
      <w:pPr>
        <w:numPr>
          <w:ilvl w:val="0"/>
          <w:numId w:val="0"/>
        </w:numPr>
        <w:rPr>
          <w:rFonts w:hint="default"/>
          <w:lang w:val="en-US" w:eastAsia="zh-CN"/>
        </w:rPr>
      </w:pPr>
    </w:p>
    <w:sectPr>
      <w:headerReference r:id="rId3" w:type="default"/>
      <w:footerReference r:id="rId4" w:type="default"/>
      <w:pgSz w:w="11906" w:h="16838"/>
      <w:pgMar w:top="2098" w:right="1474" w:bottom="1984" w:left="1587" w:header="851" w:footer="1417" w:gutter="0"/>
      <w:cols w:space="0" w:num="1"/>
      <w:rtlGutter w:val="0"/>
      <w:docGrid w:type="linesAndChars" w:linePitch="28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3BDE">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BC579">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96"/>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1D6466C"/>
    <w:rsid w:val="039A02CF"/>
    <w:rsid w:val="048C4D13"/>
    <w:rsid w:val="06392A5C"/>
    <w:rsid w:val="06F94646"/>
    <w:rsid w:val="08736595"/>
    <w:rsid w:val="08D631A4"/>
    <w:rsid w:val="09860C2E"/>
    <w:rsid w:val="10863702"/>
    <w:rsid w:val="1170063A"/>
    <w:rsid w:val="12C40C60"/>
    <w:rsid w:val="14E1184E"/>
    <w:rsid w:val="171425CE"/>
    <w:rsid w:val="176A1687"/>
    <w:rsid w:val="18697B91"/>
    <w:rsid w:val="19B7492C"/>
    <w:rsid w:val="1B2418A5"/>
    <w:rsid w:val="1CBF2475"/>
    <w:rsid w:val="1CFC5477"/>
    <w:rsid w:val="1DEF6D8A"/>
    <w:rsid w:val="1E62755C"/>
    <w:rsid w:val="1FBFC074"/>
    <w:rsid w:val="20052895"/>
    <w:rsid w:val="20166850"/>
    <w:rsid w:val="21C978F2"/>
    <w:rsid w:val="24D01F01"/>
    <w:rsid w:val="26AE6E15"/>
    <w:rsid w:val="276C31F9"/>
    <w:rsid w:val="28C01A4F"/>
    <w:rsid w:val="2B470F10"/>
    <w:rsid w:val="2BD72CB0"/>
    <w:rsid w:val="2C3818FC"/>
    <w:rsid w:val="308F34A3"/>
    <w:rsid w:val="33593A76"/>
    <w:rsid w:val="344C4197"/>
    <w:rsid w:val="34C21948"/>
    <w:rsid w:val="34F0546A"/>
    <w:rsid w:val="35D408E8"/>
    <w:rsid w:val="35DB1518"/>
    <w:rsid w:val="36FB9E1F"/>
    <w:rsid w:val="37691503"/>
    <w:rsid w:val="390239BE"/>
    <w:rsid w:val="3B44206B"/>
    <w:rsid w:val="3BFA3B96"/>
    <w:rsid w:val="3CEF3472"/>
    <w:rsid w:val="3D6A7D83"/>
    <w:rsid w:val="3EFF16E9"/>
    <w:rsid w:val="44E65F41"/>
    <w:rsid w:val="44EE129A"/>
    <w:rsid w:val="44F00B6E"/>
    <w:rsid w:val="45CB029A"/>
    <w:rsid w:val="47390708"/>
    <w:rsid w:val="47AD3D8D"/>
    <w:rsid w:val="49837298"/>
    <w:rsid w:val="49F34163"/>
    <w:rsid w:val="4BC1730B"/>
    <w:rsid w:val="4C385E9C"/>
    <w:rsid w:val="4CB14594"/>
    <w:rsid w:val="4EE80403"/>
    <w:rsid w:val="50106568"/>
    <w:rsid w:val="520E6AD8"/>
    <w:rsid w:val="524F15CA"/>
    <w:rsid w:val="52B21B59"/>
    <w:rsid w:val="52D63494"/>
    <w:rsid w:val="53EA0246"/>
    <w:rsid w:val="55F52488"/>
    <w:rsid w:val="583A0626"/>
    <w:rsid w:val="5991071A"/>
    <w:rsid w:val="605E0C2A"/>
    <w:rsid w:val="60A8066B"/>
    <w:rsid w:val="60F17CF0"/>
    <w:rsid w:val="6109328C"/>
    <w:rsid w:val="63701E5E"/>
    <w:rsid w:val="647E5D3F"/>
    <w:rsid w:val="669C24AC"/>
    <w:rsid w:val="670C5884"/>
    <w:rsid w:val="6AA64BA1"/>
    <w:rsid w:val="6B042EF1"/>
    <w:rsid w:val="6D140FEE"/>
    <w:rsid w:val="70F65EFA"/>
    <w:rsid w:val="71296ECD"/>
    <w:rsid w:val="7204624A"/>
    <w:rsid w:val="73734C00"/>
    <w:rsid w:val="76485A96"/>
    <w:rsid w:val="76896ED7"/>
    <w:rsid w:val="77CD32E5"/>
    <w:rsid w:val="77CF73AC"/>
    <w:rsid w:val="783E7867"/>
    <w:rsid w:val="78FF0116"/>
    <w:rsid w:val="79E32474"/>
    <w:rsid w:val="7BA94B54"/>
    <w:rsid w:val="7D8E7DAB"/>
    <w:rsid w:val="7E66682B"/>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_Style 6"/>
    <w:basedOn w:val="1"/>
    <w:qFormat/>
    <w:uiPriority w:val="34"/>
    <w:pPr>
      <w:ind w:firstLine="420" w:firstLineChars="200"/>
    </w:pPr>
    <w:rPr>
      <w:rFonts w:ascii="Calibri" w:hAnsi="Calibri" w:eastAsia="宋体" w:cs="Times New Roman"/>
      <w:szCs w:val="22"/>
    </w:rPr>
  </w:style>
  <w:style w:type="paragraph" w:customStyle="1" w:styleId="9">
    <w:name w:val="Char Char Char"/>
    <w:basedOn w:val="1"/>
    <w:qFormat/>
    <w:uiPriority w:val="0"/>
    <w:rPr>
      <w:szCs w:val="21"/>
    </w:rPr>
  </w:style>
  <w:style w:type="paragraph" w:customStyle="1" w:styleId="10">
    <w:name w:val="Char Char Char Char Char Char Char Char Char Char Char Char Char Char Char Char"/>
    <w:basedOn w:val="1"/>
    <w:qFormat/>
    <w:uiPriority w:val="0"/>
  </w:style>
  <w:style w:type="paragraph" w:customStyle="1" w:styleId="11">
    <w:name w:val=" Char Char Char"/>
    <w:basedOn w:val="1"/>
    <w:qFormat/>
    <w:uiPriority w:val="0"/>
  </w:style>
  <w:style w:type="character" w:customStyle="1" w:styleId="12">
    <w:name w:val="页脚 Char"/>
    <w:basedOn w:val="7"/>
    <w:link w:val="3"/>
    <w:qFormat/>
    <w:uiPriority w:val="0"/>
    <w:rPr>
      <w:kern w:val="2"/>
      <w:sz w:val="18"/>
      <w:szCs w:val="18"/>
    </w:rPr>
  </w:style>
  <w:style w:type="character" w:customStyle="1" w:styleId="13">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2073</Words>
  <Characters>2179</Characters>
  <Lines>60</Lines>
  <Paragraphs>17</Paragraphs>
  <TotalTime>17</TotalTime>
  <ScaleCrop>false</ScaleCrop>
  <LinksUpToDate>false</LinksUpToDate>
  <CharactersWithSpaces>2308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胡秋林</cp:lastModifiedBy>
  <cp:lastPrinted>2014-02-21T05:34:00Z</cp:lastPrinted>
  <dcterms:modified xsi:type="dcterms:W3CDTF">2025-07-30T01:08:05Z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A0EF941DC1BE4997BC8D8EB945072118_13</vt:lpwstr>
  </property>
  <property fmtid="{D5CDD505-2E9C-101B-9397-08002B2CF9AE}" pid="4" name="KSOTemplateDocerSaveRecord">
    <vt:lpwstr>eyJoZGlkIjoiYzdhMDFlNjNmZGZlMGE2MTc3MmNkYjVlYmJkMDE4ZTIiLCJ1c2VySWQiOiIxNTY4NDczNDA5In0=</vt:lpwstr>
  </property>
</Properties>
</file>