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BD" w:rsidRDefault="004B7065">
      <w:pPr>
        <w:spacing w:beforeLines="50" w:before="156" w:afterLines="50" w:after="156" w:line="400" w:lineRule="exac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证券代码：688500                                   证券简称：慧辰股份</w:t>
      </w:r>
    </w:p>
    <w:p w:rsidR="00F732BD" w:rsidRDefault="004B7065">
      <w:pPr>
        <w:spacing w:beforeLines="50" w:before="156" w:afterLines="50" w:after="156" w:line="400" w:lineRule="exact"/>
        <w:jc w:val="center"/>
        <w:rPr>
          <w:rFonts w:asciiTheme="minorEastAsia" w:eastAsiaTheme="minorEastAsia" w:hAnsiTheme="minorEastAsia"/>
          <w:b/>
          <w:bCs/>
          <w:iCs/>
          <w:sz w:val="24"/>
          <w:szCs w:val="24"/>
        </w:rPr>
      </w:pPr>
      <w:r>
        <w:rPr>
          <w:rFonts w:asciiTheme="minorEastAsia" w:eastAsiaTheme="minorEastAsia" w:hAnsiTheme="minorEastAsia" w:hint="eastAsia"/>
          <w:b/>
          <w:bCs/>
          <w:iCs/>
          <w:sz w:val="24"/>
          <w:szCs w:val="24"/>
        </w:rPr>
        <w:t>北京慧辰资道资讯股份有限公司</w:t>
      </w:r>
    </w:p>
    <w:p w:rsidR="00F732BD" w:rsidRDefault="004B7065">
      <w:pPr>
        <w:spacing w:beforeLines="50" w:before="156" w:afterLines="50" w:after="156" w:line="400" w:lineRule="exact"/>
        <w:jc w:val="center"/>
        <w:rPr>
          <w:rFonts w:asciiTheme="minorEastAsia" w:eastAsiaTheme="minorEastAsia" w:hAnsiTheme="minorEastAsia"/>
          <w:b/>
          <w:bCs/>
          <w:iCs/>
          <w:sz w:val="24"/>
          <w:szCs w:val="24"/>
        </w:rPr>
      </w:pPr>
      <w:r>
        <w:rPr>
          <w:rFonts w:asciiTheme="minorEastAsia" w:eastAsiaTheme="minorEastAsia" w:hAnsiTheme="minorEastAsia" w:hint="eastAsia"/>
          <w:b/>
          <w:bCs/>
          <w:iCs/>
          <w:sz w:val="24"/>
          <w:szCs w:val="24"/>
        </w:rPr>
        <w:t>投资者关系活动记录表</w:t>
      </w:r>
    </w:p>
    <w:p w:rsidR="00F732BD" w:rsidRDefault="004B7065">
      <w:pPr>
        <w:jc w:val="righ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编号：2025-003</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7302"/>
      </w:tblGrid>
      <w:tr w:rsidR="00F732BD">
        <w:tc>
          <w:tcPr>
            <w:tcW w:w="1220" w:type="dxa"/>
            <w:tcBorders>
              <w:top w:val="single" w:sz="4" w:space="0" w:color="auto"/>
              <w:left w:val="single" w:sz="4" w:space="0" w:color="auto"/>
              <w:bottom w:val="single" w:sz="4" w:space="0" w:color="auto"/>
              <w:right w:val="single" w:sz="4" w:space="0" w:color="auto"/>
            </w:tcBorders>
          </w:tcPr>
          <w:p w:rsidR="00F732BD" w:rsidRDefault="004B7065">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投资者关系活动类别</w:t>
            </w:r>
          </w:p>
          <w:p w:rsidR="00F732BD" w:rsidRDefault="00F732BD">
            <w:pPr>
              <w:spacing w:line="480" w:lineRule="atLeast"/>
              <w:rPr>
                <w:rFonts w:asciiTheme="minorEastAsia" w:eastAsiaTheme="minorEastAsia" w:hAnsiTheme="minorEastAsia"/>
                <w:bCs/>
                <w:iCs/>
                <w:sz w:val="24"/>
                <w:szCs w:val="24"/>
              </w:rPr>
            </w:pPr>
          </w:p>
        </w:tc>
        <w:tc>
          <w:tcPr>
            <w:tcW w:w="7302" w:type="dxa"/>
            <w:tcBorders>
              <w:top w:val="single" w:sz="4" w:space="0" w:color="auto"/>
              <w:left w:val="single" w:sz="4" w:space="0" w:color="auto"/>
              <w:bottom w:val="single" w:sz="4" w:space="0" w:color="auto"/>
              <w:right w:val="single" w:sz="4" w:space="0" w:color="auto"/>
            </w:tcBorders>
          </w:tcPr>
          <w:p w:rsidR="00F732BD" w:rsidRDefault="004B7065">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sym w:font="Wingdings 2" w:char="F052"/>
            </w:r>
            <w:r>
              <w:rPr>
                <w:rFonts w:asciiTheme="minorEastAsia" w:eastAsiaTheme="minorEastAsia" w:hAnsiTheme="minorEastAsia" w:hint="eastAsia"/>
                <w:bCs/>
                <w:iCs/>
                <w:sz w:val="24"/>
                <w:szCs w:val="24"/>
              </w:rPr>
              <w:t>特定对象调研        □分析师会议</w:t>
            </w:r>
          </w:p>
          <w:p w:rsidR="00F732BD" w:rsidRDefault="004B7065">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□媒体采访            □业绩说明会</w:t>
            </w:r>
          </w:p>
          <w:p w:rsidR="00F732BD" w:rsidRDefault="004B7065">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 xml:space="preserve">□新闻发布会          </w:t>
            </w:r>
            <w:r>
              <w:rPr>
                <w:rFonts w:asciiTheme="minorEastAsia" w:eastAsiaTheme="minorEastAsia" w:hAnsiTheme="minorEastAsia" w:hint="eastAsia"/>
                <w:bCs/>
                <w:iCs/>
                <w:sz w:val="24"/>
                <w:szCs w:val="24"/>
              </w:rPr>
              <w:sym w:font="Wingdings 2" w:char="F052"/>
            </w:r>
            <w:r>
              <w:rPr>
                <w:rFonts w:asciiTheme="minorEastAsia" w:eastAsiaTheme="minorEastAsia" w:hAnsiTheme="minorEastAsia" w:hint="eastAsia"/>
                <w:bCs/>
                <w:iCs/>
                <w:sz w:val="24"/>
                <w:szCs w:val="24"/>
              </w:rPr>
              <w:t>路演活动</w:t>
            </w:r>
          </w:p>
          <w:p w:rsidR="00F732BD" w:rsidRDefault="004B7065">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□现场参观</w:t>
            </w:r>
            <w:r>
              <w:rPr>
                <w:rFonts w:asciiTheme="minorEastAsia" w:eastAsiaTheme="minorEastAsia" w:hAnsiTheme="minorEastAsia" w:hint="eastAsia"/>
                <w:bCs/>
                <w:iCs/>
                <w:sz w:val="24"/>
                <w:szCs w:val="24"/>
              </w:rPr>
              <w:tab/>
            </w:r>
          </w:p>
          <w:p w:rsidR="00F732BD" w:rsidRDefault="004B7065">
            <w:pPr>
              <w:tabs>
                <w:tab w:val="center" w:pos="3199"/>
              </w:tabs>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sym w:font="Wingdings 2" w:char="F052"/>
            </w:r>
            <w:r>
              <w:rPr>
                <w:rFonts w:asciiTheme="minorEastAsia" w:eastAsiaTheme="minorEastAsia" w:hAnsiTheme="minorEastAsia" w:hint="eastAsia"/>
                <w:bCs/>
                <w:iCs/>
                <w:sz w:val="24"/>
                <w:szCs w:val="24"/>
              </w:rPr>
              <w:t>其他（电话会议）</w:t>
            </w:r>
          </w:p>
        </w:tc>
      </w:tr>
      <w:tr w:rsidR="00F732BD">
        <w:trPr>
          <w:trHeight w:val="732"/>
        </w:trPr>
        <w:tc>
          <w:tcPr>
            <w:tcW w:w="1220" w:type="dxa"/>
            <w:tcBorders>
              <w:top w:val="single" w:sz="4" w:space="0" w:color="auto"/>
              <w:left w:val="single" w:sz="4" w:space="0" w:color="auto"/>
              <w:bottom w:val="single" w:sz="4" w:space="0" w:color="auto"/>
              <w:right w:val="single" w:sz="4" w:space="0" w:color="auto"/>
            </w:tcBorders>
          </w:tcPr>
          <w:p w:rsidR="00F732BD" w:rsidRDefault="004B7065">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参与单位名称及人员姓名</w:t>
            </w:r>
          </w:p>
        </w:tc>
        <w:tc>
          <w:tcPr>
            <w:tcW w:w="7302" w:type="dxa"/>
            <w:tcBorders>
              <w:top w:val="single" w:sz="4" w:space="0" w:color="auto"/>
              <w:left w:val="single" w:sz="4" w:space="0" w:color="auto"/>
              <w:bottom w:val="single" w:sz="4" w:space="0" w:color="auto"/>
              <w:right w:val="single" w:sz="4" w:space="0" w:color="auto"/>
            </w:tcBorders>
            <w:vAlign w:val="center"/>
          </w:tcPr>
          <w:p w:rsidR="00F732BD" w:rsidRDefault="004B7065">
            <w:pPr>
              <w:spacing w:line="360" w:lineRule="auto"/>
              <w:jc w:val="lef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见附件</w:t>
            </w:r>
          </w:p>
        </w:tc>
      </w:tr>
      <w:tr w:rsidR="00F732BD">
        <w:trPr>
          <w:trHeight w:val="604"/>
        </w:trPr>
        <w:tc>
          <w:tcPr>
            <w:tcW w:w="1220" w:type="dxa"/>
            <w:tcBorders>
              <w:top w:val="single" w:sz="4" w:space="0" w:color="auto"/>
              <w:left w:val="single" w:sz="4" w:space="0" w:color="auto"/>
              <w:bottom w:val="single" w:sz="4" w:space="0" w:color="auto"/>
              <w:right w:val="single" w:sz="4" w:space="0" w:color="auto"/>
            </w:tcBorders>
          </w:tcPr>
          <w:p w:rsidR="00F732BD" w:rsidRDefault="004B7065">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时间</w:t>
            </w:r>
          </w:p>
        </w:tc>
        <w:tc>
          <w:tcPr>
            <w:tcW w:w="7302" w:type="dxa"/>
            <w:tcBorders>
              <w:top w:val="single" w:sz="4" w:space="0" w:color="auto"/>
              <w:left w:val="single" w:sz="4" w:space="0" w:color="auto"/>
              <w:bottom w:val="single" w:sz="4" w:space="0" w:color="auto"/>
              <w:right w:val="single" w:sz="4" w:space="0" w:color="auto"/>
            </w:tcBorders>
          </w:tcPr>
          <w:p w:rsidR="00F732BD" w:rsidRDefault="004B7065">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2025年6月-7月</w:t>
            </w:r>
          </w:p>
        </w:tc>
      </w:tr>
      <w:tr w:rsidR="00F732BD">
        <w:trPr>
          <w:trHeight w:val="696"/>
        </w:trPr>
        <w:tc>
          <w:tcPr>
            <w:tcW w:w="1220" w:type="dxa"/>
            <w:tcBorders>
              <w:top w:val="single" w:sz="4" w:space="0" w:color="auto"/>
              <w:left w:val="single" w:sz="4" w:space="0" w:color="auto"/>
              <w:bottom w:val="single" w:sz="4" w:space="0" w:color="auto"/>
              <w:right w:val="single" w:sz="4" w:space="0" w:color="auto"/>
            </w:tcBorders>
            <w:vAlign w:val="center"/>
          </w:tcPr>
          <w:p w:rsidR="00F732BD" w:rsidRDefault="004B7065">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地点</w:t>
            </w:r>
          </w:p>
        </w:tc>
        <w:tc>
          <w:tcPr>
            <w:tcW w:w="7302" w:type="dxa"/>
            <w:tcBorders>
              <w:top w:val="single" w:sz="4" w:space="0" w:color="auto"/>
              <w:left w:val="single" w:sz="4" w:space="0" w:color="auto"/>
              <w:bottom w:val="single" w:sz="4" w:space="0" w:color="auto"/>
              <w:right w:val="single" w:sz="4" w:space="0" w:color="auto"/>
            </w:tcBorders>
            <w:vAlign w:val="center"/>
          </w:tcPr>
          <w:p w:rsidR="00F732BD" w:rsidRDefault="004B7065">
            <w:pPr>
              <w:spacing w:line="360" w:lineRule="auto"/>
              <w:jc w:val="left"/>
              <w:rPr>
                <w:rFonts w:asciiTheme="minorEastAsia" w:eastAsiaTheme="minorEastAsia" w:hAnsiTheme="minorEastAsia"/>
                <w:bCs/>
                <w:iCs/>
                <w:sz w:val="24"/>
                <w:szCs w:val="24"/>
              </w:rPr>
            </w:pPr>
            <w:r>
              <w:rPr>
                <w:rFonts w:asciiTheme="minorEastAsia" w:eastAsiaTheme="minorEastAsia" w:hAnsiTheme="minorEastAsia" w:hint="eastAsia"/>
                <w:sz w:val="24"/>
                <w:szCs w:val="24"/>
              </w:rPr>
              <w:t>公司会议室、线上会议等</w:t>
            </w:r>
          </w:p>
        </w:tc>
      </w:tr>
      <w:tr w:rsidR="00F732BD">
        <w:tc>
          <w:tcPr>
            <w:tcW w:w="1220" w:type="dxa"/>
            <w:tcBorders>
              <w:top w:val="single" w:sz="4" w:space="0" w:color="auto"/>
              <w:left w:val="single" w:sz="4" w:space="0" w:color="auto"/>
              <w:bottom w:val="single" w:sz="4" w:space="0" w:color="auto"/>
              <w:right w:val="single" w:sz="4" w:space="0" w:color="auto"/>
            </w:tcBorders>
          </w:tcPr>
          <w:p w:rsidR="00F732BD" w:rsidRDefault="004B7065">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上市公司接待人员姓名</w:t>
            </w:r>
          </w:p>
        </w:tc>
        <w:tc>
          <w:tcPr>
            <w:tcW w:w="7302" w:type="dxa"/>
            <w:tcBorders>
              <w:top w:val="single" w:sz="4" w:space="0" w:color="auto"/>
              <w:left w:val="single" w:sz="4" w:space="0" w:color="auto"/>
              <w:bottom w:val="single" w:sz="4" w:space="0" w:color="auto"/>
              <w:right w:val="single" w:sz="4" w:space="0" w:color="auto"/>
            </w:tcBorders>
            <w:vAlign w:val="center"/>
          </w:tcPr>
          <w:p w:rsidR="00F732BD" w:rsidRDefault="004B7065">
            <w:pPr>
              <w:spacing w:line="360" w:lineRule="auto"/>
              <w:jc w:val="lef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首席技术官（CTO）：马亮</w:t>
            </w:r>
          </w:p>
          <w:p w:rsidR="00F732BD" w:rsidRDefault="004B7065">
            <w:pPr>
              <w:spacing w:line="360" w:lineRule="auto"/>
              <w:jc w:val="lef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董事会秘书：何东炯</w:t>
            </w:r>
          </w:p>
          <w:p w:rsidR="00F732BD" w:rsidRDefault="004B7065">
            <w:pPr>
              <w:spacing w:line="360" w:lineRule="auto"/>
              <w:jc w:val="lef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资本运营与市场部总经理：杨晓波</w:t>
            </w:r>
          </w:p>
        </w:tc>
      </w:tr>
      <w:tr w:rsidR="00F732BD">
        <w:trPr>
          <w:trHeight w:val="90"/>
        </w:trPr>
        <w:tc>
          <w:tcPr>
            <w:tcW w:w="1220" w:type="dxa"/>
            <w:tcBorders>
              <w:top w:val="single" w:sz="4" w:space="0" w:color="auto"/>
              <w:left w:val="single" w:sz="4" w:space="0" w:color="auto"/>
              <w:bottom w:val="single" w:sz="4" w:space="0" w:color="auto"/>
              <w:right w:val="single" w:sz="4" w:space="0" w:color="auto"/>
            </w:tcBorders>
            <w:vAlign w:val="center"/>
          </w:tcPr>
          <w:p w:rsidR="00F732BD" w:rsidRDefault="004B7065">
            <w:pPr>
              <w:spacing w:line="480" w:lineRule="atLeas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投资者关系活动主要内容介绍</w:t>
            </w:r>
          </w:p>
          <w:p w:rsidR="00F732BD" w:rsidRDefault="00F732BD">
            <w:pPr>
              <w:spacing w:line="480" w:lineRule="atLeast"/>
              <w:rPr>
                <w:rFonts w:asciiTheme="minorEastAsia" w:eastAsiaTheme="minorEastAsia" w:hAnsiTheme="minorEastAsia"/>
                <w:bCs/>
                <w:iCs/>
                <w:sz w:val="24"/>
                <w:szCs w:val="24"/>
              </w:rPr>
            </w:pPr>
          </w:p>
        </w:tc>
        <w:tc>
          <w:tcPr>
            <w:tcW w:w="7302" w:type="dxa"/>
            <w:tcBorders>
              <w:top w:val="single" w:sz="4" w:space="0" w:color="auto"/>
              <w:left w:val="single" w:sz="4" w:space="0" w:color="auto"/>
              <w:bottom w:val="single" w:sz="4" w:space="0" w:color="auto"/>
              <w:right w:val="single" w:sz="4" w:space="0" w:color="auto"/>
            </w:tcBorders>
          </w:tcPr>
          <w:p w:rsidR="00F732BD" w:rsidRDefault="004B7065">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一、公司基本情况介绍</w:t>
            </w:r>
          </w:p>
          <w:p w:rsidR="00F732BD" w:rsidRDefault="004B7065">
            <w:pPr>
              <w:spacing w:beforeLines="20" w:before="62" w:afterLines="20" w:after="62"/>
              <w:ind w:firstLineChars="200" w:firstLine="420"/>
              <w:rPr>
                <w:rFonts w:ascii="宋体" w:hAnsi="宋体" w:cs="宋体"/>
                <w:szCs w:val="21"/>
              </w:rPr>
            </w:pPr>
            <w:r>
              <w:rPr>
                <w:rFonts w:ascii="宋体" w:hAnsi="宋体" w:cs="宋体" w:hint="eastAsia"/>
                <w:szCs w:val="21"/>
              </w:rPr>
              <w:t>公司位于北京，成立于2008年，深耕于商业与公共服务领域，其中商业领域包括并不限于通信、ICT、耐用消费品、快速消费品、汽车、金融（银行、证券等）、烟草、医疗等行业，主要客户为世界500强、中国500强及行业头部品牌、新消费品牌为主，过去十余年累计服务客户超2000家，具备数据采集、分析、治理、流通、应用等多个环节，形成了数据分析、数据挖掘、数据运营领域的核心竞争力，积累了广泛的数据应用场景。</w:t>
            </w:r>
          </w:p>
          <w:p w:rsidR="00F732BD" w:rsidRDefault="004B7065">
            <w:pPr>
              <w:spacing w:beforeLines="20" w:before="62" w:afterLines="20" w:after="62"/>
              <w:ind w:firstLineChars="200" w:firstLine="420"/>
              <w:rPr>
                <w:rFonts w:ascii="宋体" w:hAnsi="宋体" w:cs="宋体"/>
                <w:szCs w:val="21"/>
              </w:rPr>
            </w:pPr>
            <w:r>
              <w:rPr>
                <w:rFonts w:ascii="宋体" w:hAnsi="宋体" w:cs="宋体" w:hint="eastAsia"/>
                <w:szCs w:val="21"/>
              </w:rPr>
              <w:t>公司以深厚的行业洞察和经验知识为根基，以数字化技术与 AI 技术为创新驱动，持续在商业领域赋能客户实现数据要素价值变现，打造中国领先的数据要素应用技术和运营服务供应商。作为“数据要素+AI”应用的综合服务提供商，公司聚焦数据、算法模型（AI）业务、算力基础设施等业务，运用大数据、机器学习、深度学习、人工智能(AI)、自然语言处理、数据可视化、知识图谱等数字技术，推动数据资产价值化、AI 应用场景化、算力支撑普及化。</w:t>
            </w:r>
          </w:p>
          <w:p w:rsidR="00F732BD" w:rsidRDefault="004B7065">
            <w:pPr>
              <w:spacing w:beforeLines="20" w:before="62" w:afterLines="20" w:after="62"/>
              <w:ind w:firstLineChars="200" w:firstLine="420"/>
              <w:rPr>
                <w:rFonts w:ascii="宋体" w:hAnsi="宋体" w:cs="宋体"/>
                <w:szCs w:val="21"/>
              </w:rPr>
            </w:pPr>
            <w:r>
              <w:rPr>
                <w:rFonts w:ascii="宋体" w:hAnsi="宋体" w:cs="宋体" w:hint="eastAsia"/>
                <w:szCs w:val="21"/>
              </w:rPr>
              <w:t>公司充分利用长期服务的行业头部客户资源，基于在数据、算法、模型等方面所积累的多维数据库、丰富业务场景、行业知识库、算法模型库与行业</w:t>
            </w:r>
            <w:r>
              <w:rPr>
                <w:rFonts w:ascii="宋体" w:hAnsi="宋体" w:cs="宋体" w:hint="eastAsia"/>
                <w:szCs w:val="21"/>
              </w:rPr>
              <w:lastRenderedPageBreak/>
              <w:t>knowhow等深厚积淀，构建数据、算法及算力融合的核心能力。目前，在商业客户的agent应用落地和AI算力软件方面均有相应的落地。</w:t>
            </w:r>
          </w:p>
          <w:p w:rsidR="00F732BD" w:rsidRDefault="004B7065">
            <w:pPr>
              <w:spacing w:beforeLines="20" w:before="62" w:afterLines="20" w:after="62"/>
              <w:rPr>
                <w:rFonts w:ascii="宋体" w:hAnsi="宋体" w:cs="宋体"/>
                <w:b/>
                <w:bCs/>
                <w:sz w:val="24"/>
                <w:szCs w:val="24"/>
              </w:rPr>
            </w:pPr>
            <w:r>
              <w:rPr>
                <w:rFonts w:ascii="宋体" w:hAnsi="宋体" w:cs="宋体" w:hint="eastAsia"/>
                <w:b/>
                <w:bCs/>
                <w:sz w:val="24"/>
                <w:szCs w:val="24"/>
              </w:rPr>
              <w:t>二、互动环节</w:t>
            </w:r>
          </w:p>
          <w:p w:rsidR="00F732BD" w:rsidRDefault="004B7065">
            <w:pPr>
              <w:spacing w:beforeLines="20" w:before="62" w:afterLines="20" w:after="62"/>
              <w:rPr>
                <w:rFonts w:ascii="宋体" w:hAnsi="宋体" w:cs="宋体"/>
                <w:b/>
                <w:szCs w:val="21"/>
              </w:rPr>
            </w:pPr>
            <w:r>
              <w:rPr>
                <w:rFonts w:ascii="宋体" w:hAnsi="宋体" w:cs="宋体" w:hint="eastAsia"/>
                <w:b/>
                <w:szCs w:val="21"/>
              </w:rPr>
              <w:t>1、目前，公司在AI agent方面有哪些产品，有哪些行业客户落地？</w:t>
            </w:r>
          </w:p>
          <w:p w:rsidR="00F732BD" w:rsidRDefault="004B7065">
            <w:pPr>
              <w:spacing w:beforeLines="20" w:before="62" w:afterLines="20" w:after="62"/>
              <w:ind w:firstLineChars="200" w:firstLine="420"/>
              <w:rPr>
                <w:rFonts w:ascii="宋体" w:hAnsi="宋体" w:cs="宋体"/>
                <w:szCs w:val="21"/>
              </w:rPr>
            </w:pPr>
            <w:r>
              <w:rPr>
                <w:rFonts w:ascii="宋体" w:hAnsi="宋体" w:cs="宋体" w:hint="eastAsia"/>
                <w:szCs w:val="21"/>
              </w:rPr>
              <w:t xml:space="preserve">答：当前，AI技术发展迅猛，公司也积极置身其中，过去两年公司依托过去数据、算法模型及场景Know-How的积累，目前形成了自有的文本、音频、数字人模型的研发并通过国家网信办备案，积极探索与客户业务场景融合落地的商机，基于对客户的需求和业务能力的积累，公司发布了“慧AI智能应用平台”等相关算法模型产品，满足客户通过AI进行降本增效的需求。此外，底层大模型除了支持慧辰自研的行业大模型与数字人模型外，也接入主流公开服务模型（包括DeepSeek、文心一言、智谱AI、Kimi、百川智能、GPT等），平台的应用以Agent智能体形式，支持自研应用与合作方应用部署。公司联合行业智算硬件合作方，基于DeepSeek大模型与慧AI数字员工产品，构建数字员工一体机解决方案。提供从“底层算力、大模型部署、推理训练、数字员工应用”的全栈解决方案，助力消费品、金融、通信、互联网、医疗、政府等行业用户实现“硬件+大模型+智能应用”的一键式部署，可实现快速构建知识检索、业务办公、知识库问答、数字客服等多种智能应用能力，帮助用户形成覆盖“业务-服务-运营-决策”的智能应用能力，标准SaaS版本可服务大量中小企业低成本业务提效需求。 </w:t>
            </w:r>
          </w:p>
          <w:p w:rsidR="00F732BD" w:rsidRDefault="004B7065">
            <w:pPr>
              <w:spacing w:beforeLines="20" w:before="62" w:afterLines="20" w:after="62"/>
              <w:ind w:firstLineChars="200" w:firstLine="420"/>
              <w:rPr>
                <w:rFonts w:ascii="宋体" w:hAnsi="宋体" w:cs="宋体"/>
                <w:szCs w:val="21"/>
              </w:rPr>
            </w:pPr>
            <w:r>
              <w:rPr>
                <w:rFonts w:ascii="宋体" w:hAnsi="宋体" w:cs="宋体" w:hint="eastAsia"/>
                <w:szCs w:val="21"/>
              </w:rPr>
              <w:t>在服务模式上，针对大型企业业务数据安全与定制化需求，也可提供私有化部署，能够结合企业私有数据提供优化微调的专业大模型应用能力。比如在服务商业消费与营销类场景的产品，包括“慧AI”、“AIGC+洞察创新”、“AIGC+数字营销”、“AIGC+客户体验”、“AI数字分身”等，可全面赋能客户的商业运营。当前，SaaS版本已经通过合作渠道进行行业推广，定制部署版本已有大企业客户在交付中。公司也在积极探索在消费品、烟草等相关领域头部品牌私有化全域AI Agent部署有序推进落地中。相关业务情况，以公开披露信息为准，也请投资者理性判断。</w:t>
            </w:r>
          </w:p>
          <w:p w:rsidR="00F732BD" w:rsidRDefault="004B7065">
            <w:pPr>
              <w:spacing w:beforeLines="20" w:before="62" w:afterLines="20" w:after="62"/>
              <w:rPr>
                <w:rFonts w:ascii="宋体" w:hAnsi="宋体" w:cs="宋体"/>
                <w:b/>
                <w:szCs w:val="21"/>
              </w:rPr>
            </w:pPr>
            <w:r>
              <w:rPr>
                <w:rFonts w:ascii="宋体" w:hAnsi="宋体" w:cs="宋体" w:hint="eastAsia"/>
                <w:b/>
                <w:szCs w:val="21"/>
              </w:rPr>
              <w:t>2、公司在数据方面有哪些积累？</w:t>
            </w:r>
          </w:p>
          <w:p w:rsidR="00F732BD" w:rsidRDefault="004B7065">
            <w:pPr>
              <w:spacing w:beforeLines="20" w:before="62" w:afterLines="20" w:after="62"/>
              <w:ind w:firstLineChars="200" w:firstLine="420"/>
              <w:rPr>
                <w:rFonts w:ascii="宋体" w:hAnsi="宋体" w:cs="宋体"/>
                <w:szCs w:val="21"/>
              </w:rPr>
            </w:pPr>
            <w:r>
              <w:rPr>
                <w:rFonts w:ascii="宋体" w:hAnsi="宋体" w:cs="宋体" w:hint="eastAsia"/>
                <w:szCs w:val="21"/>
              </w:rPr>
              <w:t>答：公司在数据分析领域深耕多年，十余年来持续服务多个行业大中型商业客户和政府及公共服务机构客户，在国内市场拥有较高的营收规模，围绕数据要素应用在数据科学方法论、数据分析应用场景、行业专业数据算法模型等方面积累了丰富的经验。</w:t>
            </w:r>
          </w:p>
          <w:p w:rsidR="00F732BD" w:rsidRDefault="004B7065">
            <w:pPr>
              <w:spacing w:beforeLines="20" w:before="62" w:afterLines="20" w:after="62"/>
              <w:ind w:firstLineChars="200" w:firstLine="420"/>
              <w:rPr>
                <w:rFonts w:ascii="宋体" w:hAnsi="宋体" w:cs="宋体"/>
                <w:szCs w:val="21"/>
              </w:rPr>
            </w:pPr>
            <w:r>
              <w:rPr>
                <w:rFonts w:ascii="宋体" w:hAnsi="宋体" w:cs="宋体" w:hint="eastAsia"/>
                <w:szCs w:val="21"/>
              </w:rPr>
              <w:t xml:space="preserve">公司每年采购大量数据，上市以来为例，公司数据采集及采购费用合计占营收比重分别为 51.59%、56.67%、60.38%、59.74%、59.56%。对服务行业有着深刻的理解和较强的技术实现能力，公司在相关的技术（大数据的处理与融合、机器学习、深度学习、AIGC 大语言生成模型方面）方面具有专业技术能力，同时具备垂直业务领域的专业业务分析的体系化认知积累（方法论与相关高质量的分析数据资源），通过将上述两方面优势经过多年的积累和融合，形成了如下技术优势：a.相关数据分析技术能将 AI、数据科学技术与行业方法论有效融合，在业务深度与智能化方面不断满足客户专业需求；2023 年以来，公司基于自主 AIGC 技术与资源优势研发适合行业应用的文本生成/语音生成/数字人生成等多个大模型，并于 2024 年通过国家网信办算法备案。基于自主 AIGC 大模型能力，进一步研发新的分析产品和优化重构现有产品，体现了 </w:t>
            </w:r>
            <w:r>
              <w:rPr>
                <w:rFonts w:ascii="宋体" w:hAnsi="宋体" w:cs="宋体" w:hint="eastAsia"/>
                <w:szCs w:val="21"/>
              </w:rPr>
              <w:lastRenderedPageBreak/>
              <w:t>AI 技术与行业应用的快速结合能力。b.具备多维度数据（业务相关内、外部大数据与传统消费者体验小数据等）、异构数据（结构化数据与非结构化数据）的综合分析与应用技术能力，能够结合实际情况在低成本与良好效果方面达到统一。c.公司基于数据的业务分析技术与产品研发，已实现闭环的技术化驱动道路，研发的大量行业数据分析技术和数据应用模型，如面向商业消费体验的分析方法与技术模型、面向商业营销的个性化用户分析与推荐技术模型、面向产品创新的AIGC创新生成技术和面向农业、烟草数字化领域的智能分析技术等等已进行相关专利和软著申请，形成了系列软件化、公有云服务模式为核心的SaaS化分析产品，并在实际业务服务中使用，成为支撑公司业务服务的基础核心能力，已固化为公司的核心技术竞争力，并不断优化和迭代，在实际业务中不断驱动和提升业务服务领域与竞争力。相关情况，以公开披露信息为准，也请投资者理性判断。</w:t>
            </w:r>
          </w:p>
          <w:p w:rsidR="00F732BD" w:rsidRDefault="004B7065">
            <w:pPr>
              <w:spacing w:beforeLines="20" w:before="62" w:afterLines="20" w:after="62"/>
              <w:rPr>
                <w:rFonts w:ascii="宋体" w:hAnsi="宋体" w:cs="宋体"/>
                <w:b/>
                <w:szCs w:val="21"/>
              </w:rPr>
            </w:pPr>
            <w:r>
              <w:rPr>
                <w:rFonts w:ascii="宋体" w:hAnsi="宋体" w:cs="宋体" w:hint="eastAsia"/>
                <w:b/>
                <w:szCs w:val="21"/>
              </w:rPr>
              <w:t>3、公司在数据资源方面的积累，为AI agent应用落地方面有哪些赋能？</w:t>
            </w:r>
          </w:p>
          <w:p w:rsidR="00F732BD" w:rsidRDefault="004B7065">
            <w:pPr>
              <w:spacing w:beforeLines="20" w:before="62" w:afterLines="20" w:after="62"/>
              <w:ind w:firstLineChars="200" w:firstLine="420"/>
              <w:rPr>
                <w:rFonts w:ascii="宋体" w:hAnsi="宋体" w:cs="宋体"/>
                <w:szCs w:val="21"/>
              </w:rPr>
            </w:pPr>
            <w:r>
              <w:rPr>
                <w:rFonts w:ascii="宋体" w:hAnsi="宋体" w:cs="宋体" w:hint="eastAsia"/>
                <w:szCs w:val="21"/>
              </w:rPr>
              <w:t>答：经过十余年服务超大型客户及公共服务领域的沉淀形成了行业知识库、算法模型库与大量专业数据分析报告，为公司算法模型提供了丰富的训练语料库，形成了面向领域场景的多个大模型生成技术。此外，公司在过去十余年数据处理过程中，形成了细分行业的大量标签、场景Know how,在业务场景中的agent私有化部署、训练调优的落地，提供了扎实的基础，让团队在为客户交付可以实现快速介入，高效交付。相关情况，以公开披露信息为准，也请投资者理性判断。</w:t>
            </w:r>
          </w:p>
          <w:p w:rsidR="00F732BD" w:rsidRDefault="004B7065">
            <w:pPr>
              <w:spacing w:beforeLines="20" w:before="62" w:afterLines="20" w:after="62"/>
              <w:rPr>
                <w:rFonts w:ascii="宋体" w:hAnsi="宋体" w:cs="宋体"/>
                <w:b/>
                <w:szCs w:val="21"/>
              </w:rPr>
            </w:pPr>
            <w:r>
              <w:rPr>
                <w:rFonts w:ascii="宋体" w:hAnsi="宋体" w:cs="宋体" w:hint="eastAsia"/>
                <w:b/>
                <w:szCs w:val="21"/>
              </w:rPr>
              <w:t>4、公司在算力软硬件方面有哪些进展，可以为客户提供哪些产品？</w:t>
            </w:r>
          </w:p>
          <w:p w:rsidR="00F732BD" w:rsidRDefault="004B7065">
            <w:pPr>
              <w:spacing w:beforeLines="20" w:before="62" w:afterLines="20" w:after="62"/>
              <w:ind w:firstLineChars="200" w:firstLine="420"/>
              <w:rPr>
                <w:rFonts w:ascii="宋体" w:hAnsi="宋体" w:cs="宋体"/>
                <w:szCs w:val="21"/>
              </w:rPr>
            </w:pPr>
            <w:r>
              <w:rPr>
                <w:rFonts w:ascii="宋体" w:hAnsi="宋体" w:cs="宋体" w:hint="eastAsia"/>
                <w:szCs w:val="21"/>
              </w:rPr>
              <w:t>答：2024年7月公司发布了面向智算资源运营管理的一站式产品——算力融合管理服务平台。①算力软件服务领域，公司已储备智能算力基础设施以支撑公司在相关领域的业务发展，并与中科信控、棱镜数聚达成战略合作，基于各方优势，联合研发“融合算力管理服务平台”，其主要通过通用算力与智能算力的融合运营模式，满足智算运营精细化的趋势化需求。该平台提供全生命期的智算算力资源运维/常规运营管理功能，结合智算运营特点，重点加强了细粒度的智算资源服务和提升运营收益的精细化运营能力，可扩展多样的算力服务产品以及更好地满足不同 AI 算力租用的场景需求。同时，为平台服务的算力租用用户预置了大量高性能 AI模型镜像与全流程的开发部署套件，赋能租户便捷高效地构建 AI 应用，从而在价格与易用性方面可有效吸引更多长尾、中小型智算应用需求客户群体。②算力硬件服务业务，公司已经开始为客户交付算力资源。相关情况，以公开披露信息为准，也请投资者理性判断。</w:t>
            </w:r>
          </w:p>
          <w:p w:rsidR="00F732BD" w:rsidRDefault="004B7065">
            <w:pPr>
              <w:spacing w:beforeLines="20" w:before="62" w:afterLines="20" w:after="62"/>
              <w:rPr>
                <w:rFonts w:ascii="宋体" w:hAnsi="宋体" w:cs="宋体"/>
                <w:b/>
                <w:szCs w:val="21"/>
              </w:rPr>
            </w:pPr>
            <w:r>
              <w:rPr>
                <w:rFonts w:ascii="宋体" w:hAnsi="宋体" w:cs="宋体" w:hint="eastAsia"/>
                <w:b/>
                <w:szCs w:val="21"/>
              </w:rPr>
              <w:t>5、公司在AI应用算力软件方面是否有订单落地，为客户提供什么解决方案？</w:t>
            </w:r>
          </w:p>
          <w:p w:rsidR="00F732BD" w:rsidRDefault="004B7065">
            <w:pPr>
              <w:spacing w:beforeLines="20" w:before="62" w:afterLines="20" w:after="62"/>
              <w:ind w:firstLineChars="200" w:firstLine="420"/>
              <w:rPr>
                <w:rFonts w:ascii="宋体" w:hAnsi="宋体" w:cs="宋体"/>
                <w:szCs w:val="21"/>
              </w:rPr>
            </w:pPr>
            <w:r>
              <w:rPr>
                <w:rFonts w:ascii="宋体" w:hAnsi="宋体" w:cs="宋体" w:hint="eastAsia"/>
                <w:szCs w:val="21"/>
              </w:rPr>
              <w:t>答：公司近期签署了某“AI公共算力平台软件”项目。此次合作涵盖算力运营所需的软件安装部署、多系统对接、授权管理及持续技术维护等核心环节。相关情况，以公开披露信息为准，也请投资者理性判断。</w:t>
            </w:r>
          </w:p>
          <w:p w:rsidR="00F732BD" w:rsidRDefault="004B7065">
            <w:pPr>
              <w:spacing w:beforeLines="20" w:before="62" w:afterLines="20" w:after="62"/>
              <w:rPr>
                <w:rFonts w:ascii="宋体" w:hAnsi="宋体" w:cs="宋体"/>
                <w:b/>
                <w:szCs w:val="21"/>
              </w:rPr>
            </w:pPr>
            <w:r>
              <w:rPr>
                <w:rFonts w:ascii="宋体" w:hAnsi="宋体" w:cs="宋体" w:hint="eastAsia"/>
                <w:b/>
                <w:szCs w:val="21"/>
              </w:rPr>
              <w:t>6、公司从事数据、算法方面的团队怎么样？这些团队是否在近期公布的股权激励名单中？</w:t>
            </w:r>
          </w:p>
          <w:p w:rsidR="00F732BD" w:rsidRDefault="004B7065">
            <w:pPr>
              <w:spacing w:beforeLines="20" w:before="62" w:afterLines="20" w:after="62"/>
              <w:ind w:firstLineChars="200" w:firstLine="420"/>
              <w:rPr>
                <w:rFonts w:ascii="宋体" w:hAnsi="宋体" w:cs="宋体"/>
                <w:szCs w:val="21"/>
              </w:rPr>
            </w:pPr>
            <w:r>
              <w:rPr>
                <w:rFonts w:ascii="宋体" w:hAnsi="宋体" w:cs="宋体" w:hint="eastAsia"/>
                <w:szCs w:val="21"/>
              </w:rPr>
              <w:t>答：公司核心技术人员马亮和王驰分别毕业于清华大学和北京邮电大学计算机系，并获得博士学位，在数据科学相关的大数据融合处理、机器学习、AI 与 AIGC 技术领域具有深厚的专业背景，并具备多年业务实践积累，2023 年主持研发公司自主行业性 AIGC 生成类大模型算法；核心技术人员韩丁针对公</w:t>
            </w:r>
            <w:r>
              <w:rPr>
                <w:rFonts w:ascii="宋体" w:hAnsi="宋体" w:cs="宋体" w:hint="eastAsia"/>
                <w:szCs w:val="21"/>
              </w:rPr>
              <w:lastRenderedPageBreak/>
              <w:t>司重要业务（如消费者体验类）的主要分析场景，积累了大量专业分析数据，建立了核心分析方法体系。</w:t>
            </w:r>
          </w:p>
          <w:p w:rsidR="00F732BD" w:rsidRDefault="004B7065">
            <w:pPr>
              <w:spacing w:beforeLines="20" w:before="62" w:afterLines="20" w:after="62"/>
              <w:ind w:firstLineChars="200" w:firstLine="420"/>
              <w:rPr>
                <w:rFonts w:ascii="宋体" w:hAnsi="宋体" w:cs="宋体"/>
                <w:szCs w:val="21"/>
              </w:rPr>
            </w:pPr>
            <w:r>
              <w:rPr>
                <w:rFonts w:ascii="宋体" w:hAnsi="宋体" w:cs="宋体" w:hint="eastAsia"/>
                <w:szCs w:val="21"/>
              </w:rPr>
              <w:t>公司核心技术人员和主要研发人员通过将AI、数据科学技术与垂直领域专业数据分析方法模型进行有效融合，并在实际业务使用过程中持续对算法和模型进行优化，形成了独特的技术体系，受到了行业头部企业的一致认可。公司管理团队主要来自国际领先研究咨询公司以及行业内著名企业，对行业具有深刻的理解，在数据分析模型构建和研究方法论等方面具有丰富的行业经验。公司管理团队可以准确把握数据分析行业的发展趋势，并制定公司相应的外部发展计划和内部管理制度。为持续提升公司核心竞争力，让优秀人才与公司共同成长，此次，股权激励相关核心员工均有股权激励。</w:t>
            </w:r>
          </w:p>
          <w:p w:rsidR="00F732BD" w:rsidRDefault="004B7065">
            <w:pPr>
              <w:spacing w:beforeLines="20" w:before="62" w:afterLines="20" w:after="62"/>
              <w:rPr>
                <w:rFonts w:ascii="宋体" w:hAnsi="宋体" w:cs="宋体"/>
                <w:b/>
                <w:szCs w:val="21"/>
              </w:rPr>
            </w:pPr>
            <w:r>
              <w:rPr>
                <w:rFonts w:ascii="宋体" w:hAnsi="宋体" w:cs="宋体" w:hint="eastAsia"/>
                <w:b/>
                <w:szCs w:val="21"/>
              </w:rPr>
              <w:t>7、公司未来发展战略是怎样的？</w:t>
            </w:r>
          </w:p>
          <w:p w:rsidR="00F732BD" w:rsidRDefault="004B7065">
            <w:pPr>
              <w:spacing w:beforeLines="20" w:before="62" w:afterLines="20" w:after="62"/>
              <w:ind w:firstLineChars="200" w:firstLine="420"/>
              <w:rPr>
                <w:rFonts w:ascii="宋体" w:hAnsi="宋体" w:cs="宋体"/>
                <w:szCs w:val="21"/>
              </w:rPr>
            </w:pPr>
            <w:r>
              <w:rPr>
                <w:rFonts w:ascii="宋体" w:hAnsi="宋体" w:cs="宋体" w:hint="eastAsia"/>
                <w:szCs w:val="21"/>
              </w:rPr>
              <w:t>答：公司将持续聚焦主业，深耕“数据、算法（AI）、算力”为核心的产品矩阵，为客户创造更多数字时代、智能时代的全栈解决方案。从过去发展看，公司有信心在AI时代来临的今天，持续为客户创造更多的价值，为股东也将创造可预期的价值。公司从2012年开始，就开始推进专业分析模型与数据科学技术综合驱动的数据业务服务模式，积极研发面向多维数据与数据科学技术驱动的分析技术与软件产品，并积累了大量行业性、高质量的分析数据资源。2018 年以来公司加快了 AI 技术的融合，并在2023年基于数据积累与技术优势研发行业性 AIGC 生成大模型技术，并对自身分析产品进行 AI 化重构改造。率先实现了对包括企业内外部的数据、消费者态度与行为数据和行业数据的多维度数据的融合分析，通过体系化与智能化的数据分析软件产品和相关数字化平台系统，快速有效发现客户实际业务中遇到的问题，并生成具有针对性的数字化解决方案，形成公司独特的技术、产品、服务优势。</w:t>
            </w:r>
          </w:p>
          <w:p w:rsidR="00F732BD" w:rsidRDefault="004B7065">
            <w:pPr>
              <w:spacing w:beforeLines="20" w:before="62" w:afterLines="20" w:after="62"/>
              <w:ind w:firstLineChars="200" w:firstLine="420"/>
              <w:rPr>
                <w:rFonts w:ascii="宋体" w:hAnsi="宋体" w:cs="宋体"/>
                <w:szCs w:val="21"/>
              </w:rPr>
            </w:pPr>
            <w:r>
              <w:rPr>
                <w:rFonts w:ascii="宋体" w:hAnsi="宋体" w:cs="宋体" w:hint="eastAsia"/>
                <w:szCs w:val="21"/>
              </w:rPr>
              <w:t>2023年以来，公司面向未来核心业务 AI 化的趋势，积极研发构建基于 AIGC Agent 智能体的企业业务分析智能化服务体系，通过中台化模式，统一提供资源、数据、模型与AI分析应用的完整支撑，帮助客户在更多业务场景中实现快速的数据智能化分析。在此基础上，公司延展研发相关 AI 能力中台系列产品，满足企业在实际 AI 应用建设中所需的底层支撑性需求（如大量 AI 智能算力资源的服务管理、AI 应用的微调与快速训练部署），给客户从底层 AI 能力到上层 AI 业务应用全栈赋能，公司已储备算力基础设施相关资源，研发算力调度运营平台，以支撑公司在相关领域的业务发展。</w:t>
            </w:r>
          </w:p>
          <w:p w:rsidR="00F732BD" w:rsidRDefault="004B7065">
            <w:pPr>
              <w:numPr>
                <w:ilvl w:val="0"/>
                <w:numId w:val="1"/>
              </w:numPr>
              <w:spacing w:beforeLines="20" w:before="62" w:afterLines="20" w:after="62"/>
              <w:rPr>
                <w:rFonts w:ascii="宋体" w:hAnsi="宋体" w:cs="宋体"/>
                <w:b/>
                <w:bCs/>
                <w:szCs w:val="21"/>
              </w:rPr>
            </w:pPr>
            <w:r>
              <w:rPr>
                <w:rFonts w:ascii="宋体" w:hAnsi="宋体" w:cs="宋体" w:hint="eastAsia"/>
                <w:b/>
                <w:bCs/>
                <w:szCs w:val="21"/>
              </w:rPr>
              <w:t>公司已经发布了股权激励，激励的范围还是覆盖了大部分业务和技术骨干，公司对实现业绩目标是否有信心？</w:t>
            </w:r>
          </w:p>
          <w:p w:rsidR="00F732BD" w:rsidRDefault="004B7065" w:rsidP="00D51E16">
            <w:pPr>
              <w:spacing w:beforeLines="20" w:before="62" w:afterLines="20" w:after="62"/>
              <w:rPr>
                <w:rFonts w:ascii="宋体" w:hAnsi="宋体" w:cs="宋体"/>
                <w:b/>
                <w:bCs/>
                <w:szCs w:val="21"/>
              </w:rPr>
            </w:pPr>
            <w:r>
              <w:rPr>
                <w:rFonts w:ascii="宋体" w:hAnsi="宋体" w:cs="宋体" w:hint="eastAsia"/>
                <w:b/>
                <w:bCs/>
                <w:szCs w:val="21"/>
              </w:rPr>
              <w:t xml:space="preserve">   </w:t>
            </w:r>
            <w:r>
              <w:rPr>
                <w:rFonts w:ascii="宋体" w:hAnsi="宋体" w:cs="宋体" w:hint="eastAsia"/>
                <w:szCs w:val="21"/>
              </w:rPr>
              <w:t xml:space="preserve"> 答：2025年</w:t>
            </w:r>
            <w:r w:rsidR="00FD6A59">
              <w:rPr>
                <w:rFonts w:ascii="宋体" w:hAnsi="宋体" w:cs="宋体" w:hint="eastAsia"/>
                <w:szCs w:val="21"/>
              </w:rPr>
              <w:t>上半年</w:t>
            </w:r>
            <w:r w:rsidR="00FE0465">
              <w:rPr>
                <w:rFonts w:ascii="宋体" w:hAnsi="宋体" w:cs="宋体" w:hint="eastAsia"/>
                <w:szCs w:val="21"/>
              </w:rPr>
              <w:t>，</w:t>
            </w:r>
            <w:r>
              <w:rPr>
                <w:rFonts w:ascii="宋体" w:hAnsi="宋体" w:cs="宋体" w:hint="eastAsia"/>
                <w:szCs w:val="21"/>
              </w:rPr>
              <w:t>公司发布了股权激励方案，</w:t>
            </w:r>
            <w:r w:rsidR="00FD6A59">
              <w:rPr>
                <w:rFonts w:ascii="宋体" w:hAnsi="宋体" w:cs="宋体" w:hint="eastAsia"/>
                <w:szCs w:val="21"/>
              </w:rPr>
              <w:t>公司核心业务骨干及研发人员均获得了一定程度上的激励。</w:t>
            </w:r>
            <w:r>
              <w:rPr>
                <w:rFonts w:ascii="宋体" w:hAnsi="宋体" w:cs="宋体" w:hint="eastAsia"/>
                <w:szCs w:val="21"/>
              </w:rPr>
              <w:t>目前市场竞争环境</w:t>
            </w:r>
            <w:r w:rsidR="00FD6A59">
              <w:rPr>
                <w:rFonts w:ascii="宋体" w:hAnsi="宋体" w:cs="宋体" w:hint="eastAsia"/>
                <w:szCs w:val="21"/>
              </w:rPr>
              <w:t>激烈</w:t>
            </w:r>
            <w:r>
              <w:rPr>
                <w:rFonts w:ascii="宋体" w:hAnsi="宋体" w:cs="宋体" w:hint="eastAsia"/>
                <w:szCs w:val="21"/>
              </w:rPr>
              <w:t>，发挥团队战斗力和团队凝聚力是非常必要的，</w:t>
            </w:r>
            <w:r w:rsidR="00FD6A59" w:rsidRPr="00FD6A59">
              <w:rPr>
                <w:rFonts w:ascii="宋体" w:hAnsi="宋体" w:cs="宋体" w:hint="eastAsia"/>
                <w:szCs w:val="21"/>
              </w:rPr>
              <w:t>公司</w:t>
            </w:r>
            <w:r w:rsidR="00D51E16">
              <w:rPr>
                <w:rFonts w:ascii="宋体" w:hAnsi="宋体" w:cs="宋体" w:hint="eastAsia"/>
                <w:szCs w:val="21"/>
              </w:rPr>
              <w:t>将</w:t>
            </w:r>
            <w:r w:rsidR="00FD6A59" w:rsidRPr="00FD6A59">
              <w:rPr>
                <w:rFonts w:ascii="宋体" w:hAnsi="宋体" w:cs="宋体" w:hint="eastAsia"/>
                <w:szCs w:val="21"/>
              </w:rPr>
              <w:t>持续推进数据、算法和算力相关的业务，</w:t>
            </w:r>
            <w:r w:rsidR="00FD6A59">
              <w:rPr>
                <w:rFonts w:ascii="宋体" w:hAnsi="宋体" w:cs="宋体" w:hint="eastAsia"/>
                <w:szCs w:val="21"/>
              </w:rPr>
              <w:t>公司有信心实现股权激励计划的业绩</w:t>
            </w:r>
            <w:r w:rsidR="00FE0465">
              <w:rPr>
                <w:rFonts w:ascii="宋体" w:hAnsi="宋体" w:cs="宋体" w:hint="eastAsia"/>
                <w:szCs w:val="21"/>
              </w:rPr>
              <w:t>考核</w:t>
            </w:r>
            <w:r w:rsidR="00FD6A59">
              <w:rPr>
                <w:rFonts w:ascii="宋体" w:hAnsi="宋体" w:cs="宋体" w:hint="eastAsia"/>
                <w:szCs w:val="21"/>
              </w:rPr>
              <w:t>目标，有能力为公司创造更多价值，为股东创造更多</w:t>
            </w:r>
            <w:r>
              <w:rPr>
                <w:rFonts w:ascii="宋体" w:hAnsi="宋体" w:cs="宋体" w:hint="eastAsia"/>
                <w:szCs w:val="21"/>
              </w:rPr>
              <w:t>收益。</w:t>
            </w:r>
            <w:r w:rsidR="00FD6A59" w:rsidRPr="00FD6A59">
              <w:rPr>
                <w:rFonts w:ascii="宋体" w:hAnsi="宋体" w:cs="宋体" w:hint="eastAsia"/>
                <w:szCs w:val="21"/>
              </w:rPr>
              <w:t>感谢大家对公司的关注！</w:t>
            </w:r>
          </w:p>
        </w:tc>
      </w:tr>
      <w:tr w:rsidR="00F732BD">
        <w:trPr>
          <w:trHeight w:val="889"/>
        </w:trPr>
        <w:tc>
          <w:tcPr>
            <w:tcW w:w="1220" w:type="dxa"/>
            <w:tcBorders>
              <w:top w:val="single" w:sz="4" w:space="0" w:color="auto"/>
              <w:left w:val="single" w:sz="4" w:space="0" w:color="auto"/>
              <w:bottom w:val="single" w:sz="4" w:space="0" w:color="auto"/>
              <w:right w:val="single" w:sz="4" w:space="0" w:color="auto"/>
            </w:tcBorders>
            <w:vAlign w:val="center"/>
          </w:tcPr>
          <w:p w:rsidR="00F732BD" w:rsidRDefault="004B7065">
            <w:pPr>
              <w:spacing w:line="480" w:lineRule="atLeast"/>
              <w:ind w:firstLineChars="50" w:firstLine="120"/>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lastRenderedPageBreak/>
              <w:t>附件清单</w:t>
            </w:r>
          </w:p>
        </w:tc>
        <w:tc>
          <w:tcPr>
            <w:tcW w:w="7302" w:type="dxa"/>
            <w:tcBorders>
              <w:top w:val="single" w:sz="4" w:space="0" w:color="auto"/>
              <w:left w:val="single" w:sz="4" w:space="0" w:color="auto"/>
              <w:bottom w:val="single" w:sz="4" w:space="0" w:color="auto"/>
              <w:right w:val="single" w:sz="4" w:space="0" w:color="auto"/>
            </w:tcBorders>
          </w:tcPr>
          <w:tbl>
            <w:tblPr>
              <w:tblW w:w="0" w:type="auto"/>
              <w:tblLayout w:type="fixed"/>
              <w:tblCellMar>
                <w:left w:w="0" w:type="dxa"/>
                <w:right w:w="0" w:type="dxa"/>
              </w:tblCellMar>
              <w:tblLook w:val="04A0" w:firstRow="1" w:lastRow="0" w:firstColumn="1" w:lastColumn="0" w:noHBand="0" w:noVBand="1"/>
            </w:tblPr>
            <w:tblGrid>
              <w:gridCol w:w="5760"/>
            </w:tblGrid>
            <w:tr w:rsidR="00F732BD">
              <w:tc>
                <w:tcPr>
                  <w:tcW w:w="5760" w:type="dxa"/>
                  <w:shd w:val="clear" w:color="auto" w:fill="auto"/>
                  <w:tcMar>
                    <w:left w:w="144" w:type="dxa"/>
                    <w:right w:w="144" w:type="dxa"/>
                  </w:tcMar>
                  <w:vAlign w:val="center"/>
                </w:tcPr>
                <w:p w:rsidR="00F732BD" w:rsidRPr="004B7065" w:rsidRDefault="004B7065">
                  <w:pPr>
                    <w:pStyle w:val="p1"/>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Enreal Asset Management Limited</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安华农业保险股份有限公司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安信基金管理有限责任公司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北海恒睿信私募基金管理有限公司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北京含章私募基金管理有限公司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lastRenderedPageBreak/>
                    <w:t>北京凯思博投资管理有限公司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北京龙杉伟业资本投资有限公司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北京人寿保险股份有限公司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北京盈和智投</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博时基金管理有限公司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博远基金管理有限公司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财通证券资产管理有限公司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诚通集团</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创金合信基金管理有限公司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大家资产管理有限责任公司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大家资产管理有限责任公司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东北证券股份有限公司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东方财富证券股份有限公司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东方基金管理股份有限公司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东吴基金管理有限公司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东吴证券股份有限公司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方正证券股份有限公司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飞天云动科技有限公司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富荣基金管理有限公司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格林基金</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广东钜洲投资有限责任公司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广东正圆私募基金管理有限公司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广发证券股份有限公司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广州御银科技股份有限公司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国金证券股份有限公司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国联安基金管理公司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国盛证券有限责任公司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国寿养老</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国泰海通证券股份有限公司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国泰基金管理有限公司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国元证券股份有限公司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恒泰证券股份有限公司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恒泽投资</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弘洛基金</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弘毅远方基金管理有限公司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红土创新基金管理有限公司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华安基金管理有限公司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华福证券股份有限公司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华贵人寿保险股份有限公司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华金证券股份有限公司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华泰柏瑞基金管理有限公司</w:t>
                  </w:r>
                </w:p>
              </w:tc>
            </w:tr>
            <w:tr w:rsidR="00F732BD">
              <w:tc>
                <w:tcPr>
                  <w:tcW w:w="5760" w:type="dxa"/>
                  <w:shd w:val="clear" w:color="auto" w:fill="auto"/>
                  <w:tcMar>
                    <w:left w:w="144" w:type="dxa"/>
                    <w:right w:w="144" w:type="dxa"/>
                  </w:tcMar>
                  <w:vAlign w:val="center"/>
                </w:tcPr>
                <w:p w:rsidR="00F732BD" w:rsidRPr="004B7065" w:rsidRDefault="00D00A31">
                  <w:pPr>
                    <w:pStyle w:val="p2"/>
                    <w:widowControl/>
                    <w:rPr>
                      <w:rFonts w:asciiTheme="minorEastAsia" w:eastAsiaTheme="minorEastAsia" w:hAnsiTheme="minorEastAsia"/>
                      <w:sz w:val="24"/>
                      <w:szCs w:val="24"/>
                    </w:rPr>
                  </w:pPr>
                  <w:r>
                    <w:rPr>
                      <w:rStyle w:val="s1"/>
                      <w:rFonts w:asciiTheme="minorEastAsia" w:eastAsiaTheme="minorEastAsia" w:hAnsiTheme="minorEastAsia"/>
                      <w:sz w:val="24"/>
                      <w:szCs w:val="24"/>
                    </w:rPr>
                    <w:t>华泰保兴基金管理有限公司</w:t>
                  </w:r>
                  <w:bookmarkStart w:id="0" w:name="_GoBack"/>
                  <w:bookmarkEnd w:id="0"/>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华泰资产管理有限公司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华西基金管理有限责任公司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lastRenderedPageBreak/>
                    <w:t>华夏基金管理有限公司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华鑫创展</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汇安基金管理有限责任公司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汇丰晋信基金管理有限公司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汇丰晋信基金管理有限公司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汇添富基金管理公司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嘉实基金管理有限公司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建信基金管理有限责任公司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建信理财有限责任公司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金信基金管理有限公司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金鹰基金管理有限公司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景顺长城基金管理有限公司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君康人寿保险股份有限公司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灵景投资</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陆家嘴国际信托有限公司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绿皮书上海科技有限公司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明世伙伴基金管理（珠海）有限公司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摩根士丹利基金</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诺安基金管理有限公司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诺德基金管理有限公司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鹏华基金管理有限公司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平安基金管理有限公司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平安资产管理有限公司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前海开源基金管理有限公司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全国社保理事会</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泉果基金管理有限公司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融通基金管理有限公司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上海高毅资产管理合伙企业（有限合伙）</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上海光大证券资产管理有限公司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上海培富投资管理有限公司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上海睿亿投资发展中心</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上海石锋资产管理有限公司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上海彤源投资发展有限公司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上投摩根基金管理有限公司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申万宏源证券有限公司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深圳芊榕基金</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深圳市德远投资有限公司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深圳市前海中钊资本管理有限公司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深圳昀科投资</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生命保险资产管理有限公司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盛熹管理咨询（北京）有限公司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苏州龙远投资管理有限公司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太平基金管理有限公司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太平养老保险股份有限公司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lastRenderedPageBreak/>
                    <w:t>太平资产管理有限公司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泰信基金管理有限公司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同泰基金管理有限公司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同亿富利投资</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微积分投资</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西部证券股份有限公司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西藏东财基金管理有限公司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香港京华山一国际</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新华基金管理股份有限公司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鑫元基金管理有限公司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信达澳亚基金管理有限公司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兴合基金管理有限公司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兴华基金管理有限公司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兴业证券股份有限公司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兴证证券资产管理有限公司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亚太财产保险有限公司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壹诺集团</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壹拾资产</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颐和银丰集团</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圆信永丰基金管理有限公司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长江养老保险股份有限公司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长生人寿保险有限公司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招商信诺资产管理有限公司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浙商证券股份有限公司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中保理想投资管理有限公司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中国银河证券股份有限公司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中海基金管理有限公司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中航证券有限公司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中睿合银投资管理有限公司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中泰证券股份有限公司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中信保诚基金管理有限公司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中信保诚人寿保险有限公司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中信建投证券股份有限公司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中信证券股份有限公司</w:t>
                  </w:r>
                </w:p>
              </w:tc>
            </w:tr>
            <w:tr w:rsidR="00F732BD">
              <w:tc>
                <w:tcPr>
                  <w:tcW w:w="5760" w:type="dxa"/>
                  <w:shd w:val="clear" w:color="auto" w:fill="auto"/>
                  <w:tcMar>
                    <w:left w:w="144" w:type="dxa"/>
                    <w:right w:w="144" w:type="dxa"/>
                  </w:tcMar>
                  <w:vAlign w:val="center"/>
                </w:tcPr>
                <w:p w:rsidR="00F732BD" w:rsidRPr="004B7065" w:rsidRDefault="004B7065">
                  <w:pPr>
                    <w:pStyle w:val="p2"/>
                    <w:widowControl/>
                    <w:rPr>
                      <w:rFonts w:asciiTheme="minorEastAsia" w:eastAsiaTheme="minorEastAsia" w:hAnsiTheme="minorEastAsia"/>
                      <w:sz w:val="24"/>
                      <w:szCs w:val="24"/>
                    </w:rPr>
                  </w:pPr>
                  <w:r w:rsidRPr="004B7065">
                    <w:rPr>
                      <w:rStyle w:val="s1"/>
                      <w:rFonts w:asciiTheme="minorEastAsia" w:eastAsiaTheme="minorEastAsia" w:hAnsiTheme="minorEastAsia"/>
                      <w:sz w:val="24"/>
                      <w:szCs w:val="24"/>
                    </w:rPr>
                    <w:t>中邮创业基金管理股份有限公司</w:t>
                  </w:r>
                </w:p>
              </w:tc>
            </w:tr>
          </w:tbl>
          <w:p w:rsidR="00F732BD" w:rsidRDefault="004B7065">
            <w:pPr>
              <w:pStyle w:val="p1"/>
              <w:widowControl/>
              <w:rPr>
                <w:rFonts w:asciiTheme="minorEastAsia" w:eastAsiaTheme="minorEastAsia" w:hAnsiTheme="minorEastAsia"/>
                <w:sz w:val="24"/>
                <w:szCs w:val="24"/>
              </w:rPr>
            </w:pPr>
            <w:r>
              <w:rPr>
                <w:rStyle w:val="s1"/>
              </w:rPr>
              <w:t> </w:t>
            </w:r>
            <w:r>
              <w:rPr>
                <w:rFonts w:asciiTheme="minorEastAsia" w:eastAsiaTheme="minorEastAsia" w:hAnsiTheme="minorEastAsia" w:hint="eastAsia"/>
                <w:sz w:val="24"/>
                <w:szCs w:val="24"/>
              </w:rPr>
              <w:t>（以上排名不分先后）</w:t>
            </w:r>
          </w:p>
        </w:tc>
      </w:tr>
    </w:tbl>
    <w:p w:rsidR="00F732BD" w:rsidRDefault="00F732BD">
      <w:pPr>
        <w:rPr>
          <w:rFonts w:asciiTheme="minorEastAsia" w:eastAsiaTheme="minorEastAsia" w:hAnsiTheme="minorEastAsia"/>
          <w:sz w:val="24"/>
          <w:szCs w:val="24"/>
        </w:rPr>
      </w:pPr>
    </w:p>
    <w:sectPr w:rsidR="00F732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BD0" w:rsidRDefault="00967BD0" w:rsidP="00FD6A59">
      <w:r>
        <w:separator/>
      </w:r>
    </w:p>
  </w:endnote>
  <w:endnote w:type="continuationSeparator" w:id="0">
    <w:p w:rsidR="00967BD0" w:rsidRDefault="00967BD0" w:rsidP="00FD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songti sc">
    <w:altName w:val="Arial Unicode MS"/>
    <w:charset w:val="86"/>
    <w:family w:val="auto"/>
    <w:pitch w:val="default"/>
    <w:sig w:usb0="00000000" w:usb1="080F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BD0" w:rsidRDefault="00967BD0" w:rsidP="00FD6A59">
      <w:r>
        <w:separator/>
      </w:r>
    </w:p>
  </w:footnote>
  <w:footnote w:type="continuationSeparator" w:id="0">
    <w:p w:rsidR="00967BD0" w:rsidRDefault="00967BD0" w:rsidP="00FD6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636D3"/>
    <w:multiLevelType w:val="singleLevel"/>
    <w:tmpl w:val="716636D3"/>
    <w:lvl w:ilvl="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YmQwMjRlMjk1MWUzZTBiZWI2OTU2YjVlZGY1NGIifQ=="/>
  </w:docVars>
  <w:rsids>
    <w:rsidRoot w:val="5F5C0C32"/>
    <w:rsid w:val="5F5C0C32"/>
    <w:rsid w:val="9FEF71F1"/>
    <w:rsid w:val="B79608EB"/>
    <w:rsid w:val="BB77C71A"/>
    <w:rsid w:val="D54505A2"/>
    <w:rsid w:val="F5E70857"/>
    <w:rsid w:val="FD2F47A2"/>
    <w:rsid w:val="FF9F170B"/>
    <w:rsid w:val="FFDFCBE4"/>
    <w:rsid w:val="000E70E5"/>
    <w:rsid w:val="00237C15"/>
    <w:rsid w:val="002D5B77"/>
    <w:rsid w:val="002F24AC"/>
    <w:rsid w:val="00314A4B"/>
    <w:rsid w:val="00385496"/>
    <w:rsid w:val="00413360"/>
    <w:rsid w:val="00435848"/>
    <w:rsid w:val="00481190"/>
    <w:rsid w:val="004B7065"/>
    <w:rsid w:val="00525E6F"/>
    <w:rsid w:val="0053213B"/>
    <w:rsid w:val="005954F4"/>
    <w:rsid w:val="005B471E"/>
    <w:rsid w:val="006338E5"/>
    <w:rsid w:val="0066609D"/>
    <w:rsid w:val="00760B1F"/>
    <w:rsid w:val="00777F0E"/>
    <w:rsid w:val="00852FF2"/>
    <w:rsid w:val="008E3718"/>
    <w:rsid w:val="00967BD0"/>
    <w:rsid w:val="009A7905"/>
    <w:rsid w:val="009B2410"/>
    <w:rsid w:val="009C1FD2"/>
    <w:rsid w:val="009F3310"/>
    <w:rsid w:val="00A57850"/>
    <w:rsid w:val="00A76D42"/>
    <w:rsid w:val="00A917D2"/>
    <w:rsid w:val="00C04F3C"/>
    <w:rsid w:val="00C65342"/>
    <w:rsid w:val="00CD09B8"/>
    <w:rsid w:val="00D00A31"/>
    <w:rsid w:val="00D35BAB"/>
    <w:rsid w:val="00D51E16"/>
    <w:rsid w:val="00E55DC0"/>
    <w:rsid w:val="00F07C60"/>
    <w:rsid w:val="00F31437"/>
    <w:rsid w:val="00F46587"/>
    <w:rsid w:val="00F732BD"/>
    <w:rsid w:val="00FD6A59"/>
    <w:rsid w:val="00FE0465"/>
    <w:rsid w:val="00FF1421"/>
    <w:rsid w:val="010B405F"/>
    <w:rsid w:val="01A0716D"/>
    <w:rsid w:val="023876D9"/>
    <w:rsid w:val="041374FB"/>
    <w:rsid w:val="04247911"/>
    <w:rsid w:val="05750E2D"/>
    <w:rsid w:val="08C7477D"/>
    <w:rsid w:val="08F33D56"/>
    <w:rsid w:val="0E236E8B"/>
    <w:rsid w:val="0E43308A"/>
    <w:rsid w:val="0FFF7484"/>
    <w:rsid w:val="11B922AF"/>
    <w:rsid w:val="125C296C"/>
    <w:rsid w:val="15202377"/>
    <w:rsid w:val="162F6444"/>
    <w:rsid w:val="18BF5A03"/>
    <w:rsid w:val="1C8A78E8"/>
    <w:rsid w:val="1DA653E3"/>
    <w:rsid w:val="1DAC0C4B"/>
    <w:rsid w:val="1DBFB89C"/>
    <w:rsid w:val="20AE6A88"/>
    <w:rsid w:val="2192A3E5"/>
    <w:rsid w:val="22477195"/>
    <w:rsid w:val="255120D8"/>
    <w:rsid w:val="26775B6F"/>
    <w:rsid w:val="26C30DB4"/>
    <w:rsid w:val="28F60FCD"/>
    <w:rsid w:val="29891E41"/>
    <w:rsid w:val="2A905451"/>
    <w:rsid w:val="2E382087"/>
    <w:rsid w:val="2E4E5407"/>
    <w:rsid w:val="2EDB15C4"/>
    <w:rsid w:val="2FAE6846"/>
    <w:rsid w:val="36D6243D"/>
    <w:rsid w:val="36DD1A1E"/>
    <w:rsid w:val="3B2D7F3C"/>
    <w:rsid w:val="3B7FCB50"/>
    <w:rsid w:val="3C7F0BD9"/>
    <w:rsid w:val="3D0E35D7"/>
    <w:rsid w:val="40DF1974"/>
    <w:rsid w:val="422B7AE1"/>
    <w:rsid w:val="42B23D5F"/>
    <w:rsid w:val="431C38CE"/>
    <w:rsid w:val="48EDE4B5"/>
    <w:rsid w:val="4AC565F9"/>
    <w:rsid w:val="4D126248"/>
    <w:rsid w:val="4F455F5A"/>
    <w:rsid w:val="53215E4A"/>
    <w:rsid w:val="53740BBC"/>
    <w:rsid w:val="57B974E6"/>
    <w:rsid w:val="5A9164F8"/>
    <w:rsid w:val="5D8F4F70"/>
    <w:rsid w:val="5F3A0F0C"/>
    <w:rsid w:val="5F5C0C32"/>
    <w:rsid w:val="5F922AF6"/>
    <w:rsid w:val="60441811"/>
    <w:rsid w:val="613C71BD"/>
    <w:rsid w:val="633839B4"/>
    <w:rsid w:val="666A657B"/>
    <w:rsid w:val="670E33AA"/>
    <w:rsid w:val="678B5DB5"/>
    <w:rsid w:val="693B41FE"/>
    <w:rsid w:val="69951B60"/>
    <w:rsid w:val="6A016C65"/>
    <w:rsid w:val="6B18C7DC"/>
    <w:rsid w:val="6D4F7BA7"/>
    <w:rsid w:val="6DFCC49A"/>
    <w:rsid w:val="6FBF4F22"/>
    <w:rsid w:val="7003534A"/>
    <w:rsid w:val="70074A49"/>
    <w:rsid w:val="70BD199D"/>
    <w:rsid w:val="722F294A"/>
    <w:rsid w:val="73C13552"/>
    <w:rsid w:val="74A25132"/>
    <w:rsid w:val="769B28BF"/>
    <w:rsid w:val="7702635B"/>
    <w:rsid w:val="783B1190"/>
    <w:rsid w:val="78E03DAA"/>
    <w:rsid w:val="7CFE4F69"/>
    <w:rsid w:val="7F453289"/>
    <w:rsid w:val="7FF30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character" w:customStyle="1" w:styleId="s1">
    <w:name w:val="s1"/>
    <w:basedOn w:val="a0"/>
  </w:style>
  <w:style w:type="paragraph" w:customStyle="1" w:styleId="p1">
    <w:name w:val="p1"/>
    <w:basedOn w:val="a"/>
    <w:rPr>
      <w:rFonts w:ascii="Times" w:eastAsia="Times" w:hAnsi="Times"/>
      <w:kern w:val="0"/>
      <w:sz w:val="28"/>
      <w:szCs w:val="28"/>
    </w:rPr>
  </w:style>
  <w:style w:type="paragraph" w:customStyle="1" w:styleId="p2">
    <w:name w:val="p2"/>
    <w:basedOn w:val="a"/>
    <w:rPr>
      <w:rFonts w:ascii="songti sc" w:eastAsia="songti sc" w:hAnsi="songti sc"/>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character" w:customStyle="1" w:styleId="s1">
    <w:name w:val="s1"/>
    <w:basedOn w:val="a0"/>
  </w:style>
  <w:style w:type="paragraph" w:customStyle="1" w:styleId="p1">
    <w:name w:val="p1"/>
    <w:basedOn w:val="a"/>
    <w:rPr>
      <w:rFonts w:ascii="Times" w:eastAsia="Times" w:hAnsi="Times"/>
      <w:kern w:val="0"/>
      <w:sz w:val="28"/>
      <w:szCs w:val="28"/>
    </w:rPr>
  </w:style>
  <w:style w:type="paragraph" w:customStyle="1" w:styleId="p2">
    <w:name w:val="p2"/>
    <w:basedOn w:val="a"/>
    <w:rPr>
      <w:rFonts w:ascii="songti sc" w:eastAsia="songti sc" w:hAnsi="songti sc"/>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3188</Words>
  <Characters>3285</Characters>
  <Application>Microsoft Office Word</Application>
  <DocSecurity>0</DocSecurity>
  <Lines>1095</Lines>
  <Paragraphs>539</Paragraphs>
  <ScaleCrop>false</ScaleCrop>
  <Company>HaseeComputer</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杨晓波</dc:creator>
  <cp:lastModifiedBy>Zy</cp:lastModifiedBy>
  <cp:revision>30</cp:revision>
  <dcterms:created xsi:type="dcterms:W3CDTF">2022-03-31T13:31:00Z</dcterms:created>
  <dcterms:modified xsi:type="dcterms:W3CDTF">2025-07-31T08:50:00Z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CD0D94F953715D40998EC00B7F0D55D3_43</vt:lpwstr>
  </property>
  <property fmtid="{D5CDD505-2E9C-101B-9397-08002B2CF9AE}" pid="4" name="KSOTemplateDocerSaveRecord">
    <vt:lpwstr>eyJoZGlkIjoiN2NiMjE5MjY2ZjJjMjgxMWM1NjI3MjE1NTVkMTVlODYiLCJ1c2VySWQiOiIxOTg5OTM4NjEifQ==</vt:lpwstr>
  </property>
</Properties>
</file>