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EDF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/>
        </w:rPr>
        <w:t>证券代码：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601107</w:t>
      </w:r>
      <w:r>
        <w:rPr>
          <w:rFonts w:hint="eastAsia" w:ascii="宋体" w:hAnsi="宋体" w:eastAsia="宋体" w:cs="宋体"/>
          <w:sz w:val="20"/>
          <w:szCs w:val="20"/>
          <w:lang w:val="en-US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证券简称：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四川成渝</w:t>
      </w:r>
    </w:p>
    <w:p w14:paraId="7F637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0"/>
          <w:szCs w:val="20"/>
          <w:lang w:val="en-US" w:eastAsia="zh-CN" w:bidi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 w:bidi="zh-CN"/>
        </w:rPr>
        <w:t xml:space="preserve">债券代码：241012.SH                                     </w:t>
      </w:r>
      <w:r>
        <w:rPr>
          <w:rFonts w:hint="default" w:ascii="宋体" w:hAnsi="宋体" w:eastAsia="宋体" w:cs="宋体"/>
          <w:sz w:val="20"/>
          <w:szCs w:val="20"/>
          <w:lang w:val="en-US" w:eastAsia="zh-CN" w:bidi="zh-CN"/>
        </w:rPr>
        <w:t>债券简称</w:t>
      </w:r>
      <w:r>
        <w:rPr>
          <w:rFonts w:hint="eastAsia" w:ascii="宋体" w:hAnsi="宋体" w:eastAsia="宋体" w:cs="宋体"/>
          <w:sz w:val="20"/>
          <w:szCs w:val="20"/>
          <w:lang w:val="en-US" w:eastAsia="zh-CN" w:bidi="zh-CN"/>
        </w:rPr>
        <w:t>：</w:t>
      </w:r>
      <w:r>
        <w:rPr>
          <w:rFonts w:hint="default" w:ascii="宋体" w:hAnsi="宋体" w:eastAsia="宋体" w:cs="宋体"/>
          <w:sz w:val="20"/>
          <w:szCs w:val="20"/>
          <w:lang w:val="en-US" w:eastAsia="zh-CN" w:bidi="zh-CN"/>
        </w:rPr>
        <w:t>24成渝01</w:t>
      </w:r>
    </w:p>
    <w:p w14:paraId="2BC5C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0"/>
          <w:szCs w:val="20"/>
          <w:lang w:val="en-US" w:eastAsia="zh-CN" w:bidi="zh-CN"/>
        </w:rPr>
      </w:pPr>
      <w:r>
        <w:rPr>
          <w:rFonts w:hint="default" w:ascii="宋体" w:hAnsi="宋体" w:eastAsia="宋体" w:cs="宋体"/>
          <w:sz w:val="20"/>
          <w:szCs w:val="20"/>
          <w:lang w:val="en-US" w:eastAsia="zh-CN" w:bidi="zh-CN"/>
        </w:rPr>
        <w:t xml:space="preserve">债券代码：102485587 </w:t>
      </w:r>
      <w:r>
        <w:rPr>
          <w:rFonts w:hint="eastAsia" w:ascii="宋体" w:hAnsi="宋体" w:eastAsia="宋体" w:cs="宋体"/>
          <w:sz w:val="20"/>
          <w:szCs w:val="20"/>
          <w:lang w:val="en-US" w:eastAsia="zh-CN" w:bidi="zh-CN"/>
        </w:rPr>
        <w:t xml:space="preserve">                                    </w:t>
      </w:r>
      <w:r>
        <w:rPr>
          <w:rFonts w:hint="default" w:ascii="宋体" w:hAnsi="宋体" w:eastAsia="宋体" w:cs="宋体"/>
          <w:sz w:val="20"/>
          <w:szCs w:val="20"/>
          <w:lang w:val="en-US" w:eastAsia="zh-CN" w:bidi="zh-CN"/>
        </w:rPr>
        <w:t>债券简称：24成渝高速MTN001</w:t>
      </w:r>
    </w:p>
    <w:p w14:paraId="4B320312">
      <w:pPr>
        <w:spacing w:line="360" w:lineRule="auto"/>
        <w:jc w:val="center"/>
        <w:rPr>
          <w:rFonts w:ascii="宋体" w:hAnsi="宋体" w:eastAsia="宋体" w:cs="宋体"/>
          <w:b/>
          <w:bCs/>
          <w:color w:val="FF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FF0000"/>
          <w:sz w:val="44"/>
          <w:szCs w:val="44"/>
        </w:rPr>
        <w:t>四川成渝高速公路股份有限公司</w:t>
      </w:r>
    </w:p>
    <w:p w14:paraId="00B8B34B">
      <w:pPr>
        <w:spacing w:line="360" w:lineRule="auto"/>
        <w:jc w:val="center"/>
        <w:rPr>
          <w:rFonts w:ascii="宋体" w:hAnsi="宋体" w:eastAsia="宋体" w:cs="宋体"/>
          <w:color w:val="FF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FF0000"/>
          <w:sz w:val="44"/>
          <w:szCs w:val="44"/>
        </w:rPr>
        <w:t>投资者关系活动记录表</w:t>
      </w:r>
    </w:p>
    <w:tbl>
      <w:tblPr>
        <w:tblStyle w:val="9"/>
        <w:tblW w:w="8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2552"/>
        <w:gridCol w:w="5973"/>
      </w:tblGrid>
      <w:tr w14:paraId="61E8B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2552" w:type="dxa"/>
          </w:tcPr>
          <w:p w14:paraId="5AEEF4F1">
            <w:pPr>
              <w:pStyle w:val="12"/>
              <w:spacing w:before="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564D5F89"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73" w:type="dxa"/>
          </w:tcPr>
          <w:p w14:paraId="45500781">
            <w:pPr>
              <w:pStyle w:val="12"/>
              <w:spacing w:before="7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D624373">
            <w:pPr>
              <w:pStyle w:val="12"/>
              <w:tabs>
                <w:tab w:val="left" w:pos="2418"/>
              </w:tabs>
              <w:spacing w:before="1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调研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师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</w:t>
            </w:r>
          </w:p>
          <w:p w14:paraId="0416AB9B">
            <w:pPr>
              <w:pStyle w:val="12"/>
              <w:spacing w:before="11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AB93243">
            <w:pPr>
              <w:pStyle w:val="12"/>
              <w:tabs>
                <w:tab w:val="left" w:pos="2418"/>
              </w:tabs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媒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采访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147475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业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说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</w:p>
          <w:p w14:paraId="07F39FE3">
            <w:pPr>
              <w:pStyle w:val="12"/>
              <w:spacing w:before="8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681AC6C7">
            <w:pPr>
              <w:pStyle w:val="12"/>
              <w:tabs>
                <w:tab w:val="left" w:pos="2418"/>
              </w:tabs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1474647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新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路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活动</w:t>
            </w:r>
          </w:p>
          <w:p w14:paraId="5AF6EE8D">
            <w:pPr>
              <w:pStyle w:val="12"/>
              <w:spacing w:before="8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5CC502E">
            <w:pPr>
              <w:pStyle w:val="12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14745993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Wingdings 2" w:hAnsi="Wingdings 2" w:eastAsia="MS Gothic" w:cs="宋体"/>
                    <w:sz w:val="20"/>
                    <w:szCs w:val="20"/>
                    <w:lang w:val="zh-CN" w:eastAsia="zh-CN" w:bidi="zh-CN"/>
                  </w:rPr>
                  <w:t>R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现场参观</w:t>
            </w:r>
          </w:p>
          <w:p w14:paraId="18F88EAA">
            <w:pPr>
              <w:pStyle w:val="12"/>
              <w:spacing w:before="11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C8CAAFA">
            <w:pPr>
              <w:pStyle w:val="12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008852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Wingdings 2" w:hAnsi="Wingdings 2" w:eastAsia="MS Gothic" w:cs="宋体"/>
                    <w:sz w:val="20"/>
                    <w:szCs w:val="20"/>
                    <w:lang w:val="zh-CN" w:eastAsia="zh-CN" w:bidi="zh-CN"/>
                  </w:rPr>
                  <w:t>R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我是股东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走进沪市上市公司——四川成渝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）</w:t>
            </w:r>
          </w:p>
        </w:tc>
      </w:tr>
      <w:tr w14:paraId="2BCC2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552" w:type="dxa"/>
            <w:vAlign w:val="center"/>
          </w:tcPr>
          <w:p w14:paraId="2FA4DC2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107" w:right="96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参与单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  <w:highlight w:val="none"/>
              </w:rPr>
              <w:t>位名称及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人员姓名</w:t>
            </w:r>
          </w:p>
        </w:tc>
        <w:tc>
          <w:tcPr>
            <w:tcW w:w="5973" w:type="dxa"/>
            <w:vAlign w:val="center"/>
          </w:tcPr>
          <w:p w14:paraId="451C1B9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开源证券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四川辖区分支机构（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四川分公司、成都分公司）、海富通基金管理有限公司、成都汇鑫路达有限公司及近30名个人投资者等共约40人参与。</w:t>
            </w:r>
          </w:p>
        </w:tc>
      </w:tr>
      <w:tr w14:paraId="2C4AE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52" w:type="dxa"/>
            <w:vAlign w:val="center"/>
          </w:tcPr>
          <w:p w14:paraId="1A320BDE">
            <w:pPr>
              <w:pStyle w:val="12"/>
              <w:ind w:left="107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5973" w:type="dxa"/>
            <w:vAlign w:val="center"/>
          </w:tcPr>
          <w:p w14:paraId="28F3C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14:30-16:00</w:t>
            </w:r>
          </w:p>
        </w:tc>
      </w:tr>
      <w:tr w14:paraId="31864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552" w:type="dxa"/>
            <w:vAlign w:val="center"/>
          </w:tcPr>
          <w:p w14:paraId="2798FFE5">
            <w:pPr>
              <w:pStyle w:val="12"/>
              <w:ind w:left="107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73" w:type="dxa"/>
            <w:vAlign w:val="center"/>
          </w:tcPr>
          <w:p w14:paraId="5020EE6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公司会议室</w:t>
            </w:r>
          </w:p>
        </w:tc>
      </w:tr>
      <w:tr w14:paraId="59ABF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52" w:type="dxa"/>
            <w:vAlign w:val="center"/>
          </w:tcPr>
          <w:p w14:paraId="697A7005"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73" w:type="dxa"/>
            <w:vAlign w:val="center"/>
          </w:tcPr>
          <w:p w14:paraId="3F469A2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董事会秘书 姚建成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证券事务代表 邱竹</w:t>
            </w:r>
          </w:p>
          <w:p w14:paraId="34CBD70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董事会办公室职员 樊春燕、杨茜、陈思睿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</w:tr>
      <w:tr w14:paraId="70CD7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941" w:hRule="atLeast"/>
          <w:jc w:val="center"/>
        </w:trPr>
        <w:tc>
          <w:tcPr>
            <w:tcW w:w="2552" w:type="dxa"/>
          </w:tcPr>
          <w:p w14:paraId="576B59F8">
            <w:pPr>
              <w:pStyle w:val="1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2025C3B8">
            <w:pPr>
              <w:pStyle w:val="1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76E73793">
            <w:pPr>
              <w:pStyle w:val="12"/>
              <w:spacing w:before="5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260F4007">
            <w:pPr>
              <w:pStyle w:val="12"/>
              <w:spacing w:before="1" w:line="499" w:lineRule="auto"/>
              <w:ind w:left="107" w:right="96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</w:t>
            </w:r>
          </w:p>
          <w:p w14:paraId="648439DA">
            <w:pPr>
              <w:pStyle w:val="12"/>
              <w:spacing w:before="1" w:line="499" w:lineRule="auto"/>
              <w:ind w:left="107" w:right="96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主要内容介绍</w:t>
            </w:r>
          </w:p>
        </w:tc>
        <w:tc>
          <w:tcPr>
            <w:tcW w:w="5973" w:type="dxa"/>
          </w:tcPr>
          <w:p w14:paraId="0D8CEC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2025年7月30日下午，四川成渝高速公路股份有限公司（以下简称“成渝”）联合开源证券、开源证券四川辖区分支机构承办上海交易所“我是股东”走进沪市上市公司活动，邀请近30名投资者走进成渝公司进行调研。公司组织投资者观看了公司宣传片并围绕战略规划、产业布局、市场认可度等作介绍。随后进行座谈交流，并由公司董事会秘书对投资者关心的问题进行了详细解答。投资者交流环节问答内容如下：</w:t>
            </w:r>
          </w:p>
          <w:p w14:paraId="1FBBB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公司近年业绩增长显著的主要原因是什么？</w:t>
            </w:r>
          </w:p>
          <w:p w14:paraId="19C6F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答：近年业绩增长主要源于两方面：一是聚焦公路主业，协同综合能源及新能源业务齐发力，持续提供正向盈利支撑，归母净利润2023年11.87 亿元（同比增加90.15%）、2024年14.59亿元（同比增加22.91%）、2025年一季度4.56亿元（同比增加16.61%）；二是财务提质增效，近两年财务费用减少、营业成本大幅下降。上述因素共同推动公司业绩稳定增长、表现优秀。</w:t>
            </w:r>
          </w:p>
          <w:p w14:paraId="1E5E8F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02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2、公司新能源业务发展态势如何？</w:t>
            </w:r>
          </w:p>
          <w:p w14:paraId="5B7B56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答：公司新能源业务依托高速主业与路网优势，深度融合布局充换电、氢能等领域，助力公司综合竞争力提升。目前已落地多项标杆项目，包括全国首条高速重卡充换电走廊、全省首座高速超充站及阿坝州首批“光伏+储能+充电”一体化示范站。其中，充换电业务表现突出，高速路网充换电站规模居全省第一，已实现全省高速服务区充电设施网状覆盖，成为我省交通网络绿色补能主力。</w:t>
            </w:r>
          </w:p>
          <w:p w14:paraId="50E938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396" w:leftChars="18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3、公司目前股息率是多少？未来能否维持高分红规划？</w:t>
            </w:r>
          </w:p>
          <w:p w14:paraId="6D3C8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答：截至7月30日，公司A股股息率约5.1%、H股约6.5%，居行业前列。公司始终重视股东利益，将持续秉持积极回报理念，坚守高比例分红政策，携手广大股东共赢共享公司发展成果。 </w:t>
            </w:r>
          </w:p>
          <w:p w14:paraId="2B3B73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4、近期公司中标了成雅高速扩容项目？请介绍一下？</w:t>
            </w:r>
          </w:p>
          <w:p w14:paraId="32FB0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答：2025年7月28日，成渝公司作为牵头人与中国华西企业股份有限公司、四川公路桥梁建设集团有限公司、四川省交通建设集团有限责任公司、四川高路信息科技有限公司组建的联合体成功中标G5京昆高速公路成都至雅安段扩容工程项目（以下简称“本项目”）。本项目全长159.115公里，总投资约人民币285.48亿元，项目资本金为总投资的20.20%，约人民币57.67亿元，其中本公司出资约49.02亿元。</w:t>
            </w:r>
          </w:p>
          <w:p w14:paraId="35E18D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本项目作为四川省综合立体交通网对外“四向八廊”主骨架川滇走廊的公路运输大通道，承担着联动成都平原经济区与攀西经济区协同发展的重要作用。同时，其建成后对持续巩固蜀道集团、成渝公司主业优势，提升主业板块竞争力、实现高质量可持续发展具有重要战略意义。</w:t>
            </w:r>
          </w:p>
          <w:p w14:paraId="3EC37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5、公司目前具体有哪些路产项目正在推进？</w:t>
            </w:r>
          </w:p>
          <w:p w14:paraId="2A2356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答：公司正在稳步推进路产项目投资，截至目前天邛高速建设已完成，成乐高速扩容项目正在建设中，未来将积极跟进落地自有路产改扩建项目，提升道路通行能力，延长业主生命周期。</w:t>
            </w:r>
          </w:p>
          <w:p w14:paraId="65A60A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6、公司资产负债率是否有进一步降低空间？</w:t>
            </w:r>
          </w:p>
          <w:p w14:paraId="2E0D5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答：一方面，公司正积极推进降本增效，通过精细化管理、片区化管理、优化融资结构等举措有效降低财务费用；另一方面，依托高速公路良好的自循环优势，凭借持续稳定的经营性现金流，不断优化财务结构，为降低资产负债率提供支撑。</w:t>
            </w:r>
          </w:p>
          <w:p w14:paraId="2C753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、公司的未来发展规划重点是什么？</w:t>
            </w:r>
          </w:p>
          <w:p w14:paraId="423959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答：公司将立足主责主业统筹资源，通过持续优化路产结构保障长期稳健发展；在此基础上，推动增长方式“由量向质” 转变，一方面积极探索低碳智能建造，加大关键技术攻关和成果转化应用；另一方面利用路网资源优势培育绿色能源产业，推进新能源基础设施投资建设运营业务。</w:t>
            </w:r>
          </w:p>
        </w:tc>
      </w:tr>
      <w:tr w14:paraId="1252D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2552" w:type="dxa"/>
            <w:vAlign w:val="center"/>
          </w:tcPr>
          <w:p w14:paraId="43F27004">
            <w:pPr>
              <w:pStyle w:val="12"/>
              <w:spacing w:before="1"/>
              <w:ind w:left="107"/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关于本次活动是否涉及应</w:t>
            </w:r>
          </w:p>
          <w:p w14:paraId="4CDDF8C9"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5973" w:type="dxa"/>
            <w:vAlign w:val="center"/>
          </w:tcPr>
          <w:p w14:paraId="0E6D582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本次活动不涉及未公开披露的重大信息。</w:t>
            </w:r>
          </w:p>
        </w:tc>
      </w:tr>
      <w:tr w14:paraId="2E425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52" w:type="dxa"/>
            <w:vAlign w:val="center"/>
          </w:tcPr>
          <w:p w14:paraId="6C8111AD">
            <w:pPr>
              <w:pStyle w:val="12"/>
              <w:spacing w:before="1"/>
              <w:ind w:left="107" w:leftChars="0"/>
              <w:rPr>
                <w:rFonts w:ascii="宋体" w:hAnsi="宋体" w:eastAsia="宋体" w:cs="宋体"/>
                <w:b/>
                <w:bCs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5973" w:type="dxa"/>
            <w:vAlign w:val="center"/>
          </w:tcPr>
          <w:p w14:paraId="0C903F6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zh-CN"/>
              </w:rPr>
              <w:t>无</w:t>
            </w:r>
          </w:p>
        </w:tc>
      </w:tr>
      <w:tr w14:paraId="69BAA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52" w:type="dxa"/>
            <w:vAlign w:val="center"/>
          </w:tcPr>
          <w:p w14:paraId="4F9B4F57">
            <w:pPr>
              <w:pStyle w:val="12"/>
              <w:spacing w:before="1"/>
              <w:ind w:left="107" w:leftChars="0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73" w:type="dxa"/>
            <w:vAlign w:val="center"/>
          </w:tcPr>
          <w:p w14:paraId="751DF23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/>
              <w:textAlignment w:val="auto"/>
              <w:rPr>
                <w:rFonts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31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日</w:t>
            </w:r>
          </w:p>
        </w:tc>
      </w:tr>
    </w:tbl>
    <w:p w14:paraId="677881ED">
      <w:pPr>
        <w:rPr>
          <w:rFonts w:ascii="宋体" w:hAnsi="宋体" w:eastAsia="宋体" w:cs="宋体"/>
          <w:sz w:val="28"/>
          <w:szCs w:val="36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554FED"/>
    <w:multiLevelType w:val="singleLevel"/>
    <w:tmpl w:val="FD554F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jMTVhZmU2M2YwMDA1MWY2MDcyN2YyOGEyOWVhYWQ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E59D1"/>
    <w:rsid w:val="001E5EA4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E1A54"/>
    <w:rsid w:val="00CF5FB6"/>
    <w:rsid w:val="00D02518"/>
    <w:rsid w:val="00D17454"/>
    <w:rsid w:val="00D33FBC"/>
    <w:rsid w:val="00D7535C"/>
    <w:rsid w:val="00D76302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B4A08"/>
    <w:rsid w:val="00FC0C2A"/>
    <w:rsid w:val="00FD7F8E"/>
    <w:rsid w:val="00FF11E4"/>
    <w:rsid w:val="0324165E"/>
    <w:rsid w:val="03B721E0"/>
    <w:rsid w:val="04B072D4"/>
    <w:rsid w:val="04F54AA7"/>
    <w:rsid w:val="05AB5771"/>
    <w:rsid w:val="05F575D4"/>
    <w:rsid w:val="06047A69"/>
    <w:rsid w:val="064249C6"/>
    <w:rsid w:val="08641132"/>
    <w:rsid w:val="08C473E5"/>
    <w:rsid w:val="09186774"/>
    <w:rsid w:val="0945438F"/>
    <w:rsid w:val="0A71587A"/>
    <w:rsid w:val="0B792C38"/>
    <w:rsid w:val="0C28640C"/>
    <w:rsid w:val="0CF60D11"/>
    <w:rsid w:val="0DB13287"/>
    <w:rsid w:val="0E0F0640"/>
    <w:rsid w:val="0E90599A"/>
    <w:rsid w:val="0ED720CD"/>
    <w:rsid w:val="11452D31"/>
    <w:rsid w:val="117C29F7"/>
    <w:rsid w:val="1197170D"/>
    <w:rsid w:val="12070CAE"/>
    <w:rsid w:val="12EF3EDA"/>
    <w:rsid w:val="145F688C"/>
    <w:rsid w:val="14D47131"/>
    <w:rsid w:val="15680001"/>
    <w:rsid w:val="15DD2205"/>
    <w:rsid w:val="17072842"/>
    <w:rsid w:val="17A67110"/>
    <w:rsid w:val="18393FA5"/>
    <w:rsid w:val="18595469"/>
    <w:rsid w:val="1864189B"/>
    <w:rsid w:val="18D73A7D"/>
    <w:rsid w:val="19557370"/>
    <w:rsid w:val="1A2A56C6"/>
    <w:rsid w:val="1A8E38DF"/>
    <w:rsid w:val="1BD06B6A"/>
    <w:rsid w:val="1CDD1CB6"/>
    <w:rsid w:val="1EEC6E06"/>
    <w:rsid w:val="1F782BDE"/>
    <w:rsid w:val="1FDB36A6"/>
    <w:rsid w:val="204A6A53"/>
    <w:rsid w:val="211639B5"/>
    <w:rsid w:val="23317869"/>
    <w:rsid w:val="25650CAE"/>
    <w:rsid w:val="25675F6C"/>
    <w:rsid w:val="26406598"/>
    <w:rsid w:val="26B06083"/>
    <w:rsid w:val="27BC09B5"/>
    <w:rsid w:val="28080056"/>
    <w:rsid w:val="28734C1A"/>
    <w:rsid w:val="28C72DDD"/>
    <w:rsid w:val="297C7ACB"/>
    <w:rsid w:val="29EE0E64"/>
    <w:rsid w:val="2AD34978"/>
    <w:rsid w:val="2BAD4762"/>
    <w:rsid w:val="2BC4020A"/>
    <w:rsid w:val="2C19393B"/>
    <w:rsid w:val="2EF90F16"/>
    <w:rsid w:val="2F125C63"/>
    <w:rsid w:val="302C3D0A"/>
    <w:rsid w:val="3104598F"/>
    <w:rsid w:val="321067B8"/>
    <w:rsid w:val="32EB6D9B"/>
    <w:rsid w:val="33DE31BB"/>
    <w:rsid w:val="35742F68"/>
    <w:rsid w:val="36FF7AC9"/>
    <w:rsid w:val="389C49C0"/>
    <w:rsid w:val="39754676"/>
    <w:rsid w:val="39BC78F4"/>
    <w:rsid w:val="3B35486F"/>
    <w:rsid w:val="3BB06205"/>
    <w:rsid w:val="3C4440AB"/>
    <w:rsid w:val="3C693069"/>
    <w:rsid w:val="3DB96A0B"/>
    <w:rsid w:val="3ED83F30"/>
    <w:rsid w:val="3EF1250A"/>
    <w:rsid w:val="40437927"/>
    <w:rsid w:val="40567DB0"/>
    <w:rsid w:val="40CF59B6"/>
    <w:rsid w:val="40FF5CD2"/>
    <w:rsid w:val="41670E6B"/>
    <w:rsid w:val="42DB40B0"/>
    <w:rsid w:val="43B71B0A"/>
    <w:rsid w:val="44FA0589"/>
    <w:rsid w:val="45A663E3"/>
    <w:rsid w:val="469F09AF"/>
    <w:rsid w:val="4A3A715A"/>
    <w:rsid w:val="4B453388"/>
    <w:rsid w:val="4B6C6473"/>
    <w:rsid w:val="4B756271"/>
    <w:rsid w:val="4B9C0F8A"/>
    <w:rsid w:val="4C28087F"/>
    <w:rsid w:val="4C8E1CA8"/>
    <w:rsid w:val="4D6D36A4"/>
    <w:rsid w:val="4D6E120A"/>
    <w:rsid w:val="4D737540"/>
    <w:rsid w:val="4E2F4540"/>
    <w:rsid w:val="4E70713A"/>
    <w:rsid w:val="4F82051D"/>
    <w:rsid w:val="50831419"/>
    <w:rsid w:val="510903EF"/>
    <w:rsid w:val="5304326B"/>
    <w:rsid w:val="53F137F4"/>
    <w:rsid w:val="540E7263"/>
    <w:rsid w:val="543A6906"/>
    <w:rsid w:val="56463C17"/>
    <w:rsid w:val="56850CBB"/>
    <w:rsid w:val="59D8738A"/>
    <w:rsid w:val="5A666D76"/>
    <w:rsid w:val="5B2253C2"/>
    <w:rsid w:val="5C2060A7"/>
    <w:rsid w:val="5CF02E0F"/>
    <w:rsid w:val="5E202E15"/>
    <w:rsid w:val="5E442B42"/>
    <w:rsid w:val="5F644639"/>
    <w:rsid w:val="5FC06CAB"/>
    <w:rsid w:val="603269D2"/>
    <w:rsid w:val="60790A8D"/>
    <w:rsid w:val="60960597"/>
    <w:rsid w:val="61A52BCA"/>
    <w:rsid w:val="61F47A31"/>
    <w:rsid w:val="634D7265"/>
    <w:rsid w:val="63ED7DE0"/>
    <w:rsid w:val="66061D85"/>
    <w:rsid w:val="67095496"/>
    <w:rsid w:val="67ED7463"/>
    <w:rsid w:val="681A546A"/>
    <w:rsid w:val="68507D37"/>
    <w:rsid w:val="689D1149"/>
    <w:rsid w:val="69CB37D4"/>
    <w:rsid w:val="6A0D5B9B"/>
    <w:rsid w:val="6A3B23B1"/>
    <w:rsid w:val="6AE23394"/>
    <w:rsid w:val="6AEA32DC"/>
    <w:rsid w:val="6C1E73CC"/>
    <w:rsid w:val="6C4D4E55"/>
    <w:rsid w:val="6C4E4F3C"/>
    <w:rsid w:val="6CC24AB5"/>
    <w:rsid w:val="6D9271B2"/>
    <w:rsid w:val="6ED7755A"/>
    <w:rsid w:val="6F134790"/>
    <w:rsid w:val="6F150F79"/>
    <w:rsid w:val="6FE81F5F"/>
    <w:rsid w:val="72446028"/>
    <w:rsid w:val="72DB6EC5"/>
    <w:rsid w:val="73076EC0"/>
    <w:rsid w:val="73534D9F"/>
    <w:rsid w:val="74210CA6"/>
    <w:rsid w:val="746F4E76"/>
    <w:rsid w:val="75BFD6B2"/>
    <w:rsid w:val="76430096"/>
    <w:rsid w:val="788C25F5"/>
    <w:rsid w:val="79A52992"/>
    <w:rsid w:val="79F72AA9"/>
    <w:rsid w:val="7A144529"/>
    <w:rsid w:val="7A7E260B"/>
    <w:rsid w:val="7AAF053A"/>
    <w:rsid w:val="7C6355B7"/>
    <w:rsid w:val="7DD37FAE"/>
    <w:rsid w:val="7F2C666B"/>
    <w:rsid w:val="FFBBE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autoRedefine/>
    <w:qFormat/>
    <w:uiPriority w:val="0"/>
  </w:style>
  <w:style w:type="paragraph" w:styleId="4">
    <w:name w:val="Body Text"/>
    <w:basedOn w:val="1"/>
    <w:autoRedefine/>
    <w:qFormat/>
    <w:uiPriority w:val="1"/>
    <w:pPr>
      <w:ind w:left="220"/>
    </w:pPr>
    <w:rPr>
      <w:sz w:val="32"/>
      <w:szCs w:val="32"/>
    </w:r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autoRedefine/>
    <w:qFormat/>
    <w:uiPriority w:val="0"/>
    <w:rPr>
      <w:b/>
      <w:bCs/>
    </w:r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paragraph" w:customStyle="1" w:styleId="12">
    <w:name w:val="Table Paragraph"/>
    <w:basedOn w:val="1"/>
    <w:autoRedefine/>
    <w:qFormat/>
    <w:uiPriority w:val="1"/>
  </w:style>
  <w:style w:type="character" w:customStyle="1" w:styleId="13">
    <w:name w:val="页眉 字符"/>
    <w:basedOn w:val="10"/>
    <w:link w:val="7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10"/>
    <w:link w:val="6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批注文字 字符"/>
    <w:basedOn w:val="10"/>
    <w:link w:val="3"/>
    <w:autoRedefine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6">
    <w:name w:val="批注主题 字符"/>
    <w:basedOn w:val="15"/>
    <w:link w:val="8"/>
    <w:autoRedefine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17">
    <w:name w:val="批注框文本 字符"/>
    <w:basedOn w:val="10"/>
    <w:link w:val="5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1768</Words>
  <Characters>1893</Characters>
  <Lines>2</Lines>
  <Paragraphs>1</Paragraphs>
  <TotalTime>16</TotalTime>
  <ScaleCrop>false</ScaleCrop>
  <LinksUpToDate>false</LinksUpToDate>
  <CharactersWithSpaces>2021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2022-04-12T14:10:00Z</dcterms:created>
  <dc:creator>jie.huang</dc:creator>
  <cp:lastModifiedBy>邱竹</cp:lastModifiedBy>
  <cp:lastPrinted>2025-06-13T02:10:00Z</cp:lastPrinted>
  <dcterms:modified xsi:type="dcterms:W3CDTF">2025-07-31T09:13:36Z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F9F458330D29440D9793EBAB2807951F_13</vt:lpwstr>
  </property>
  <property fmtid="{D5CDD505-2E9C-101B-9397-08002B2CF9AE}" pid="4" name="KSOTemplateDocerSaveRecord">
    <vt:lpwstr>eyJoZGlkIjoiOTJmMjljM2YxNWFkMTIyYTg0MGM5M2Y3YzhlM2RmMzYiLCJ1c2VySWQiOiIxNDg0NzA4MDYzIn0=</vt:lpwstr>
  </property>
</Properties>
</file>