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249D1">
      <w:pPr>
        <w:spacing w:before="156" w:beforeLines="50" w:after="156" w:afterLines="50" w:line="400" w:lineRule="exact"/>
        <w:rPr>
          <w:rFonts w:hint="eastAsia" w:ascii="仿宋" w:hAnsi="仿宋" w:eastAsia="仿宋" w:cs="仿宋"/>
          <w:bCs/>
          <w:iCs/>
          <w:sz w:val="28"/>
          <w:szCs w:val="21"/>
        </w:rPr>
      </w:pPr>
      <w:r>
        <w:rPr>
          <w:rFonts w:hint="eastAsia" w:ascii="仿宋" w:hAnsi="仿宋" w:eastAsia="仿宋" w:cs="仿宋"/>
          <w:bCs/>
          <w:iCs/>
          <w:sz w:val="28"/>
          <w:szCs w:val="21"/>
        </w:rPr>
        <w:t>证券代码：688229                        证券简称：博睿数据</w:t>
      </w:r>
    </w:p>
    <w:p w14:paraId="292AA037">
      <w:pPr>
        <w:spacing w:before="156" w:beforeLines="50" w:after="156" w:afterLines="50" w:line="400" w:lineRule="exact"/>
        <w:jc w:val="center"/>
        <w:rPr>
          <w:rFonts w:hint="eastAsia" w:ascii="仿宋" w:hAnsi="仿宋" w:eastAsia="仿宋" w:cs="仿宋"/>
          <w:b/>
          <w:bCs/>
          <w:iCs/>
          <w:sz w:val="36"/>
          <w:szCs w:val="36"/>
        </w:rPr>
      </w:pPr>
      <w:r>
        <w:rPr>
          <w:rFonts w:hint="eastAsia" w:ascii="仿宋" w:hAnsi="仿宋" w:eastAsia="仿宋" w:cs="仿宋"/>
          <w:b/>
          <w:bCs/>
          <w:iCs/>
          <w:sz w:val="36"/>
          <w:szCs w:val="36"/>
        </w:rPr>
        <w:t>北京博睿宏远数据科技股份有限公司</w:t>
      </w:r>
    </w:p>
    <w:p w14:paraId="25586537">
      <w:pPr>
        <w:spacing w:before="156" w:beforeLines="50" w:after="156" w:afterLines="50" w:line="400" w:lineRule="exact"/>
        <w:jc w:val="center"/>
        <w:rPr>
          <w:rFonts w:hint="eastAsia" w:ascii="仿宋" w:hAnsi="仿宋" w:eastAsia="仿宋" w:cs="仿宋"/>
          <w:b/>
          <w:bCs/>
          <w:iCs/>
          <w:sz w:val="36"/>
          <w:szCs w:val="36"/>
        </w:rPr>
      </w:pPr>
      <w:r>
        <w:rPr>
          <w:rFonts w:hint="eastAsia" w:ascii="仿宋" w:hAnsi="仿宋" w:eastAsia="仿宋" w:cs="仿宋"/>
          <w:b/>
          <w:bCs/>
          <w:iCs/>
          <w:sz w:val="36"/>
          <w:szCs w:val="36"/>
        </w:rPr>
        <w:t>投资者关系活动记录表</w:t>
      </w:r>
    </w:p>
    <w:p w14:paraId="65C4422C">
      <w:pPr>
        <w:spacing w:line="400" w:lineRule="exact"/>
        <w:rPr>
          <w:rFonts w:hint="eastAsia" w:ascii="仿宋" w:hAnsi="仿宋" w:eastAsia="仿宋" w:cs="仿宋"/>
          <w:bCs/>
          <w:iCs/>
          <w:sz w:val="28"/>
          <w:szCs w:val="28"/>
          <w:lang w:eastAsia="zh-CN"/>
        </w:rPr>
      </w:pPr>
      <w:r>
        <w:rPr>
          <w:rFonts w:hint="eastAsia" w:ascii="仿宋" w:hAnsi="仿宋" w:eastAsia="仿宋" w:cs="仿宋"/>
          <w:bCs/>
          <w:iCs/>
          <w:sz w:val="28"/>
          <w:szCs w:val="28"/>
        </w:rPr>
        <w:t xml:space="preserve">                                            编号：202</w:t>
      </w:r>
      <w:r>
        <w:rPr>
          <w:rFonts w:hint="eastAsia" w:ascii="仿宋" w:hAnsi="仿宋" w:eastAsia="仿宋" w:cs="仿宋"/>
          <w:bCs/>
          <w:iCs/>
          <w:sz w:val="28"/>
          <w:szCs w:val="28"/>
          <w:lang w:val="en-US" w:eastAsia="zh-CN"/>
        </w:rPr>
        <w:t>5</w:t>
      </w:r>
      <w:r>
        <w:rPr>
          <w:rFonts w:hint="eastAsia" w:ascii="仿宋" w:hAnsi="仿宋" w:eastAsia="仿宋" w:cs="仿宋"/>
          <w:bCs/>
          <w:iCs/>
          <w:sz w:val="28"/>
          <w:szCs w:val="28"/>
        </w:rPr>
        <w:t>-00</w:t>
      </w:r>
      <w:r>
        <w:rPr>
          <w:rFonts w:hint="eastAsia" w:ascii="仿宋" w:hAnsi="仿宋" w:eastAsia="仿宋" w:cs="仿宋"/>
          <w:bCs/>
          <w:iCs/>
          <w:sz w:val="28"/>
          <w:szCs w:val="28"/>
          <w:lang w:val="en-US" w:eastAsia="zh-CN"/>
        </w:rPr>
        <w:t>4</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6263"/>
      </w:tblGrid>
      <w:tr w14:paraId="6348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tcPr>
          <w:p w14:paraId="08F08F87">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投资者关系活动类别</w:t>
            </w:r>
          </w:p>
          <w:p w14:paraId="7EEC1FC7">
            <w:pPr>
              <w:spacing w:line="240" w:lineRule="auto"/>
              <w:rPr>
                <w:rFonts w:hint="eastAsia" w:ascii="仿宋" w:hAnsi="仿宋" w:eastAsia="仿宋" w:cs="仿宋"/>
                <w:b/>
                <w:bCs/>
                <w:iCs/>
                <w:sz w:val="28"/>
                <w:szCs w:val="28"/>
              </w:rPr>
            </w:pPr>
          </w:p>
        </w:tc>
        <w:tc>
          <w:tcPr>
            <w:tcW w:w="6263" w:type="dxa"/>
            <w:shd w:val="clear" w:color="auto" w:fill="auto"/>
          </w:tcPr>
          <w:p w14:paraId="0A1629F3">
            <w:pPr>
              <w:spacing w:line="240" w:lineRule="auto"/>
              <w:rPr>
                <w:rFonts w:hint="eastAsia" w:ascii="仿宋" w:hAnsi="仿宋" w:eastAsia="仿宋" w:cs="仿宋"/>
                <w:bCs/>
                <w:iCs/>
                <w:sz w:val="28"/>
                <w:szCs w:val="28"/>
              </w:rPr>
            </w:pPr>
            <w:r>
              <w:rPr>
                <w:rFonts w:hint="eastAsia" w:ascii="仿宋" w:hAnsi="仿宋" w:eastAsia="仿宋" w:cs="仿宋"/>
                <w:bCs/>
                <w:iCs/>
                <w:sz w:val="28"/>
                <w:szCs w:val="28"/>
              </w:rPr>
              <w:t>■</w:t>
            </w:r>
            <w:r>
              <w:rPr>
                <w:rFonts w:hint="eastAsia" w:ascii="仿宋" w:hAnsi="仿宋" w:eastAsia="仿宋" w:cs="仿宋"/>
                <w:sz w:val="28"/>
                <w:szCs w:val="28"/>
              </w:rPr>
              <w:t xml:space="preserve">特定对象调研        </w:t>
            </w:r>
            <w:r>
              <w:rPr>
                <w:rFonts w:hint="eastAsia" w:ascii="仿宋" w:hAnsi="仿宋" w:eastAsia="仿宋" w:cs="仿宋"/>
                <w:bCs/>
                <w:iCs/>
                <w:sz w:val="28"/>
                <w:szCs w:val="28"/>
              </w:rPr>
              <w:t>□</w:t>
            </w:r>
            <w:r>
              <w:rPr>
                <w:rFonts w:hint="eastAsia" w:ascii="仿宋" w:hAnsi="仿宋" w:eastAsia="仿宋" w:cs="仿宋"/>
                <w:sz w:val="28"/>
                <w:szCs w:val="28"/>
              </w:rPr>
              <w:t>分析师会议</w:t>
            </w:r>
          </w:p>
          <w:p w14:paraId="6C78213D">
            <w:pPr>
              <w:spacing w:line="240" w:lineRule="auto"/>
              <w:rPr>
                <w:rFonts w:hint="eastAsia" w:ascii="仿宋" w:hAnsi="仿宋" w:eastAsia="仿宋" w:cs="仿宋"/>
                <w:bCs/>
                <w:iCs/>
                <w:sz w:val="28"/>
                <w:szCs w:val="28"/>
              </w:rPr>
            </w:pPr>
            <w:r>
              <w:rPr>
                <w:rFonts w:hint="eastAsia" w:ascii="仿宋" w:hAnsi="仿宋" w:eastAsia="仿宋" w:cs="仿宋"/>
                <w:bCs/>
                <w:iCs/>
                <w:sz w:val="28"/>
                <w:szCs w:val="28"/>
              </w:rPr>
              <w:t>□</w:t>
            </w:r>
            <w:r>
              <w:rPr>
                <w:rFonts w:hint="eastAsia" w:ascii="仿宋" w:hAnsi="仿宋" w:eastAsia="仿宋" w:cs="仿宋"/>
                <w:sz w:val="28"/>
                <w:szCs w:val="28"/>
              </w:rPr>
              <w:t xml:space="preserve">媒体采访            </w:t>
            </w:r>
            <w:r>
              <w:rPr>
                <w:rFonts w:hint="eastAsia" w:ascii="仿宋" w:hAnsi="仿宋" w:eastAsia="仿宋" w:cs="仿宋"/>
                <w:bCs/>
                <w:iCs/>
                <w:sz w:val="28"/>
                <w:szCs w:val="28"/>
              </w:rPr>
              <w:t>□</w:t>
            </w:r>
            <w:r>
              <w:rPr>
                <w:rFonts w:hint="eastAsia" w:ascii="仿宋" w:hAnsi="仿宋" w:eastAsia="仿宋" w:cs="仿宋"/>
                <w:sz w:val="28"/>
                <w:szCs w:val="28"/>
              </w:rPr>
              <w:t>业绩说明会</w:t>
            </w:r>
          </w:p>
          <w:p w14:paraId="681AC887">
            <w:pPr>
              <w:spacing w:line="240" w:lineRule="auto"/>
              <w:rPr>
                <w:rFonts w:hint="eastAsia" w:ascii="仿宋" w:hAnsi="仿宋" w:eastAsia="仿宋" w:cs="仿宋"/>
                <w:bCs/>
                <w:iCs/>
                <w:sz w:val="28"/>
                <w:szCs w:val="28"/>
              </w:rPr>
            </w:pPr>
            <w:r>
              <w:rPr>
                <w:rFonts w:hint="eastAsia" w:ascii="仿宋" w:hAnsi="仿宋" w:eastAsia="仿宋" w:cs="仿宋"/>
                <w:bCs/>
                <w:iCs/>
                <w:sz w:val="28"/>
                <w:szCs w:val="28"/>
              </w:rPr>
              <w:t>□</w:t>
            </w:r>
            <w:r>
              <w:rPr>
                <w:rFonts w:hint="eastAsia" w:ascii="仿宋" w:hAnsi="仿宋" w:eastAsia="仿宋" w:cs="仿宋"/>
                <w:sz w:val="28"/>
                <w:szCs w:val="28"/>
              </w:rPr>
              <w:t xml:space="preserve">新闻发布会          </w:t>
            </w:r>
            <w:r>
              <w:rPr>
                <w:rFonts w:hint="eastAsia" w:ascii="仿宋" w:hAnsi="仿宋" w:eastAsia="仿宋" w:cs="仿宋"/>
                <w:bCs/>
                <w:iCs/>
                <w:sz w:val="28"/>
                <w:szCs w:val="28"/>
              </w:rPr>
              <w:t>□</w:t>
            </w:r>
            <w:r>
              <w:rPr>
                <w:rFonts w:hint="eastAsia" w:ascii="仿宋" w:hAnsi="仿宋" w:eastAsia="仿宋" w:cs="仿宋"/>
                <w:sz w:val="28"/>
                <w:szCs w:val="28"/>
              </w:rPr>
              <w:t>路演活动</w:t>
            </w:r>
          </w:p>
          <w:p w14:paraId="0B4DF391">
            <w:pPr>
              <w:tabs>
                <w:tab w:val="left" w:pos="3045"/>
                <w:tab w:val="center" w:pos="3199"/>
              </w:tabs>
              <w:spacing w:line="240" w:lineRule="auto"/>
              <w:rPr>
                <w:rFonts w:hint="eastAsia" w:ascii="仿宋" w:hAnsi="仿宋" w:eastAsia="仿宋" w:cs="仿宋"/>
                <w:bCs/>
                <w:iCs/>
                <w:sz w:val="28"/>
                <w:szCs w:val="28"/>
              </w:rPr>
            </w:pPr>
            <w:r>
              <w:rPr>
                <w:rFonts w:hint="eastAsia" w:ascii="仿宋" w:hAnsi="仿宋" w:eastAsia="仿宋" w:cs="仿宋"/>
                <w:bCs/>
                <w:iCs/>
                <w:sz w:val="28"/>
                <w:szCs w:val="28"/>
                <w:lang w:eastAsia="zh-CN"/>
              </w:rPr>
              <w:t>□</w:t>
            </w:r>
            <w:r>
              <w:rPr>
                <w:rFonts w:hint="eastAsia" w:ascii="仿宋" w:hAnsi="仿宋" w:eastAsia="仿宋" w:cs="仿宋"/>
                <w:sz w:val="28"/>
                <w:szCs w:val="28"/>
              </w:rPr>
              <w:t>现场参观</w:t>
            </w:r>
            <w:r>
              <w:rPr>
                <w:rFonts w:hint="eastAsia" w:ascii="仿宋" w:hAnsi="仿宋" w:eastAsia="仿宋" w:cs="仿宋"/>
                <w:bCs/>
                <w:iCs/>
                <w:sz w:val="28"/>
                <w:szCs w:val="28"/>
              </w:rPr>
              <w:tab/>
            </w:r>
          </w:p>
          <w:p w14:paraId="3D55166A">
            <w:pPr>
              <w:tabs>
                <w:tab w:val="center" w:pos="3199"/>
              </w:tabs>
              <w:spacing w:line="240" w:lineRule="auto"/>
              <w:rPr>
                <w:rFonts w:hint="eastAsia" w:ascii="仿宋" w:hAnsi="仿宋" w:eastAsia="仿宋" w:cs="仿宋"/>
                <w:bCs/>
                <w:iCs/>
                <w:sz w:val="28"/>
                <w:szCs w:val="28"/>
              </w:rPr>
            </w:pPr>
            <w:r>
              <w:rPr>
                <w:rFonts w:hint="eastAsia" w:ascii="仿宋" w:hAnsi="仿宋" w:eastAsia="仿宋" w:cs="仿宋"/>
                <w:bCs/>
                <w:iCs/>
                <w:sz w:val="28"/>
                <w:szCs w:val="28"/>
              </w:rPr>
              <w:t>□</w:t>
            </w:r>
            <w:r>
              <w:rPr>
                <w:rFonts w:hint="eastAsia" w:ascii="仿宋" w:hAnsi="仿宋" w:eastAsia="仿宋" w:cs="仿宋"/>
                <w:sz w:val="28"/>
                <w:szCs w:val="28"/>
              </w:rPr>
              <w:t>其他</w:t>
            </w:r>
          </w:p>
        </w:tc>
      </w:tr>
      <w:tr w14:paraId="4271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tcPr>
          <w:p w14:paraId="6409E75E">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参与单位名称及人员姓名</w:t>
            </w:r>
          </w:p>
        </w:tc>
        <w:tc>
          <w:tcPr>
            <w:tcW w:w="6263" w:type="dxa"/>
            <w:shd w:val="clear" w:color="auto" w:fill="auto"/>
            <w:vAlign w:val="center"/>
          </w:tcPr>
          <w:p w14:paraId="4883DFCE">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国金计算机</w:t>
            </w:r>
          </w:p>
          <w:p w14:paraId="104CFB0B">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益民基金</w:t>
            </w:r>
          </w:p>
          <w:p w14:paraId="117CDB8D">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建投自营</w:t>
            </w:r>
          </w:p>
          <w:p w14:paraId="6049AE1A">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正圆投资</w:t>
            </w:r>
          </w:p>
          <w:p w14:paraId="481A02BB">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银杏投资</w:t>
            </w:r>
          </w:p>
          <w:p w14:paraId="75AA51CA">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国寿资产</w:t>
            </w:r>
          </w:p>
          <w:p w14:paraId="254046F5">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新华基金</w:t>
            </w:r>
          </w:p>
          <w:p w14:paraId="20ACD19D">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中信建投</w:t>
            </w:r>
          </w:p>
          <w:p w14:paraId="7A4C57A9">
            <w:pPr>
              <w:spacing w:line="240" w:lineRule="auto"/>
              <w:jc w:val="both"/>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财通证券</w:t>
            </w:r>
          </w:p>
          <w:p w14:paraId="797463DB">
            <w:pPr>
              <w:spacing w:line="240" w:lineRule="auto"/>
              <w:jc w:val="both"/>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东方财富</w:t>
            </w:r>
          </w:p>
          <w:p w14:paraId="4A1DFCCC">
            <w:pPr>
              <w:spacing w:line="240" w:lineRule="auto"/>
              <w:jc w:val="both"/>
              <w:rPr>
                <w:rFonts w:hint="default" w:ascii="仿宋" w:hAnsi="仿宋" w:eastAsia="仿宋" w:cs="仿宋"/>
                <w:sz w:val="22"/>
                <w:szCs w:val="21"/>
                <w:lang w:val="en-US" w:eastAsia="zh-CN"/>
              </w:rPr>
            </w:pPr>
            <w:r>
              <w:rPr>
                <w:rFonts w:hint="eastAsia" w:ascii="仿宋" w:hAnsi="仿宋" w:eastAsia="仿宋" w:cs="仿宋"/>
                <w:sz w:val="22"/>
                <w:szCs w:val="21"/>
                <w:lang w:val="en-US" w:eastAsia="zh-CN"/>
              </w:rPr>
              <w:t>博润银泰</w:t>
            </w:r>
          </w:p>
        </w:tc>
      </w:tr>
      <w:tr w14:paraId="6F3B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tcPr>
          <w:p w14:paraId="1CAA963A">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时间</w:t>
            </w:r>
          </w:p>
        </w:tc>
        <w:tc>
          <w:tcPr>
            <w:tcW w:w="6263" w:type="dxa"/>
            <w:shd w:val="clear" w:color="auto" w:fill="auto"/>
          </w:tcPr>
          <w:p w14:paraId="6E136EF2">
            <w:pPr>
              <w:spacing w:line="240" w:lineRule="auto"/>
              <w:rPr>
                <w:rFonts w:hint="eastAsia" w:ascii="仿宋" w:hAnsi="仿宋" w:eastAsia="仿宋" w:cs="仿宋"/>
                <w:bCs/>
                <w:iCs/>
                <w:sz w:val="28"/>
                <w:szCs w:val="28"/>
                <w:lang w:val="en-US" w:eastAsia="zh-CN"/>
              </w:rPr>
            </w:pPr>
            <w:r>
              <w:rPr>
                <w:rFonts w:hint="eastAsia" w:ascii="仿宋" w:hAnsi="仿宋" w:eastAsia="仿宋" w:cs="仿宋"/>
                <w:bCs/>
                <w:iCs/>
                <w:sz w:val="28"/>
                <w:szCs w:val="28"/>
                <w:lang w:val="en-US" w:eastAsia="zh-CN"/>
              </w:rPr>
              <w:t>2025年7月15日上午10：00</w:t>
            </w:r>
          </w:p>
          <w:p w14:paraId="7C19C628">
            <w:pPr>
              <w:spacing w:line="240" w:lineRule="auto"/>
              <w:rPr>
                <w:rFonts w:hint="eastAsia" w:ascii="仿宋" w:hAnsi="仿宋" w:eastAsia="仿宋" w:cs="仿宋"/>
                <w:bCs/>
                <w:iCs/>
                <w:sz w:val="28"/>
                <w:szCs w:val="28"/>
                <w:lang w:val="en-US" w:eastAsia="zh-CN"/>
              </w:rPr>
            </w:pPr>
            <w:r>
              <w:rPr>
                <w:rFonts w:hint="eastAsia" w:ascii="仿宋" w:hAnsi="仿宋" w:eastAsia="仿宋" w:cs="仿宋"/>
                <w:bCs/>
                <w:iCs/>
                <w:sz w:val="28"/>
                <w:szCs w:val="28"/>
                <w:lang w:val="en-US" w:eastAsia="zh-CN"/>
              </w:rPr>
              <w:t>2025年7月23日下午15：00</w:t>
            </w:r>
          </w:p>
          <w:p w14:paraId="6827E7BC">
            <w:pPr>
              <w:spacing w:line="240" w:lineRule="auto"/>
              <w:rPr>
                <w:rFonts w:hint="eastAsia" w:ascii="仿宋" w:hAnsi="仿宋" w:eastAsia="仿宋" w:cs="仿宋"/>
                <w:bCs/>
                <w:iCs/>
                <w:sz w:val="28"/>
                <w:szCs w:val="28"/>
                <w:lang w:val="en-US" w:eastAsia="zh-CN"/>
              </w:rPr>
            </w:pPr>
            <w:r>
              <w:rPr>
                <w:rFonts w:hint="eastAsia" w:ascii="仿宋" w:hAnsi="仿宋" w:eastAsia="仿宋" w:cs="仿宋"/>
                <w:bCs/>
                <w:iCs/>
                <w:sz w:val="28"/>
                <w:szCs w:val="28"/>
                <w:lang w:val="en-US" w:eastAsia="zh-CN"/>
              </w:rPr>
              <w:t>2025年7月25日上午10：30</w:t>
            </w:r>
          </w:p>
        </w:tc>
      </w:tr>
      <w:tr w14:paraId="0677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tcPr>
          <w:p w14:paraId="6C1EF503">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地点</w:t>
            </w:r>
          </w:p>
        </w:tc>
        <w:tc>
          <w:tcPr>
            <w:tcW w:w="6263" w:type="dxa"/>
            <w:shd w:val="clear" w:color="auto" w:fill="auto"/>
          </w:tcPr>
          <w:p w14:paraId="7AF250F1">
            <w:pPr>
              <w:spacing w:line="240" w:lineRule="auto"/>
              <w:rPr>
                <w:rFonts w:hint="eastAsia" w:ascii="仿宋" w:hAnsi="仿宋" w:eastAsia="仿宋" w:cs="仿宋"/>
                <w:bCs/>
                <w:iCs/>
                <w:sz w:val="28"/>
                <w:szCs w:val="28"/>
                <w:lang w:val="en-US" w:eastAsia="zh-CN"/>
              </w:rPr>
            </w:pPr>
            <w:r>
              <w:rPr>
                <w:rFonts w:hint="eastAsia" w:ascii="仿宋" w:hAnsi="仿宋" w:eastAsia="仿宋" w:cs="仿宋"/>
                <w:bCs/>
                <w:iCs/>
                <w:sz w:val="28"/>
                <w:szCs w:val="28"/>
                <w:lang w:val="en-US" w:eastAsia="zh-CN"/>
              </w:rPr>
              <w:t>公司会议室</w:t>
            </w:r>
          </w:p>
        </w:tc>
      </w:tr>
      <w:tr w14:paraId="0FD5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tcPr>
          <w:p w14:paraId="72CC98B5">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上市公司接待人员姓名</w:t>
            </w:r>
          </w:p>
        </w:tc>
        <w:tc>
          <w:tcPr>
            <w:tcW w:w="6263" w:type="dxa"/>
            <w:shd w:val="clear" w:color="auto" w:fill="auto"/>
          </w:tcPr>
          <w:p w14:paraId="33C1110F">
            <w:pPr>
              <w:spacing w:line="240" w:lineRule="auto"/>
              <w:rPr>
                <w:rFonts w:hint="eastAsia" w:ascii="仿宋" w:hAnsi="仿宋" w:eastAsia="仿宋" w:cs="仿宋"/>
                <w:bCs/>
                <w:iCs/>
                <w:sz w:val="28"/>
                <w:szCs w:val="28"/>
              </w:rPr>
            </w:pPr>
            <w:r>
              <w:rPr>
                <w:rFonts w:hint="eastAsia" w:ascii="仿宋" w:hAnsi="仿宋" w:eastAsia="仿宋" w:cs="仿宋"/>
                <w:bCs/>
                <w:iCs/>
                <w:sz w:val="28"/>
                <w:szCs w:val="28"/>
                <w:lang w:val="en-US" w:eastAsia="zh-CN"/>
              </w:rPr>
              <w:t>证券事务代表</w:t>
            </w:r>
            <w:r>
              <w:rPr>
                <w:rFonts w:hint="eastAsia" w:ascii="仿宋" w:hAnsi="仿宋" w:eastAsia="仿宋" w:cs="仿宋"/>
                <w:bCs/>
                <w:iCs/>
                <w:sz w:val="28"/>
                <w:szCs w:val="28"/>
                <w:lang w:eastAsia="zh-CN"/>
              </w:rPr>
              <w:t>：</w:t>
            </w:r>
            <w:r>
              <w:rPr>
                <w:rFonts w:hint="eastAsia" w:ascii="仿宋" w:hAnsi="仿宋" w:eastAsia="仿宋" w:cs="仿宋"/>
                <w:bCs/>
                <w:iCs/>
                <w:sz w:val="28"/>
                <w:szCs w:val="28"/>
                <w:lang w:val="en-US" w:eastAsia="zh-CN"/>
              </w:rPr>
              <w:t>梁缤予</w:t>
            </w:r>
          </w:p>
        </w:tc>
      </w:tr>
      <w:tr w14:paraId="7F48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2259" w:type="dxa"/>
            <w:shd w:val="clear" w:color="auto" w:fill="auto"/>
            <w:vAlign w:val="center"/>
          </w:tcPr>
          <w:p w14:paraId="3B7083FD">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投资者关系活动主要内容介绍</w:t>
            </w:r>
          </w:p>
          <w:p w14:paraId="410055C0">
            <w:pPr>
              <w:spacing w:line="240" w:lineRule="auto"/>
              <w:rPr>
                <w:rFonts w:hint="eastAsia" w:ascii="仿宋" w:hAnsi="仿宋" w:eastAsia="仿宋" w:cs="仿宋"/>
                <w:b/>
                <w:bCs/>
                <w:iCs/>
                <w:sz w:val="28"/>
                <w:szCs w:val="28"/>
              </w:rPr>
            </w:pPr>
          </w:p>
        </w:tc>
        <w:tc>
          <w:tcPr>
            <w:tcW w:w="6263" w:type="dxa"/>
            <w:shd w:val="clear" w:color="auto" w:fill="auto"/>
          </w:tcPr>
          <w:p w14:paraId="08DD37D4">
            <w:pPr>
              <w:numPr>
                <w:ilvl w:val="0"/>
                <w:numId w:val="1"/>
              </w:num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介绍公司基本情况</w:t>
            </w:r>
          </w:p>
          <w:p w14:paraId="2BCF6A59">
            <w:pPr>
              <w:numPr>
                <w:ilvl w:val="0"/>
                <w:numId w:val="1"/>
              </w:num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投资者问答环节</w:t>
            </w:r>
          </w:p>
          <w:p w14:paraId="790967F2">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（一）请简要说明公司当前产品的核心战略方向及升级重点？</w:t>
            </w:r>
          </w:p>
          <w:p w14:paraId="424F0EB1">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答：博睿数据当前产品的核心战略方向聚焦于平台化能力建设及智能化技术升级，升级重点体现在以下方面：</w:t>
            </w:r>
          </w:p>
          <w:p w14:paraId="5669914A">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平台化战略深化：公司以Bonree One为核心，推动产品向“上层SaaS化消费场景+底层Apaas底座”架构演进。通过标准化应用工厂整合数据服务、计算、业务逻辑等模块，支持预置应用与众创应用的模块化组装，并搭建覆盖运维监控、可观测性等场景的应用市场，提升场景覆盖能力与迭代效率，降低开发成本。</w:t>
            </w:r>
          </w:p>
          <w:p w14:paraId="7FE9FD56">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LM技术深度整合：公司深度融合通用大模型与垂直领域运维知识，优化模型架构以实现灵活切换，适配客户私有化部署需求。重点开发智能问答系统、自动化根因分析及多源数据统一查询交互功能，显著提升运维响应效率与故障定位能力，并通过AI技术降低产品使用门槛。</w:t>
            </w:r>
          </w:p>
          <w:p w14:paraId="2FD335FA">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国际化拓展：Bonree One国际化版本已落地，支持中英文切换功能，推出英文版官网及适配海外市场的服务模式。公司在中国香港设立子公司、新加坡设立孙公司，推进本地化产品和服务研发，提升全球市场竞争力。</w:t>
            </w:r>
          </w:p>
          <w:p w14:paraId="4C402DF0">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lang w:val="en-US" w:eastAsia="zh-CN"/>
              </w:rPr>
              <w:t>海外市场拓展的主要进展及挑战？</w:t>
            </w:r>
          </w:p>
          <w:p w14:paraId="74A57734">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答：出海战略按区域差异化推进，核心目标为“技术对标+本土化适配”：</w:t>
            </w:r>
          </w:p>
          <w:p w14:paraId="77035D60">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港澳地区：聚焦存量市场替换。受宏观政策影响，部分海外软件需逐步替换为国产产品，公司将重点推进存量客户的国产替代，已实现订单落地。</w:t>
            </w:r>
          </w:p>
          <w:p w14:paraId="19B61A68">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中亚：目前通过代理商接触当地市场，目前看到的商业机会在银行业。</w:t>
            </w:r>
          </w:p>
          <w:p w14:paraId="226DB135">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南亚：目标与国际顶尖厂商（如Datadog等）直接竞争，核心策略包括：（1）技术对标，因国内市场已难见海外厂商身影，需通过东南亚市场了解国际厂商当前技术方向及能力边界；（2）本土化商业机会，海外厂商在适配本土需求的响应速度与调整灵活性上存在优化空间，公司将提供差异化服务；（3）价格策略优化，海外厂商多采用阶梯报价，对IT资产规模较小的客户有较高门槛，公司将针对此类长尾客户调整价格策略，降低客户使用门槛。</w:t>
            </w:r>
          </w:p>
          <w:p w14:paraId="7B26EA29">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临的挑战主要包括：（1）产品适配性风险，海外客户使用习惯与国内存在差异，可能导致产品无法完全满足需求，影响销售业绩；（2）法律合规风险，东南亚各国法律法规体系差异显著，部分行业监管严格，公司在数据安全合规、知识产权等方面存在潜在法律纠纷及合规成本增加的风险；（3）地缘政治与运营风险，包括关税波动、税收政策变化、汇率变动（主要以外币结算）、签证用工规定及收款风险等，可能对海外项目实施和业绩产生重大不利影响。</w:t>
            </w:r>
          </w:p>
          <w:p w14:paraId="4BD30D44">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（三）请分析公司所处细分行业的竞争格局及核心竞争优势？</w:t>
            </w:r>
          </w:p>
          <w:p w14:paraId="29639380">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公司所处的APMO细分行业竞争格局随技术迭代与市场需求变化呈现阶段性演进特征：早期国内厂商聚焦用户体验性能管理，但因技术同质化陷入价格战；随着企业数字化转型推进，海外厂商凭借平台化产品抢占高端市场，国内厂商转向被动式工具型产品竞争，同时面临开源方案冲击；当前阶段，受国产信创政策推动，海外厂商因系统适配不足加速退出头部市场，国内传统厂商加速向平台化转型，新兴厂商虽快速涌现但尚未形成头部效应，行业竞争焦点已转向全域可观测与智能决策能力。</w:t>
            </w:r>
          </w:p>
          <w:p w14:paraId="3E45F2EE">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公司作为已完成平台化转型并投入商用的厂商，核心竞争优势依托技术迭代与市场定位逐步构建：推出的平台化产品Bonree One通过整合全域数据模型，有效解决了传统工具型产品的数据孤岛问题，适配国产系统并填补了海外厂商退出后的市场空白；在行业深耕过程中，公司聚焦金融、电信服务、互联网和制造业等领域，服务头部客户形成较强粘性；同时，公司持续投入研发强化产品智能化功能，数据处理能力对标国际水平，并通过与头部厂商合作绑定云生态，为经销模式落地奠定基础。</w:t>
            </w:r>
          </w:p>
          <w:p w14:paraId="7684A9E4">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（四）公司与字节等厂商的云生态合作进展如何？</w:t>
            </w:r>
          </w:p>
          <w:p w14:paraId="4016B20C">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答：目前均在有序推进中。</w:t>
            </w:r>
          </w:p>
          <w:p w14:paraId="28BF1DDC">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（五）请简述公司的客户结构及各行业贡献情况。？</w:t>
            </w:r>
          </w:p>
          <w:p w14:paraId="0001863B">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以2024年度经审计财务数据为准，公司软件销售及技术开发服务业务收入贡献前四名客户行业分别为互联网及软件信息（占比44.28%）、金融（占比43.22%）、电信相关服务（占比6.06%）和航空、物流（占比5.33%）；监测服务业务收入贡献前四名客户行业分别为金融（占比33.30%）、电信相关服务（占比21.80%）、互联网及软件信息（占比19.27%）和制造业（占比13.48%）。</w:t>
            </w:r>
          </w:p>
          <w:p w14:paraId="521517F9">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产品的市场需求具备跨行业普适性，其市场需求释放程度主要取决于客户IT资产规模（服务器/容器/微服务集群数量）、精细化运营程度（资源利用率指标、故障响应SLA）、数据驱动决策能力（业务指标与系统性能的分析需求）等核心要素。</w:t>
            </w:r>
          </w:p>
          <w:p w14:paraId="1EF8A57B">
            <w:pPr>
              <w:numPr>
                <w:ilvl w:val="0"/>
                <w:numId w:val="0"/>
              </w:numPr>
              <w:spacing w:line="240" w:lineRule="auto"/>
              <w:ind w:firstLine="422" w:firstLineChars="15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（六）公司如何处理客户数据及确保数据合规？</w:t>
            </w:r>
          </w:p>
          <w:p w14:paraId="0B75955C">
            <w:pPr>
              <w:numPr>
                <w:ilvl w:val="0"/>
                <w:numId w:val="0"/>
              </w:num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公司严格遵守《中华人民共和国网络安全法》《中华人民共和国数据安全法》《中华人民共和国个人信息保护法》等法律法规，已通过ISO27001信息安全管理体系、ISO22701隐私信息管理体系及信息系统安全等级保护三级认证。国内（含港澳地区）客户主要采用私有化部署模式，公司产品仅在客户授权范围内提供监控服务，所采集的运维数据所有权归属客户。</w:t>
            </w:r>
          </w:p>
        </w:tc>
      </w:tr>
      <w:tr w14:paraId="5DBD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vAlign w:val="center"/>
          </w:tcPr>
          <w:p w14:paraId="5DC9A641">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附件清单（如有）</w:t>
            </w:r>
          </w:p>
        </w:tc>
        <w:tc>
          <w:tcPr>
            <w:tcW w:w="6263" w:type="dxa"/>
            <w:shd w:val="clear" w:color="auto" w:fill="auto"/>
          </w:tcPr>
          <w:p w14:paraId="3A4E7CB8">
            <w:pPr>
              <w:spacing w:line="240" w:lineRule="auto"/>
              <w:rPr>
                <w:rFonts w:hint="default" w:ascii="仿宋" w:hAnsi="仿宋" w:eastAsia="仿宋" w:cs="仿宋"/>
                <w:bCs/>
                <w:iCs/>
                <w:sz w:val="28"/>
                <w:szCs w:val="28"/>
                <w:lang w:val="en-US" w:eastAsia="zh-CN"/>
              </w:rPr>
            </w:pPr>
            <w:r>
              <w:rPr>
                <w:rFonts w:hint="eastAsia" w:ascii="仿宋" w:hAnsi="仿宋" w:eastAsia="仿宋" w:cs="仿宋"/>
                <w:bCs/>
                <w:iCs/>
                <w:sz w:val="28"/>
                <w:szCs w:val="28"/>
                <w:lang w:val="en-US" w:eastAsia="zh-CN"/>
              </w:rPr>
              <w:t>承诺函</w:t>
            </w:r>
          </w:p>
        </w:tc>
      </w:tr>
      <w:tr w14:paraId="60BB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shd w:val="clear" w:color="auto" w:fill="auto"/>
            <w:vAlign w:val="center"/>
          </w:tcPr>
          <w:p w14:paraId="72B537D5">
            <w:pPr>
              <w:spacing w:line="240" w:lineRule="auto"/>
              <w:rPr>
                <w:rFonts w:hint="eastAsia" w:ascii="仿宋" w:hAnsi="仿宋" w:eastAsia="仿宋" w:cs="仿宋"/>
                <w:b/>
                <w:bCs/>
                <w:iCs/>
                <w:sz w:val="28"/>
                <w:szCs w:val="28"/>
              </w:rPr>
            </w:pPr>
            <w:r>
              <w:rPr>
                <w:rFonts w:hint="eastAsia" w:ascii="仿宋" w:hAnsi="仿宋" w:eastAsia="仿宋" w:cs="仿宋"/>
                <w:b/>
                <w:bCs/>
                <w:iCs/>
                <w:sz w:val="28"/>
                <w:szCs w:val="28"/>
              </w:rPr>
              <w:t>日期</w:t>
            </w:r>
          </w:p>
        </w:tc>
        <w:tc>
          <w:tcPr>
            <w:tcW w:w="6263" w:type="dxa"/>
            <w:shd w:val="clear" w:color="auto" w:fill="auto"/>
          </w:tcPr>
          <w:p w14:paraId="1019CAEE">
            <w:pPr>
              <w:spacing w:line="240" w:lineRule="auto"/>
              <w:rPr>
                <w:rFonts w:hint="eastAsia" w:ascii="仿宋" w:hAnsi="仿宋" w:eastAsia="仿宋" w:cs="仿宋"/>
                <w:bCs/>
                <w:iCs/>
                <w:sz w:val="28"/>
                <w:szCs w:val="28"/>
                <w:lang w:val="en-US" w:eastAsia="zh-CN"/>
              </w:rPr>
            </w:pPr>
            <w:r>
              <w:rPr>
                <w:rFonts w:hint="eastAsia" w:ascii="仿宋" w:hAnsi="仿宋" w:eastAsia="仿宋" w:cs="仿宋"/>
                <w:bCs/>
                <w:iCs/>
                <w:sz w:val="28"/>
                <w:szCs w:val="28"/>
              </w:rPr>
              <w:t>202</w:t>
            </w:r>
            <w:r>
              <w:rPr>
                <w:rFonts w:hint="eastAsia" w:ascii="仿宋" w:hAnsi="仿宋" w:eastAsia="仿宋" w:cs="仿宋"/>
                <w:bCs/>
                <w:iCs/>
                <w:sz w:val="28"/>
                <w:szCs w:val="28"/>
                <w:lang w:val="en-US" w:eastAsia="zh-CN"/>
              </w:rPr>
              <w:t>5</w:t>
            </w:r>
            <w:r>
              <w:rPr>
                <w:rFonts w:hint="eastAsia" w:ascii="仿宋" w:hAnsi="仿宋" w:eastAsia="仿宋" w:cs="仿宋"/>
                <w:bCs/>
                <w:iCs/>
                <w:sz w:val="28"/>
                <w:szCs w:val="28"/>
              </w:rPr>
              <w:t>年</w:t>
            </w:r>
            <w:r>
              <w:rPr>
                <w:rFonts w:hint="eastAsia" w:ascii="仿宋" w:hAnsi="仿宋" w:eastAsia="仿宋" w:cs="仿宋"/>
                <w:bCs/>
                <w:iCs/>
                <w:sz w:val="28"/>
                <w:szCs w:val="28"/>
                <w:lang w:val="en-US" w:eastAsia="zh-CN"/>
              </w:rPr>
              <w:t>7</w:t>
            </w:r>
            <w:r>
              <w:rPr>
                <w:rFonts w:hint="eastAsia" w:ascii="仿宋" w:hAnsi="仿宋" w:eastAsia="仿宋" w:cs="仿宋"/>
                <w:bCs/>
                <w:iCs/>
                <w:sz w:val="28"/>
                <w:szCs w:val="28"/>
              </w:rPr>
              <w:t>月</w:t>
            </w:r>
            <w:r>
              <w:rPr>
                <w:rFonts w:hint="eastAsia" w:ascii="仿宋" w:hAnsi="仿宋" w:eastAsia="仿宋" w:cs="仿宋"/>
                <w:bCs/>
                <w:iCs/>
                <w:sz w:val="28"/>
                <w:szCs w:val="28"/>
                <w:lang w:val="en-US" w:eastAsia="zh-CN"/>
              </w:rPr>
              <w:t>31</w:t>
            </w:r>
            <w:r>
              <w:rPr>
                <w:rFonts w:hint="eastAsia" w:ascii="仿宋" w:hAnsi="仿宋" w:eastAsia="仿宋" w:cs="仿宋"/>
                <w:bCs/>
                <w:iCs/>
                <w:sz w:val="28"/>
                <w:szCs w:val="28"/>
              </w:rPr>
              <w:t>日</w:t>
            </w:r>
          </w:p>
        </w:tc>
      </w:tr>
    </w:tbl>
    <w:p w14:paraId="1ED26915">
      <w:pPr>
        <w:ind w:firstLine="480" w:firstLineChars="200"/>
        <w:rPr>
          <w:sz w:val="24"/>
          <w:szCs w:val="24"/>
        </w:rPr>
      </w:pPr>
    </w:p>
    <w:p w14:paraId="132B07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5560F"/>
    <w:multiLevelType w:val="singleLevel"/>
    <w:tmpl w:val="75B5560F"/>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GQ3MThiODZlMDRiYzhkNTg5ODFlOGQxNzlhMGQifQ=="/>
  </w:docVars>
  <w:rsids>
    <w:rsidRoot w:val="00061BC0"/>
    <w:rsid w:val="000020CA"/>
    <w:rsid w:val="000076FA"/>
    <w:rsid w:val="0001014F"/>
    <w:rsid w:val="00017A1C"/>
    <w:rsid w:val="00022778"/>
    <w:rsid w:val="00023191"/>
    <w:rsid w:val="000371B3"/>
    <w:rsid w:val="00056C84"/>
    <w:rsid w:val="00061BC0"/>
    <w:rsid w:val="00064956"/>
    <w:rsid w:val="000704A2"/>
    <w:rsid w:val="0007258F"/>
    <w:rsid w:val="0007738D"/>
    <w:rsid w:val="0008650B"/>
    <w:rsid w:val="000937CB"/>
    <w:rsid w:val="000953F9"/>
    <w:rsid w:val="000B27E9"/>
    <w:rsid w:val="000B6E35"/>
    <w:rsid w:val="000B7A6D"/>
    <w:rsid w:val="000C23F7"/>
    <w:rsid w:val="000D108F"/>
    <w:rsid w:val="000D1DDE"/>
    <w:rsid w:val="000E0190"/>
    <w:rsid w:val="000E3717"/>
    <w:rsid w:val="000F61D3"/>
    <w:rsid w:val="000F723B"/>
    <w:rsid w:val="001007D0"/>
    <w:rsid w:val="001008BA"/>
    <w:rsid w:val="001113CC"/>
    <w:rsid w:val="001224F1"/>
    <w:rsid w:val="001367D2"/>
    <w:rsid w:val="00140997"/>
    <w:rsid w:val="00153C07"/>
    <w:rsid w:val="00165713"/>
    <w:rsid w:val="001713A1"/>
    <w:rsid w:val="001745A3"/>
    <w:rsid w:val="00177BCB"/>
    <w:rsid w:val="001A1627"/>
    <w:rsid w:val="001A3349"/>
    <w:rsid w:val="001B0CE6"/>
    <w:rsid w:val="001B640E"/>
    <w:rsid w:val="001C3503"/>
    <w:rsid w:val="001D1C42"/>
    <w:rsid w:val="001D22D3"/>
    <w:rsid w:val="001D3C36"/>
    <w:rsid w:val="001F582F"/>
    <w:rsid w:val="002004CB"/>
    <w:rsid w:val="002005A1"/>
    <w:rsid w:val="00213731"/>
    <w:rsid w:val="0021388F"/>
    <w:rsid w:val="0021636B"/>
    <w:rsid w:val="0025140B"/>
    <w:rsid w:val="00253DDE"/>
    <w:rsid w:val="0025607B"/>
    <w:rsid w:val="00264026"/>
    <w:rsid w:val="002734C4"/>
    <w:rsid w:val="0029219E"/>
    <w:rsid w:val="002B2B36"/>
    <w:rsid w:val="002B3A9A"/>
    <w:rsid w:val="002B5C34"/>
    <w:rsid w:val="002B5D8F"/>
    <w:rsid w:val="002C50BA"/>
    <w:rsid w:val="002C65F0"/>
    <w:rsid w:val="002D3A97"/>
    <w:rsid w:val="002D3B01"/>
    <w:rsid w:val="002D57FB"/>
    <w:rsid w:val="002F67EB"/>
    <w:rsid w:val="003075C2"/>
    <w:rsid w:val="0031204D"/>
    <w:rsid w:val="003131AC"/>
    <w:rsid w:val="0031561E"/>
    <w:rsid w:val="00317D7C"/>
    <w:rsid w:val="0032228B"/>
    <w:rsid w:val="00323252"/>
    <w:rsid w:val="00327BEB"/>
    <w:rsid w:val="003302CE"/>
    <w:rsid w:val="00333EBB"/>
    <w:rsid w:val="0036539F"/>
    <w:rsid w:val="00367661"/>
    <w:rsid w:val="00394418"/>
    <w:rsid w:val="003A481B"/>
    <w:rsid w:val="003C0ED8"/>
    <w:rsid w:val="003C5CFA"/>
    <w:rsid w:val="003E357C"/>
    <w:rsid w:val="003E4D2E"/>
    <w:rsid w:val="004142CA"/>
    <w:rsid w:val="00427220"/>
    <w:rsid w:val="00432A08"/>
    <w:rsid w:val="00454B12"/>
    <w:rsid w:val="00473806"/>
    <w:rsid w:val="0047465D"/>
    <w:rsid w:val="004915B6"/>
    <w:rsid w:val="00495BAA"/>
    <w:rsid w:val="004A3C19"/>
    <w:rsid w:val="004B6106"/>
    <w:rsid w:val="004C5E9A"/>
    <w:rsid w:val="004E15D7"/>
    <w:rsid w:val="004E669D"/>
    <w:rsid w:val="00510452"/>
    <w:rsid w:val="00513094"/>
    <w:rsid w:val="0052254B"/>
    <w:rsid w:val="00522E95"/>
    <w:rsid w:val="0053352B"/>
    <w:rsid w:val="00557266"/>
    <w:rsid w:val="00561479"/>
    <w:rsid w:val="00562BEB"/>
    <w:rsid w:val="0056672A"/>
    <w:rsid w:val="00575302"/>
    <w:rsid w:val="00577538"/>
    <w:rsid w:val="005833AD"/>
    <w:rsid w:val="00583962"/>
    <w:rsid w:val="00585002"/>
    <w:rsid w:val="00587048"/>
    <w:rsid w:val="0059075C"/>
    <w:rsid w:val="00591B1B"/>
    <w:rsid w:val="00592BCF"/>
    <w:rsid w:val="00595299"/>
    <w:rsid w:val="005A285B"/>
    <w:rsid w:val="005B4F27"/>
    <w:rsid w:val="005C61D0"/>
    <w:rsid w:val="005D6494"/>
    <w:rsid w:val="005F2D6A"/>
    <w:rsid w:val="00604916"/>
    <w:rsid w:val="00607D10"/>
    <w:rsid w:val="006169B5"/>
    <w:rsid w:val="0062329D"/>
    <w:rsid w:val="00623F5F"/>
    <w:rsid w:val="006262C6"/>
    <w:rsid w:val="006353C8"/>
    <w:rsid w:val="00647F02"/>
    <w:rsid w:val="006574AB"/>
    <w:rsid w:val="00660A36"/>
    <w:rsid w:val="00660B22"/>
    <w:rsid w:val="006635DE"/>
    <w:rsid w:val="006701B7"/>
    <w:rsid w:val="00670333"/>
    <w:rsid w:val="00676C4B"/>
    <w:rsid w:val="00680609"/>
    <w:rsid w:val="0068144D"/>
    <w:rsid w:val="00681F59"/>
    <w:rsid w:val="006827C0"/>
    <w:rsid w:val="00682A37"/>
    <w:rsid w:val="0068458C"/>
    <w:rsid w:val="006868AC"/>
    <w:rsid w:val="006874FC"/>
    <w:rsid w:val="006941B4"/>
    <w:rsid w:val="00695B5C"/>
    <w:rsid w:val="00695B7D"/>
    <w:rsid w:val="006A3AC7"/>
    <w:rsid w:val="006A5E53"/>
    <w:rsid w:val="006C2DA0"/>
    <w:rsid w:val="006C3D87"/>
    <w:rsid w:val="006C42A8"/>
    <w:rsid w:val="006F11AB"/>
    <w:rsid w:val="006F1389"/>
    <w:rsid w:val="006F6686"/>
    <w:rsid w:val="006F70AF"/>
    <w:rsid w:val="00731F23"/>
    <w:rsid w:val="00745FA5"/>
    <w:rsid w:val="00756E9F"/>
    <w:rsid w:val="0076223A"/>
    <w:rsid w:val="0076234D"/>
    <w:rsid w:val="00767742"/>
    <w:rsid w:val="00770874"/>
    <w:rsid w:val="007740B2"/>
    <w:rsid w:val="00775DAD"/>
    <w:rsid w:val="00775FCE"/>
    <w:rsid w:val="007764A8"/>
    <w:rsid w:val="00790E47"/>
    <w:rsid w:val="00791547"/>
    <w:rsid w:val="00791A61"/>
    <w:rsid w:val="00795F71"/>
    <w:rsid w:val="007A237D"/>
    <w:rsid w:val="007A5245"/>
    <w:rsid w:val="007B267E"/>
    <w:rsid w:val="007B5E02"/>
    <w:rsid w:val="007B765F"/>
    <w:rsid w:val="007C5485"/>
    <w:rsid w:val="007D376B"/>
    <w:rsid w:val="007E33B4"/>
    <w:rsid w:val="007E61D3"/>
    <w:rsid w:val="007E6261"/>
    <w:rsid w:val="007F52A2"/>
    <w:rsid w:val="00817153"/>
    <w:rsid w:val="00824892"/>
    <w:rsid w:val="00852771"/>
    <w:rsid w:val="00866DC2"/>
    <w:rsid w:val="00875446"/>
    <w:rsid w:val="008766C0"/>
    <w:rsid w:val="008768C9"/>
    <w:rsid w:val="008959F5"/>
    <w:rsid w:val="00895A9A"/>
    <w:rsid w:val="008A2505"/>
    <w:rsid w:val="008B252B"/>
    <w:rsid w:val="008B6C66"/>
    <w:rsid w:val="008D267D"/>
    <w:rsid w:val="008E0649"/>
    <w:rsid w:val="008E3257"/>
    <w:rsid w:val="008F2157"/>
    <w:rsid w:val="008F74E2"/>
    <w:rsid w:val="0092716A"/>
    <w:rsid w:val="009307BB"/>
    <w:rsid w:val="00933A0A"/>
    <w:rsid w:val="00937B98"/>
    <w:rsid w:val="009420E2"/>
    <w:rsid w:val="00951440"/>
    <w:rsid w:val="00952242"/>
    <w:rsid w:val="00952DD5"/>
    <w:rsid w:val="00971777"/>
    <w:rsid w:val="00992563"/>
    <w:rsid w:val="009927BB"/>
    <w:rsid w:val="0099727F"/>
    <w:rsid w:val="009C2048"/>
    <w:rsid w:val="009C2F09"/>
    <w:rsid w:val="009C7E22"/>
    <w:rsid w:val="009D55EA"/>
    <w:rsid w:val="009D765E"/>
    <w:rsid w:val="009E4037"/>
    <w:rsid w:val="009E5AF3"/>
    <w:rsid w:val="009F0901"/>
    <w:rsid w:val="009F444A"/>
    <w:rsid w:val="00A01EAA"/>
    <w:rsid w:val="00A057A2"/>
    <w:rsid w:val="00A17193"/>
    <w:rsid w:val="00A17B55"/>
    <w:rsid w:val="00A27CF2"/>
    <w:rsid w:val="00A3203E"/>
    <w:rsid w:val="00A42D59"/>
    <w:rsid w:val="00A51D21"/>
    <w:rsid w:val="00A53FDC"/>
    <w:rsid w:val="00A61A6F"/>
    <w:rsid w:val="00A6479A"/>
    <w:rsid w:val="00A65B87"/>
    <w:rsid w:val="00A758AB"/>
    <w:rsid w:val="00A820E5"/>
    <w:rsid w:val="00AA03E7"/>
    <w:rsid w:val="00AA31DB"/>
    <w:rsid w:val="00AB1D7D"/>
    <w:rsid w:val="00AB6B1B"/>
    <w:rsid w:val="00AD329A"/>
    <w:rsid w:val="00AD7279"/>
    <w:rsid w:val="00AE505B"/>
    <w:rsid w:val="00AF0CD2"/>
    <w:rsid w:val="00AF3820"/>
    <w:rsid w:val="00AF5ABA"/>
    <w:rsid w:val="00B00EA2"/>
    <w:rsid w:val="00B05423"/>
    <w:rsid w:val="00B05616"/>
    <w:rsid w:val="00B21143"/>
    <w:rsid w:val="00B254DD"/>
    <w:rsid w:val="00B27617"/>
    <w:rsid w:val="00B3154D"/>
    <w:rsid w:val="00B50112"/>
    <w:rsid w:val="00B5651C"/>
    <w:rsid w:val="00B81389"/>
    <w:rsid w:val="00B83F9A"/>
    <w:rsid w:val="00B9137F"/>
    <w:rsid w:val="00BA1635"/>
    <w:rsid w:val="00BA200C"/>
    <w:rsid w:val="00BA27BF"/>
    <w:rsid w:val="00BB46A3"/>
    <w:rsid w:val="00BD5145"/>
    <w:rsid w:val="00BD7350"/>
    <w:rsid w:val="00BE1997"/>
    <w:rsid w:val="00C03AA3"/>
    <w:rsid w:val="00C102D2"/>
    <w:rsid w:val="00C165A4"/>
    <w:rsid w:val="00C20E21"/>
    <w:rsid w:val="00C30054"/>
    <w:rsid w:val="00C34162"/>
    <w:rsid w:val="00C45F3F"/>
    <w:rsid w:val="00C5327D"/>
    <w:rsid w:val="00C61148"/>
    <w:rsid w:val="00C63288"/>
    <w:rsid w:val="00C66885"/>
    <w:rsid w:val="00C705A0"/>
    <w:rsid w:val="00C80D28"/>
    <w:rsid w:val="00C977F7"/>
    <w:rsid w:val="00C97D9C"/>
    <w:rsid w:val="00CB1106"/>
    <w:rsid w:val="00CB1894"/>
    <w:rsid w:val="00CB443D"/>
    <w:rsid w:val="00CB67FA"/>
    <w:rsid w:val="00CB68A7"/>
    <w:rsid w:val="00CC6CBB"/>
    <w:rsid w:val="00CC7D4E"/>
    <w:rsid w:val="00CD490A"/>
    <w:rsid w:val="00CD6940"/>
    <w:rsid w:val="00CD696B"/>
    <w:rsid w:val="00CD7471"/>
    <w:rsid w:val="00D2615D"/>
    <w:rsid w:val="00D325FB"/>
    <w:rsid w:val="00D3516C"/>
    <w:rsid w:val="00D35E5B"/>
    <w:rsid w:val="00D55BC6"/>
    <w:rsid w:val="00D62E3B"/>
    <w:rsid w:val="00D63394"/>
    <w:rsid w:val="00D73AAD"/>
    <w:rsid w:val="00D82BFF"/>
    <w:rsid w:val="00D864A9"/>
    <w:rsid w:val="00D8752C"/>
    <w:rsid w:val="00DB0433"/>
    <w:rsid w:val="00DB1C80"/>
    <w:rsid w:val="00DB403B"/>
    <w:rsid w:val="00DB44A7"/>
    <w:rsid w:val="00DB7EFE"/>
    <w:rsid w:val="00DC22F6"/>
    <w:rsid w:val="00DD14BE"/>
    <w:rsid w:val="00DE29F1"/>
    <w:rsid w:val="00DE7D4E"/>
    <w:rsid w:val="00DF0069"/>
    <w:rsid w:val="00DF3F5C"/>
    <w:rsid w:val="00DF6BCD"/>
    <w:rsid w:val="00E061D0"/>
    <w:rsid w:val="00E07B5D"/>
    <w:rsid w:val="00E1426E"/>
    <w:rsid w:val="00E30CD4"/>
    <w:rsid w:val="00E453CA"/>
    <w:rsid w:val="00E50EDB"/>
    <w:rsid w:val="00E51641"/>
    <w:rsid w:val="00E52F1F"/>
    <w:rsid w:val="00E61B6E"/>
    <w:rsid w:val="00E62E33"/>
    <w:rsid w:val="00E90D4A"/>
    <w:rsid w:val="00EA30B2"/>
    <w:rsid w:val="00EA535C"/>
    <w:rsid w:val="00EA573A"/>
    <w:rsid w:val="00EB1E73"/>
    <w:rsid w:val="00EC1901"/>
    <w:rsid w:val="00EE0D3B"/>
    <w:rsid w:val="00EE266F"/>
    <w:rsid w:val="00EE3E5D"/>
    <w:rsid w:val="00EE70A4"/>
    <w:rsid w:val="00EF30B0"/>
    <w:rsid w:val="00F05ABE"/>
    <w:rsid w:val="00F14735"/>
    <w:rsid w:val="00F21E39"/>
    <w:rsid w:val="00F2624A"/>
    <w:rsid w:val="00F50691"/>
    <w:rsid w:val="00F51C64"/>
    <w:rsid w:val="00F56FE0"/>
    <w:rsid w:val="00F62228"/>
    <w:rsid w:val="00F71751"/>
    <w:rsid w:val="00F73357"/>
    <w:rsid w:val="00F74DC5"/>
    <w:rsid w:val="00F775AE"/>
    <w:rsid w:val="00F80FCA"/>
    <w:rsid w:val="00F8119A"/>
    <w:rsid w:val="00FA04D6"/>
    <w:rsid w:val="00FA1456"/>
    <w:rsid w:val="00FA51CF"/>
    <w:rsid w:val="00FA72B5"/>
    <w:rsid w:val="00FC0AC4"/>
    <w:rsid w:val="00FC763C"/>
    <w:rsid w:val="00FD5580"/>
    <w:rsid w:val="00FF0A8C"/>
    <w:rsid w:val="00FF13F6"/>
    <w:rsid w:val="013D4B60"/>
    <w:rsid w:val="07554285"/>
    <w:rsid w:val="09D21BBD"/>
    <w:rsid w:val="0DC0614B"/>
    <w:rsid w:val="0DF006BF"/>
    <w:rsid w:val="10C41590"/>
    <w:rsid w:val="1DE33F41"/>
    <w:rsid w:val="25A62424"/>
    <w:rsid w:val="264540EF"/>
    <w:rsid w:val="292C0E92"/>
    <w:rsid w:val="2D752028"/>
    <w:rsid w:val="37B83EBC"/>
    <w:rsid w:val="38A01FE9"/>
    <w:rsid w:val="4395506D"/>
    <w:rsid w:val="4F585C8E"/>
    <w:rsid w:val="4FC3175E"/>
    <w:rsid w:val="5174795A"/>
    <w:rsid w:val="5A272E2C"/>
    <w:rsid w:val="5FA334EF"/>
    <w:rsid w:val="607E5A53"/>
    <w:rsid w:val="617B1B3B"/>
    <w:rsid w:val="6B19056F"/>
    <w:rsid w:val="6C1A00FB"/>
    <w:rsid w:val="6D7D5050"/>
    <w:rsid w:val="6EF410D7"/>
    <w:rsid w:val="7487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2142</Words>
  <Characters>2261</Characters>
  <Lines>3</Lines>
  <Paragraphs>1</Paragraphs>
  <TotalTime>17</TotalTime>
  <ScaleCrop>false</ScaleCrop>
  <LinksUpToDate>false</LinksUpToDate>
  <CharactersWithSpaces>2363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2023-03-06T01:12:00Z</dcterms:created>
  <dc:creator>梁 缤予</dc:creator>
  <cp:lastModifiedBy>梁缤予</cp:lastModifiedBy>
  <dcterms:modified xsi:type="dcterms:W3CDTF">2025-07-31T09:54:04Z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9F686703F35143B5A14C957F3FF9B32F_13</vt:lpwstr>
  </property>
  <property fmtid="{D5CDD505-2E9C-101B-9397-08002B2CF9AE}" pid="4" name="KSOTemplateDocerSaveRecord">
    <vt:lpwstr>eyJoZGlkIjoiZGZmNGQ3MThiODZlMDRiYzhkNTg5ODFlOGQxNzlhMGQiLCJ1c2VySWQiOiIyNTM1Mjc5MTgifQ==</vt:lpwstr>
  </property>
</Properties>
</file>