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F20A">
      <w:pPr>
        <w:rPr>
          <w:rFonts w:ascii="黑体" w:hAnsi="黑体" w:eastAsia="黑体"/>
          <w:color w:val="FF0000"/>
          <w:sz w:val="44"/>
          <w:szCs w:val="44"/>
        </w:rPr>
      </w:pPr>
      <w:r>
        <w:rPr>
          <w:rFonts w:hint="eastAsia" w:ascii="黑体" w:hAnsi="黑体" w:eastAsia="黑体"/>
          <w:color w:val="FF0000"/>
          <w:sz w:val="44"/>
          <w:szCs w:val="44"/>
        </w:rPr>
        <w:t>中国北方稀土（集团）高科技股份有限公司</w:t>
      </w:r>
    </w:p>
    <w:p w14:paraId="032FF72C">
      <w:pPr>
        <w:jc w:val="center"/>
        <w:rPr>
          <w:rFonts w:ascii="黑体" w:hAnsi="黑体" w:eastAsia="黑体"/>
          <w:color w:val="FF0000"/>
          <w:sz w:val="44"/>
          <w:szCs w:val="44"/>
        </w:rPr>
      </w:pPr>
      <w:r>
        <w:rPr>
          <w:rFonts w:hint="eastAsia" w:ascii="黑体" w:hAnsi="黑体" w:eastAsia="黑体"/>
          <w:color w:val="FF0000"/>
          <w:sz w:val="44"/>
          <w:szCs w:val="44"/>
        </w:rPr>
        <w:t>投资者关系活动记录表</w:t>
      </w:r>
    </w:p>
    <w:p w14:paraId="35B4A673">
      <w:pPr>
        <w:jc w:val="right"/>
        <w:rPr>
          <w:rFonts w:ascii="宋体" w:hAnsi="宋体" w:eastAsia="宋体"/>
          <w:sz w:val="28"/>
          <w:szCs w:val="28"/>
        </w:rPr>
      </w:pPr>
      <w:r>
        <w:rPr>
          <w:rFonts w:hint="eastAsia" w:ascii="宋体" w:hAnsi="宋体" w:eastAsia="宋体"/>
          <w:sz w:val="28"/>
          <w:szCs w:val="28"/>
        </w:rPr>
        <w:t>编号：2</w:t>
      </w:r>
      <w:r>
        <w:rPr>
          <w:rFonts w:ascii="宋体" w:hAnsi="宋体" w:eastAsia="宋体"/>
          <w:sz w:val="28"/>
          <w:szCs w:val="28"/>
        </w:rPr>
        <w:t>025-014</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667"/>
      </w:tblGrid>
      <w:tr w14:paraId="26A9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528AD1A0">
            <w:pPr>
              <w:spacing w:line="400" w:lineRule="exact"/>
              <w:jc w:val="center"/>
              <w:rPr>
                <w:rFonts w:ascii="宋体" w:hAnsi="宋体" w:eastAsia="宋体"/>
                <w:sz w:val="28"/>
                <w:szCs w:val="28"/>
              </w:rPr>
            </w:pPr>
            <w:r>
              <w:rPr>
                <w:rFonts w:hint="eastAsia" w:ascii="宋体" w:hAnsi="宋体" w:eastAsia="宋体"/>
                <w:sz w:val="28"/>
                <w:szCs w:val="28"/>
              </w:rPr>
              <w:t>投资者关系</w:t>
            </w:r>
          </w:p>
          <w:p w14:paraId="0428D62A">
            <w:pPr>
              <w:spacing w:line="400" w:lineRule="exact"/>
              <w:jc w:val="center"/>
              <w:rPr>
                <w:rFonts w:ascii="宋体" w:hAnsi="宋体" w:eastAsia="宋体"/>
                <w:sz w:val="28"/>
                <w:szCs w:val="28"/>
              </w:rPr>
            </w:pPr>
            <w:r>
              <w:rPr>
                <w:rFonts w:hint="eastAsia" w:ascii="宋体" w:hAnsi="宋体" w:eastAsia="宋体"/>
                <w:sz w:val="28"/>
                <w:szCs w:val="28"/>
              </w:rPr>
              <w:t>活动类别</w:t>
            </w:r>
          </w:p>
        </w:tc>
        <w:tc>
          <w:tcPr>
            <w:tcW w:w="6667" w:type="dxa"/>
          </w:tcPr>
          <w:p w14:paraId="6923EA70">
            <w:pPr>
              <w:spacing w:line="540" w:lineRule="exact"/>
              <w:rPr>
                <w:rFonts w:ascii="宋体" w:hAnsi="宋体" w:eastAsia="宋体"/>
                <w:sz w:val="28"/>
                <w:szCs w:val="28"/>
              </w:rPr>
            </w:pPr>
            <w:r>
              <w:rPr>
                <w:rFonts w:hint="eastAsia" w:ascii="宋体" w:hAnsi="宋体" w:eastAsia="宋体"/>
                <w:sz w:val="28"/>
                <w:szCs w:val="28"/>
              </w:rPr>
              <w:sym w:font="Wingdings 2" w:char="0052"/>
            </w:r>
            <w:r>
              <w:rPr>
                <w:rFonts w:hint="eastAsia" w:ascii="宋体" w:hAnsi="宋体" w:eastAsia="宋体"/>
                <w:sz w:val="28"/>
                <w:szCs w:val="28"/>
              </w:rPr>
              <w:t xml:space="preserve">特定对象调研 </w:t>
            </w:r>
            <w:r>
              <w:rPr>
                <w:rFonts w:ascii="宋体" w:hAnsi="宋体" w:eastAsia="宋体"/>
                <w:sz w:val="28"/>
                <w:szCs w:val="28"/>
              </w:rPr>
              <w:t xml:space="preserve">  </w:t>
            </w:r>
            <w:r>
              <w:rPr>
                <w:rFonts w:hint="eastAsia" w:ascii="宋体" w:hAnsi="宋体" w:eastAsia="宋体"/>
                <w:sz w:val="28"/>
                <w:szCs w:val="28"/>
              </w:rPr>
              <w:t xml:space="preserve">□分析师会议 </w:t>
            </w:r>
            <w:r>
              <w:rPr>
                <w:rFonts w:ascii="宋体" w:hAnsi="宋体" w:eastAsia="宋体"/>
                <w:sz w:val="28"/>
                <w:szCs w:val="28"/>
              </w:rPr>
              <w:t xml:space="preserve">      </w:t>
            </w:r>
          </w:p>
          <w:p w14:paraId="2A5781B6">
            <w:pPr>
              <w:spacing w:line="540" w:lineRule="exact"/>
              <w:rPr>
                <w:rFonts w:ascii="宋体" w:hAnsi="宋体" w:eastAsia="宋体"/>
                <w:sz w:val="28"/>
                <w:szCs w:val="28"/>
              </w:rPr>
            </w:pPr>
            <w:r>
              <w:rPr>
                <w:rFonts w:hint="eastAsia" w:ascii="宋体" w:hAnsi="宋体" w:eastAsia="宋体"/>
                <w:sz w:val="28"/>
                <w:szCs w:val="28"/>
              </w:rPr>
              <w:t xml:space="preserve">□媒体采访 </w:t>
            </w:r>
            <w:r>
              <w:rPr>
                <w:rFonts w:ascii="宋体" w:hAnsi="宋体" w:eastAsia="宋体"/>
                <w:sz w:val="28"/>
                <w:szCs w:val="28"/>
              </w:rPr>
              <w:t xml:space="preserve">      </w:t>
            </w:r>
            <w:r>
              <w:rPr>
                <w:rFonts w:hint="eastAsia" w:ascii="宋体" w:hAnsi="宋体" w:eastAsia="宋体"/>
                <w:sz w:val="28"/>
                <w:szCs w:val="28"/>
              </w:rPr>
              <w:t>□业绩说明会</w:t>
            </w:r>
          </w:p>
          <w:p w14:paraId="07DE499D">
            <w:pPr>
              <w:spacing w:line="540" w:lineRule="exact"/>
              <w:rPr>
                <w:rFonts w:ascii="宋体" w:hAnsi="宋体" w:eastAsia="宋体"/>
                <w:sz w:val="28"/>
                <w:szCs w:val="28"/>
              </w:rPr>
            </w:pPr>
            <w:r>
              <w:rPr>
                <w:rFonts w:hint="eastAsia" w:ascii="宋体" w:hAnsi="宋体" w:eastAsia="宋体"/>
                <w:sz w:val="28"/>
                <w:szCs w:val="28"/>
              </w:rPr>
              <w:t xml:space="preserve">□新闻发布会 </w:t>
            </w:r>
            <w:r>
              <w:rPr>
                <w:rFonts w:ascii="宋体" w:hAnsi="宋体" w:eastAsia="宋体"/>
                <w:sz w:val="28"/>
                <w:szCs w:val="28"/>
              </w:rPr>
              <w:t xml:space="preserve">    </w:t>
            </w:r>
            <w:r>
              <w:rPr>
                <w:rFonts w:hint="eastAsia" w:ascii="宋体" w:hAnsi="宋体" w:eastAsia="宋体"/>
                <w:sz w:val="28"/>
                <w:szCs w:val="28"/>
              </w:rPr>
              <w:t>□路演活动</w:t>
            </w:r>
          </w:p>
          <w:p w14:paraId="34A4C34D">
            <w:pPr>
              <w:spacing w:line="540" w:lineRule="exact"/>
              <w:rPr>
                <w:rFonts w:ascii="宋体" w:hAnsi="宋体" w:eastAsia="宋体"/>
                <w:sz w:val="28"/>
                <w:szCs w:val="28"/>
              </w:rPr>
            </w:pPr>
            <w:r>
              <w:rPr>
                <w:rFonts w:hint="eastAsia" w:ascii="宋体" w:hAnsi="宋体" w:eastAsia="宋体"/>
                <w:sz w:val="28"/>
                <w:szCs w:val="28"/>
              </w:rPr>
              <w:t>□现场参观</w:t>
            </w:r>
          </w:p>
          <w:p w14:paraId="7ED0F321">
            <w:pPr>
              <w:spacing w:line="540" w:lineRule="exact"/>
              <w:rPr>
                <w:rFonts w:ascii="宋体" w:hAnsi="宋体" w:eastAsia="宋体"/>
                <w:sz w:val="28"/>
                <w:szCs w:val="28"/>
              </w:rPr>
            </w:pPr>
            <w:r>
              <w:rPr>
                <w:rFonts w:hint="eastAsia" w:ascii="宋体" w:hAnsi="宋体" w:eastAsia="宋体"/>
                <w:sz w:val="28"/>
                <w:szCs w:val="28"/>
              </w:rPr>
              <w:t>□其他（请文字说明其他活动内容）</w:t>
            </w:r>
          </w:p>
        </w:tc>
      </w:tr>
      <w:tr w14:paraId="33B8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2122" w:type="dxa"/>
            <w:vAlign w:val="center"/>
          </w:tcPr>
          <w:p w14:paraId="53683FC8">
            <w:pPr>
              <w:spacing w:line="400" w:lineRule="exact"/>
              <w:jc w:val="center"/>
              <w:rPr>
                <w:rFonts w:ascii="宋体" w:hAnsi="宋体" w:eastAsia="宋体"/>
                <w:sz w:val="28"/>
                <w:szCs w:val="28"/>
              </w:rPr>
            </w:pPr>
            <w:r>
              <w:rPr>
                <w:rFonts w:hint="eastAsia" w:ascii="宋体" w:hAnsi="宋体" w:eastAsia="宋体"/>
                <w:sz w:val="28"/>
                <w:szCs w:val="28"/>
              </w:rPr>
              <w:t>参会单位（排名不分先后）</w:t>
            </w:r>
          </w:p>
        </w:tc>
        <w:tc>
          <w:tcPr>
            <w:tcW w:w="6667" w:type="dxa"/>
            <w:vAlign w:val="center"/>
          </w:tcPr>
          <w:p w14:paraId="1B352C47">
            <w:pPr>
              <w:spacing w:line="460" w:lineRule="exact"/>
              <w:rPr>
                <w:rFonts w:ascii="宋体" w:hAnsi="宋体" w:eastAsia="宋体"/>
                <w:sz w:val="28"/>
                <w:szCs w:val="28"/>
              </w:rPr>
            </w:pPr>
            <w:r>
              <w:rPr>
                <w:rFonts w:hint="eastAsia" w:ascii="宋体" w:hAnsi="宋体" w:eastAsia="宋体"/>
                <w:sz w:val="28"/>
                <w:szCs w:val="28"/>
              </w:rPr>
              <w:t>平安养老</w:t>
            </w:r>
          </w:p>
        </w:tc>
      </w:tr>
      <w:tr w14:paraId="039D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7B22E75E">
            <w:pPr>
              <w:spacing w:line="240" w:lineRule="auto"/>
              <w:jc w:val="center"/>
              <w:rPr>
                <w:rFonts w:ascii="宋体" w:hAnsi="宋体" w:eastAsia="宋体"/>
                <w:sz w:val="28"/>
                <w:szCs w:val="28"/>
              </w:rPr>
            </w:pPr>
            <w:r>
              <w:rPr>
                <w:rFonts w:hint="eastAsia" w:ascii="宋体" w:hAnsi="宋体" w:eastAsia="宋体"/>
                <w:sz w:val="28"/>
                <w:szCs w:val="28"/>
              </w:rPr>
              <w:t>时间</w:t>
            </w:r>
          </w:p>
        </w:tc>
        <w:tc>
          <w:tcPr>
            <w:tcW w:w="6667" w:type="dxa"/>
            <w:vAlign w:val="center"/>
          </w:tcPr>
          <w:p w14:paraId="0B11F8D2">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5年7月15日上午</w:t>
            </w:r>
          </w:p>
        </w:tc>
      </w:tr>
      <w:tr w14:paraId="7B10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77AC6577">
            <w:pPr>
              <w:spacing w:line="240" w:lineRule="auto"/>
              <w:jc w:val="center"/>
              <w:rPr>
                <w:rFonts w:ascii="宋体" w:hAnsi="宋体" w:eastAsia="宋体"/>
                <w:sz w:val="28"/>
                <w:szCs w:val="28"/>
              </w:rPr>
            </w:pPr>
            <w:r>
              <w:rPr>
                <w:rFonts w:hint="eastAsia" w:ascii="宋体" w:hAnsi="宋体" w:eastAsia="宋体"/>
                <w:sz w:val="28"/>
                <w:szCs w:val="28"/>
              </w:rPr>
              <w:t>地点及形式</w:t>
            </w:r>
          </w:p>
        </w:tc>
        <w:tc>
          <w:tcPr>
            <w:tcW w:w="6667" w:type="dxa"/>
            <w:vAlign w:val="center"/>
          </w:tcPr>
          <w:p w14:paraId="6FCB7A0F">
            <w:pPr>
              <w:spacing w:line="240" w:lineRule="auto"/>
              <w:rPr>
                <w:rFonts w:ascii="宋体" w:hAnsi="宋体" w:eastAsia="宋体"/>
                <w:sz w:val="28"/>
                <w:szCs w:val="28"/>
              </w:rPr>
            </w:pPr>
            <w:r>
              <w:rPr>
                <w:rFonts w:hint="eastAsia" w:ascii="宋体" w:hAnsi="宋体" w:eastAsia="宋体"/>
                <w:sz w:val="28"/>
                <w:szCs w:val="28"/>
              </w:rPr>
              <w:t>腾讯会议线上交流</w:t>
            </w:r>
          </w:p>
        </w:tc>
      </w:tr>
      <w:tr w14:paraId="3BF0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122" w:type="dxa"/>
            <w:vAlign w:val="center"/>
          </w:tcPr>
          <w:p w14:paraId="757D549D">
            <w:pPr>
              <w:spacing w:line="400" w:lineRule="exact"/>
              <w:jc w:val="center"/>
              <w:rPr>
                <w:rFonts w:ascii="宋体" w:hAnsi="宋体" w:eastAsia="宋体"/>
                <w:sz w:val="28"/>
                <w:szCs w:val="28"/>
              </w:rPr>
            </w:pPr>
            <w:r>
              <w:rPr>
                <w:rFonts w:hint="eastAsia" w:ascii="宋体" w:hAnsi="宋体" w:eastAsia="宋体"/>
                <w:sz w:val="28"/>
                <w:szCs w:val="28"/>
              </w:rPr>
              <w:t>公司接待人员</w:t>
            </w:r>
          </w:p>
        </w:tc>
        <w:tc>
          <w:tcPr>
            <w:tcW w:w="6667" w:type="dxa"/>
            <w:vAlign w:val="center"/>
          </w:tcPr>
          <w:p w14:paraId="0F5A254C">
            <w:pPr>
              <w:spacing w:line="540" w:lineRule="exact"/>
              <w:rPr>
                <w:rFonts w:ascii="宋体" w:hAnsi="宋体" w:eastAsia="宋体"/>
                <w:sz w:val="28"/>
                <w:szCs w:val="28"/>
              </w:rPr>
            </w:pPr>
            <w:r>
              <w:rPr>
                <w:rFonts w:hint="eastAsia" w:ascii="宋体" w:hAnsi="宋体" w:eastAsia="宋体"/>
                <w:sz w:val="28"/>
                <w:szCs w:val="28"/>
              </w:rPr>
              <w:t>公司董事、董事会秘</w:t>
            </w:r>
            <w:r>
              <w:rPr>
                <w:rFonts w:hint="eastAsia" w:ascii="宋体" w:hAnsi="宋体" w:eastAsia="宋体" w:cs="微软雅黑"/>
                <w:sz w:val="28"/>
                <w:szCs w:val="28"/>
              </w:rPr>
              <w:t>书</w:t>
            </w:r>
            <w:r>
              <w:rPr>
                <w:rFonts w:hint="eastAsia" w:ascii="宋体" w:hAnsi="宋体" w:eastAsia="宋体" w:cs="MS Gothic"/>
                <w:sz w:val="28"/>
                <w:szCs w:val="28"/>
              </w:rPr>
              <w:t>、首席合</w:t>
            </w:r>
            <w:r>
              <w:rPr>
                <w:rFonts w:hint="eastAsia" w:ascii="宋体" w:hAnsi="宋体" w:eastAsia="宋体" w:cs="微软雅黑"/>
                <w:sz w:val="28"/>
                <w:szCs w:val="28"/>
              </w:rPr>
              <w:t>规</w:t>
            </w:r>
            <w:r>
              <w:rPr>
                <w:rFonts w:hint="eastAsia" w:ascii="宋体" w:hAnsi="宋体" w:eastAsia="宋体" w:cs="MS Gothic"/>
                <w:sz w:val="28"/>
                <w:szCs w:val="28"/>
              </w:rPr>
              <w:t>官吴永</w:t>
            </w:r>
            <w:r>
              <w:rPr>
                <w:rFonts w:hint="eastAsia" w:ascii="宋体" w:hAnsi="宋体" w:eastAsia="宋体" w:cs="微软雅黑"/>
                <w:sz w:val="28"/>
                <w:szCs w:val="28"/>
              </w:rPr>
              <w:t>钢先生</w:t>
            </w:r>
            <w:r>
              <w:rPr>
                <w:rFonts w:hint="eastAsia" w:ascii="宋体" w:hAnsi="宋体" w:eastAsia="宋体"/>
                <w:sz w:val="28"/>
                <w:szCs w:val="28"/>
              </w:rPr>
              <w:t>，证券部等相关部</w:t>
            </w:r>
            <w:r>
              <w:rPr>
                <w:rFonts w:hint="eastAsia" w:ascii="宋体" w:hAnsi="宋体" w:eastAsia="宋体" w:cs="微软雅黑"/>
                <w:sz w:val="28"/>
                <w:szCs w:val="28"/>
              </w:rPr>
              <w:t>门</w:t>
            </w:r>
            <w:r>
              <w:rPr>
                <w:rFonts w:hint="eastAsia" w:ascii="宋体" w:hAnsi="宋体" w:eastAsia="宋体"/>
                <w:sz w:val="28"/>
                <w:szCs w:val="28"/>
              </w:rPr>
              <w:t>人</w:t>
            </w:r>
            <w:r>
              <w:rPr>
                <w:rFonts w:hint="eastAsia" w:ascii="宋体" w:hAnsi="宋体" w:eastAsia="宋体" w:cs="微软雅黑"/>
                <w:sz w:val="28"/>
                <w:szCs w:val="28"/>
              </w:rPr>
              <w:t>员</w:t>
            </w:r>
            <w:r>
              <w:rPr>
                <w:rFonts w:hint="eastAsia" w:ascii="宋体" w:hAnsi="宋体" w:eastAsia="宋体"/>
                <w:sz w:val="28"/>
                <w:szCs w:val="28"/>
              </w:rPr>
              <w:t>。</w:t>
            </w:r>
          </w:p>
        </w:tc>
      </w:tr>
      <w:tr w14:paraId="7564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217C97D0">
            <w:pPr>
              <w:spacing w:line="400" w:lineRule="exact"/>
              <w:jc w:val="center"/>
              <w:rPr>
                <w:rFonts w:ascii="宋体" w:hAnsi="宋体" w:eastAsia="宋体"/>
                <w:sz w:val="28"/>
                <w:szCs w:val="28"/>
              </w:rPr>
            </w:pPr>
            <w:r>
              <w:rPr>
                <w:rFonts w:hint="eastAsia" w:ascii="宋体" w:hAnsi="宋体" w:eastAsia="宋体"/>
                <w:sz w:val="28"/>
                <w:szCs w:val="28"/>
              </w:rPr>
              <w:t>投资者关系活动主要内容</w:t>
            </w:r>
          </w:p>
        </w:tc>
        <w:tc>
          <w:tcPr>
            <w:tcW w:w="6667" w:type="dxa"/>
          </w:tcPr>
          <w:p w14:paraId="16D64EBA">
            <w:pPr>
              <w:spacing w:line="500" w:lineRule="exact"/>
              <w:ind w:firstLine="562" w:firstLineChars="200"/>
              <w:rPr>
                <w:rFonts w:ascii="宋体" w:hAnsi="宋体" w:eastAsia="宋体"/>
                <w:b/>
                <w:sz w:val="28"/>
                <w:szCs w:val="28"/>
              </w:rPr>
            </w:pPr>
            <w:r>
              <w:rPr>
                <w:rFonts w:hint="eastAsia" w:ascii="宋体" w:hAnsi="宋体" w:eastAsia="宋体"/>
                <w:b/>
                <w:sz w:val="28"/>
                <w:szCs w:val="28"/>
              </w:rPr>
              <w:t>问：如何看国内稀土行业整合前景？</w:t>
            </w:r>
          </w:p>
          <w:p w14:paraId="2AC8C1DA">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总体来看，国内稀土行业在政策驱动下加速整合。目前国内的稀土行业形成“一南一北”“南重北轻”的格局，中国稀土集团整合南方相关企业，形成与公司“一南一北”的格局。公司以轻稀土为主，中国稀土以中重稀土为主。整合后南北稀土的企业规模更大、技术实力更强、市场影响力更大，在国际市场上能够更好地应对国际竞争，增强我国稀土产业的国际话语权。去年，《稀土管理条例》的颁布对稀土行业产生重大影响。2025年2月，工业与信息化部发布了《稀土开采和稀土冶炼分离总量调控管理办法（暂行）（公开征求意见稿）》及《稀土产品信息追溯管理办法（暂行）（公开征求意见稿）》，配套规则主要有两大变化：一是条例实施后，将进口矿和国内矿同时纳入总量控制指标中进行管控；二是工业和信息化部会同有关部门确定稀土开采企业和稀土冶炼分离企业，并向社会公布。稀土开采企业和稀土冶炼分离企业应当是国家推动组建的大型稀土企业集团及所属稀土开采企业和稀土冶炼分离企业。除上述企业外，其他组织和个人不得获得稀土指标。未获得稀土指标的组织和个人不得开展稀土开采和冶炼分离生产活动。在这样的新形势下，对稀土行业的整合会带来新的变化。</w:t>
            </w:r>
          </w:p>
          <w:p w14:paraId="78C90ED7">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问：公司与包钢股份稀土精矿交易定价机制如何？</w:t>
            </w:r>
          </w:p>
          <w:p w14:paraId="0F3F6977">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公司与包钢股份稀土精矿交易定价机制按照公司2023年第一次临时股东大会通过的《关于稀土精矿日常关联交易定价机制暨2022年度执行及2023年度预计的议案》执行，即自2023年4月1日起，在稀土精矿定价公式不变的情况下，每季度首月上旬，公司根据定价公式计算、调整稀土精矿价格，重新签订稀土精矿供应合同或补充协议并公告。目前，该定价机制运行稳定。</w:t>
            </w:r>
          </w:p>
          <w:p w14:paraId="5A11E13E">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问：公司对未来稀土行业下游需求有何预期？</w:t>
            </w:r>
          </w:p>
          <w:p w14:paraId="451FB129">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为实现2030碳达峰、2060碳中和，构建以新能源为主体的新型电力系统，在节能减排的新需求下，以永磁同步为代表的技术在一定领域将带动稀土行业需求成为主流。据了解，目前稀土下游磁材行业的需求量最大，增速最快，对稀土产品的需求量也最多。近几年绿色低碳、“万物电驱”的背景使得磁材需求量增幅在10%左右，预计2025年将保持这一趋势。风电、新能源汽车以及人形机器人、低空经济等新兴领域迅速发展，为下游需求增长提供有力支撑。另外，手机盖板、半导体、芯片将带来下游抛光粉产业的发展，贮氢在储能发展的背景下会有新的增量，永磁电机在“两重两新”政策推动下也会有明显增长。因此，公司对未来稀土行业下游需求增长持乐观态度。</w:t>
            </w:r>
          </w:p>
          <w:p w14:paraId="7EF19B03">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问：公司建设的稀土绿色冶炼升级改造项目会形成哪些方面优势？</w:t>
            </w:r>
          </w:p>
          <w:p w14:paraId="273A1773">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公司投资建设的新一代稀土绿色采选冶稀土绿色冶炼升级改造项目，是公司致力于打造世界一流稀土领军企业，在“十四五”期间布局的重点战略项目，更是公司挺膺担当“两个稀土基地”主力军职责的生动写照。项目通过采用行业最领先的工艺、技术及装备，酸碱单耗降低20%以上、新水使用量降低30%、节能15%左右。项目通过打造稀土冶炼整套自动化生产线，采用多种智能化设备系统，提升绿色稀土冶炼装备智能化水平，实现优质、高效、低耗、灵活的智能生产。</w:t>
            </w:r>
          </w:p>
          <w:p w14:paraId="1958CF13">
            <w:pPr>
              <w:spacing w:line="500" w:lineRule="exact"/>
              <w:ind w:firstLine="560" w:firstLineChars="200"/>
              <w:rPr>
                <w:rFonts w:hint="eastAsia" w:ascii="宋体" w:hAnsi="宋体" w:eastAsia="宋体"/>
                <w:bCs/>
                <w:sz w:val="28"/>
                <w:szCs w:val="28"/>
              </w:rPr>
            </w:pPr>
            <w:r>
              <w:rPr>
                <w:rFonts w:hint="eastAsia" w:ascii="宋体" w:hAnsi="宋体" w:eastAsia="宋体"/>
                <w:bCs/>
                <w:sz w:val="28"/>
                <w:szCs w:val="28"/>
              </w:rPr>
              <w:t>项目通过应用行业领先的新工艺、新技术、新装备，建设绿色化、智能化、集约化、高端化稀土原料产业基地</w:t>
            </w:r>
            <w:bookmarkStart w:id="0" w:name="_GoBack"/>
            <w:r>
              <w:rPr>
                <w:rFonts w:hint="eastAsia" w:ascii="宋体" w:hAnsi="宋体" w:eastAsia="宋体"/>
                <w:bCs/>
                <w:sz w:val="28"/>
                <w:szCs w:val="28"/>
              </w:rPr>
              <w:t>。</w:t>
            </w:r>
            <w:bookmarkEnd w:id="0"/>
            <w:r>
              <w:rPr>
                <w:rFonts w:hint="eastAsia" w:ascii="宋体" w:hAnsi="宋体" w:eastAsia="宋体"/>
                <w:bCs/>
                <w:sz w:val="28"/>
                <w:szCs w:val="28"/>
              </w:rPr>
              <w:t>不断提高白云鄂博资源综合利用水平，积极打造更高质量、更有效率、更优布局、更加低碳、更为安全的产业发展格局，有效实现产业链、供应链安全可持续发展，进一步提升我国稀土产业竞争优势，不断增强我国稀土产业参与国际竞争的话语权。</w:t>
            </w:r>
          </w:p>
          <w:p w14:paraId="1C6839FA">
            <w:pPr>
              <w:spacing w:line="500" w:lineRule="exact"/>
              <w:ind w:firstLine="560" w:firstLineChars="200"/>
              <w:rPr>
                <w:rFonts w:hint="eastAsia" w:ascii="宋体" w:hAnsi="宋体" w:eastAsia="宋体"/>
                <w:bCs/>
                <w:sz w:val="28"/>
                <w:szCs w:val="28"/>
                <w:lang w:val="en-US" w:eastAsia="zh-CN"/>
              </w:rPr>
            </w:pPr>
            <w:r>
              <w:rPr>
                <w:rFonts w:hint="eastAsia" w:ascii="宋体" w:hAnsi="宋体" w:eastAsia="宋体"/>
                <w:bCs/>
                <w:sz w:val="28"/>
                <w:szCs w:val="28"/>
              </w:rPr>
              <w:t>项目建设具有较好的经济效益，可有效提高稀土资源集约高效、低碳环保利用水平，对稀土产业及下游应用领域可持续高质量发展具有重要的促进作用，对地区经济社会发展做出积极贡献，具有较好的社会效益</w:t>
            </w:r>
            <w:r>
              <w:rPr>
                <w:rFonts w:hint="eastAsia" w:ascii="宋体" w:hAnsi="宋体" w:eastAsia="宋体"/>
                <w:bCs/>
                <w:sz w:val="28"/>
                <w:szCs w:val="28"/>
                <w:lang w:eastAsia="zh-CN"/>
              </w:rPr>
              <w:t>。</w:t>
            </w:r>
          </w:p>
        </w:tc>
      </w:tr>
      <w:tr w14:paraId="0B2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22" w:type="dxa"/>
            <w:vAlign w:val="center"/>
          </w:tcPr>
          <w:p w14:paraId="74D5C6D5">
            <w:pPr>
              <w:spacing w:line="400" w:lineRule="exact"/>
              <w:jc w:val="center"/>
              <w:rPr>
                <w:rFonts w:ascii="宋体" w:hAnsi="宋体" w:eastAsia="宋体"/>
                <w:sz w:val="28"/>
                <w:szCs w:val="28"/>
              </w:rPr>
            </w:pPr>
            <w:r>
              <w:rPr>
                <w:rFonts w:hint="eastAsia" w:ascii="宋体" w:hAnsi="宋体" w:eastAsia="宋体"/>
                <w:sz w:val="28"/>
                <w:szCs w:val="28"/>
              </w:rPr>
              <w:t>附件清单</w:t>
            </w:r>
          </w:p>
        </w:tc>
        <w:tc>
          <w:tcPr>
            <w:tcW w:w="6667" w:type="dxa"/>
            <w:vAlign w:val="center"/>
          </w:tcPr>
          <w:p w14:paraId="296C476F">
            <w:pPr>
              <w:spacing w:line="400" w:lineRule="exact"/>
              <w:rPr>
                <w:rFonts w:ascii="宋体" w:hAnsi="宋体" w:eastAsia="宋体"/>
                <w:sz w:val="28"/>
                <w:szCs w:val="28"/>
              </w:rPr>
            </w:pPr>
            <w:r>
              <w:rPr>
                <w:rFonts w:hint="eastAsia" w:ascii="宋体" w:hAnsi="宋体" w:eastAsia="宋体"/>
                <w:sz w:val="28"/>
                <w:szCs w:val="28"/>
              </w:rPr>
              <w:t>无</w:t>
            </w:r>
          </w:p>
        </w:tc>
      </w:tr>
      <w:tr w14:paraId="4EEE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2"/>
            <w:vAlign w:val="center"/>
          </w:tcPr>
          <w:p w14:paraId="56309AAD">
            <w:pPr>
              <w:spacing w:line="500" w:lineRule="exact"/>
              <w:rPr>
                <w:rFonts w:ascii="宋体" w:hAnsi="宋体" w:eastAsia="宋体"/>
                <w:sz w:val="28"/>
                <w:szCs w:val="28"/>
              </w:rPr>
            </w:pPr>
            <w:r>
              <w:rPr>
                <w:rFonts w:hint="eastAsia" w:ascii="宋体" w:hAnsi="宋体" w:eastAsia="宋体"/>
                <w:sz w:val="28"/>
                <w:szCs w:val="28"/>
              </w:rPr>
              <w:t>注：公司严格遵守信息披露法律法规与投资者交流，如涉及公司战略规划等意向性目标，不视为公司或管理层对公司业绩的保证或承诺，敬请广大投资者注意投资风险。</w:t>
            </w:r>
          </w:p>
        </w:tc>
      </w:tr>
    </w:tbl>
    <w:p w14:paraId="7B5A85A1">
      <w:pPr>
        <w:spacing w:line="20" w:lineRule="exact"/>
        <w:rPr>
          <w:rFonts w:ascii="宋体" w:hAnsi="宋体" w:eastAsia="宋体"/>
          <w:sz w:val="24"/>
        </w:rPr>
      </w:pPr>
    </w:p>
    <w:sectPr>
      <w:headerReference r:id="rId5" w:type="default"/>
      <w:footerReference r:id="rId6" w:type="default"/>
      <w:pgSz w:w="11906" w:h="16838"/>
      <w:pgMar w:top="1440" w:right="1800" w:bottom="1440" w:left="1800" w:header="680"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574822"/>
    </w:sdtPr>
    <w:sdtEndPr>
      <w:rPr>
        <w:rFonts w:ascii="宋体" w:hAnsi="宋体" w:eastAsia="宋体"/>
        <w:sz w:val="28"/>
        <w:szCs w:val="28"/>
      </w:rPr>
    </w:sdtEndPr>
    <w:sdtContent>
      <w:p w14:paraId="4BCD8739">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4645D">
    <w:pPr>
      <w:rPr>
        <w:rFonts w:ascii="宋体" w:hAnsi="宋体" w:eastAsia="宋体"/>
        <w:sz w:val="21"/>
        <w:szCs w:val="21"/>
        <w:u w:val="single"/>
      </w:rPr>
    </w:pPr>
    <w:r>
      <w:rPr>
        <w:rFonts w:hint="eastAsia" w:ascii="宋体" w:hAnsi="宋体" w:eastAsia="宋体"/>
        <w:sz w:val="21"/>
        <w:szCs w:val="21"/>
        <w:u w:val="single"/>
      </w:rPr>
      <w:t>证券代码：6</w:t>
    </w:r>
    <w:r>
      <w:rPr>
        <w:rFonts w:ascii="宋体" w:hAnsi="宋体" w:eastAsia="宋体"/>
        <w:sz w:val="21"/>
        <w:szCs w:val="21"/>
        <w:u w:val="single"/>
      </w:rPr>
      <w:t xml:space="preserve">00111                                             </w:t>
    </w:r>
    <w:r>
      <w:rPr>
        <w:rFonts w:hint="eastAsia" w:ascii="宋体" w:hAnsi="宋体" w:eastAsia="宋体"/>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1267"/>
    <w:rsid w:val="00022896"/>
    <w:rsid w:val="00022AA2"/>
    <w:rsid w:val="00023713"/>
    <w:rsid w:val="00025480"/>
    <w:rsid w:val="0002583C"/>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71B8F"/>
    <w:rsid w:val="00071E74"/>
    <w:rsid w:val="00074CD4"/>
    <w:rsid w:val="000758DB"/>
    <w:rsid w:val="00076053"/>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D0ED9"/>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0644"/>
    <w:rsid w:val="00182443"/>
    <w:rsid w:val="001825B5"/>
    <w:rsid w:val="001825F5"/>
    <w:rsid w:val="00183363"/>
    <w:rsid w:val="00183849"/>
    <w:rsid w:val="001840C5"/>
    <w:rsid w:val="00185687"/>
    <w:rsid w:val="001863DF"/>
    <w:rsid w:val="00186C01"/>
    <w:rsid w:val="00187C3E"/>
    <w:rsid w:val="001906AE"/>
    <w:rsid w:val="001908FC"/>
    <w:rsid w:val="00195F8E"/>
    <w:rsid w:val="00196E27"/>
    <w:rsid w:val="001971CC"/>
    <w:rsid w:val="001A0AC0"/>
    <w:rsid w:val="001A2CB6"/>
    <w:rsid w:val="001B0864"/>
    <w:rsid w:val="001B12EC"/>
    <w:rsid w:val="001B290A"/>
    <w:rsid w:val="001B2EE2"/>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0791"/>
    <w:rsid w:val="002419B9"/>
    <w:rsid w:val="00243658"/>
    <w:rsid w:val="00244F53"/>
    <w:rsid w:val="0024795D"/>
    <w:rsid w:val="00247E4A"/>
    <w:rsid w:val="002518D0"/>
    <w:rsid w:val="002521F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C9B"/>
    <w:rsid w:val="00333A97"/>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08AA"/>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16B"/>
    <w:rsid w:val="003A22B8"/>
    <w:rsid w:val="003A3212"/>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4129D"/>
    <w:rsid w:val="005412F7"/>
    <w:rsid w:val="0054154E"/>
    <w:rsid w:val="00541CCC"/>
    <w:rsid w:val="005421FD"/>
    <w:rsid w:val="00543EB9"/>
    <w:rsid w:val="00544659"/>
    <w:rsid w:val="00547A54"/>
    <w:rsid w:val="00550058"/>
    <w:rsid w:val="005502D8"/>
    <w:rsid w:val="00550A0A"/>
    <w:rsid w:val="005512B7"/>
    <w:rsid w:val="0055663A"/>
    <w:rsid w:val="005566C2"/>
    <w:rsid w:val="00562998"/>
    <w:rsid w:val="00563A90"/>
    <w:rsid w:val="0056549E"/>
    <w:rsid w:val="00567AC3"/>
    <w:rsid w:val="0057025B"/>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416E"/>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344"/>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94C"/>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248B"/>
    <w:rsid w:val="00742F18"/>
    <w:rsid w:val="0074644E"/>
    <w:rsid w:val="00746D7A"/>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0946"/>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0FF9"/>
    <w:rsid w:val="009117F5"/>
    <w:rsid w:val="009137FC"/>
    <w:rsid w:val="0091442D"/>
    <w:rsid w:val="0091500A"/>
    <w:rsid w:val="0091641C"/>
    <w:rsid w:val="00916653"/>
    <w:rsid w:val="00920C63"/>
    <w:rsid w:val="0092287B"/>
    <w:rsid w:val="00925124"/>
    <w:rsid w:val="00925DDA"/>
    <w:rsid w:val="00925E4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67EF6"/>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05D1F"/>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2295"/>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11C"/>
    <w:rsid w:val="00AB72D6"/>
    <w:rsid w:val="00AC1619"/>
    <w:rsid w:val="00AC169F"/>
    <w:rsid w:val="00AC1C04"/>
    <w:rsid w:val="00AC34BF"/>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C1B"/>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11CE"/>
    <w:rsid w:val="00D73C69"/>
    <w:rsid w:val="00D73CC1"/>
    <w:rsid w:val="00D743EB"/>
    <w:rsid w:val="00D751EA"/>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1711"/>
    <w:rsid w:val="00DB29CE"/>
    <w:rsid w:val="00DB6752"/>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9537B"/>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04A82"/>
    <w:rsid w:val="00F10C09"/>
    <w:rsid w:val="00F10E4D"/>
    <w:rsid w:val="00F12B67"/>
    <w:rsid w:val="00F1357B"/>
    <w:rsid w:val="00F1437A"/>
    <w:rsid w:val="00F164D0"/>
    <w:rsid w:val="00F17541"/>
    <w:rsid w:val="00F203B6"/>
    <w:rsid w:val="00F215D6"/>
    <w:rsid w:val="00F2205F"/>
    <w:rsid w:val="00F23A9F"/>
    <w:rsid w:val="00F23F57"/>
    <w:rsid w:val="00F25D68"/>
    <w:rsid w:val="00F277E8"/>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11A"/>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4103C95"/>
    <w:rsid w:val="2E1E279D"/>
    <w:rsid w:val="2E3954D1"/>
    <w:rsid w:val="42244D6C"/>
    <w:rsid w:val="46635CB4"/>
    <w:rsid w:val="49AB6BF2"/>
    <w:rsid w:val="56054F7B"/>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eastAsia="仿宋_GB2312" w:cs="Times New Roman"/>
      <w:sz w:val="18"/>
      <w:szCs w:val="18"/>
    </w:rPr>
  </w:style>
  <w:style w:type="character" w:customStyle="1" w:styleId="13">
    <w:name w:val="页脚 Char"/>
    <w:basedOn w:val="9"/>
    <w:link w:val="4"/>
    <w:qFormat/>
    <w:uiPriority w:val="99"/>
    <w:rPr>
      <w:rFonts w:ascii="Times New Roman" w:hAnsi="Times New Roman" w:eastAsia="仿宋_GB2312" w:cs="Times New Roman"/>
      <w:sz w:val="18"/>
      <w:szCs w:val="18"/>
    </w:rPr>
  </w:style>
  <w:style w:type="character" w:customStyle="1" w:styleId="14">
    <w:name w:val="批注框文本 Char"/>
    <w:basedOn w:val="9"/>
    <w:link w:val="3"/>
    <w:semiHidden/>
    <w:qFormat/>
    <w:uiPriority w:val="99"/>
    <w:rPr>
      <w:rFonts w:ascii="Times New Roman" w:hAnsi="Times New Roman" w:eastAsia="仿宋_GB2312" w:cs="Times New Roman"/>
      <w:sz w:val="18"/>
      <w:szCs w:val="18"/>
    </w:rPr>
  </w:style>
  <w:style w:type="character" w:customStyle="1" w:styleId="15">
    <w:name w:val="dt-editor__word"/>
    <w:basedOn w:val="9"/>
    <w:qFormat/>
    <w:uiPriority w:val="0"/>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7">
    <w:name w:val="批注文字 Char"/>
    <w:basedOn w:val="9"/>
    <w:link w:val="2"/>
    <w:semiHidden/>
    <w:qFormat/>
    <w:uiPriority w:val="99"/>
    <w:rPr>
      <w:rFonts w:ascii="Times New Roman" w:hAnsi="Times New Roman" w:eastAsia="仿宋_GB2312" w:cs="Times New Roman"/>
      <w:kern w:val="2"/>
      <w:sz w:val="32"/>
      <w:szCs w:val="24"/>
    </w:rPr>
  </w:style>
  <w:style w:type="character" w:customStyle="1" w:styleId="18">
    <w:name w:val="批注主题 Char"/>
    <w:basedOn w:val="17"/>
    <w:link w:val="6"/>
    <w:semiHidden/>
    <w:qFormat/>
    <w:uiPriority w:val="99"/>
    <w:rPr>
      <w:rFonts w:ascii="Times New Roman" w:hAnsi="Times New Roman" w:eastAsia="仿宋_GB2312" w:cs="Times New Roman"/>
      <w:b/>
      <w:bCs/>
      <w:kern w:val="2"/>
      <w:sz w:val="32"/>
      <w:szCs w:val="24"/>
    </w:rPr>
  </w:style>
  <w:style w:type="paragraph" w:styleId="19">
    <w:name w:val="List Paragraph"/>
    <w:basedOn w:val="1"/>
    <w:link w:val="20"/>
    <w:qFormat/>
    <w:uiPriority w:val="34"/>
    <w:pPr>
      <w:spacing w:line="240" w:lineRule="auto"/>
      <w:ind w:firstLine="420" w:firstLineChars="200"/>
    </w:pPr>
    <w:rPr>
      <w:rFonts w:eastAsia="宋体"/>
      <w:sz w:val="21"/>
      <w:szCs w:val="21"/>
    </w:rPr>
  </w:style>
  <w:style w:type="character" w:customStyle="1" w:styleId="20">
    <w:name w:val="列出段落 Char"/>
    <w:link w:val="19"/>
    <w:qFormat/>
    <w:locked/>
    <w:uiPriority w:val="34"/>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1750</Words>
  <Characters>1793</Characters>
  <Lines>1</Lines>
  <Paragraphs>3</Paragraphs>
  <TotalTime>202</TotalTime>
  <ScaleCrop>false</ScaleCrop>
  <LinksUpToDate>false</LinksUpToDate>
  <CharactersWithSpaces>1815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2025-06-30T00:15:00Z</dcterms:created>
  <dc:creator>郭 剑</dc:creator>
  <cp:lastModifiedBy>Rebe</cp:lastModifiedBy>
  <cp:lastPrinted>2025-04-30T08:03:00Z</cp:lastPrinted>
  <dcterms:modified xsi:type="dcterms:W3CDTF">2025-07-31T10:09:45Z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