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499C">
      <w:pPr>
        <w:rPr>
          <w:rFonts w:ascii="黑体" w:hAnsi="黑体" w:eastAsia="黑体"/>
          <w:color w:val="FF0000"/>
          <w:sz w:val="44"/>
          <w:szCs w:val="44"/>
        </w:rPr>
      </w:pPr>
      <w:r>
        <w:rPr>
          <w:rFonts w:hint="eastAsia" w:ascii="黑体" w:hAnsi="黑体" w:eastAsia="黑体"/>
          <w:color w:val="FF0000"/>
          <w:sz w:val="44"/>
          <w:szCs w:val="44"/>
        </w:rPr>
        <w:t>中国北方稀土（集团）高科技股份有限公司</w:t>
      </w:r>
    </w:p>
    <w:p w14:paraId="46DC6907">
      <w:pPr>
        <w:jc w:val="center"/>
        <w:rPr>
          <w:rFonts w:ascii="黑体" w:hAnsi="黑体" w:eastAsia="黑体"/>
          <w:color w:val="FF0000"/>
          <w:sz w:val="44"/>
          <w:szCs w:val="44"/>
        </w:rPr>
      </w:pPr>
      <w:r>
        <w:rPr>
          <w:rFonts w:hint="eastAsia" w:ascii="黑体" w:hAnsi="黑体" w:eastAsia="黑体"/>
          <w:color w:val="FF0000"/>
          <w:sz w:val="44"/>
          <w:szCs w:val="44"/>
        </w:rPr>
        <w:t>投资者关系活动记录表</w:t>
      </w:r>
    </w:p>
    <w:p w14:paraId="7E6152B0">
      <w:pPr>
        <w:jc w:val="right"/>
        <w:rPr>
          <w:rFonts w:ascii="宋体" w:hAnsi="宋体" w:eastAsia="宋体"/>
          <w:sz w:val="28"/>
          <w:szCs w:val="28"/>
        </w:rPr>
      </w:pPr>
      <w:r>
        <w:rPr>
          <w:rFonts w:hint="eastAsia" w:ascii="宋体" w:hAnsi="宋体" w:eastAsia="宋体"/>
          <w:sz w:val="28"/>
          <w:szCs w:val="28"/>
        </w:rPr>
        <w:t>编号：2</w:t>
      </w:r>
      <w:r>
        <w:rPr>
          <w:rFonts w:ascii="宋体" w:hAnsi="宋体" w:eastAsia="宋体"/>
          <w:sz w:val="28"/>
          <w:szCs w:val="28"/>
        </w:rPr>
        <w:t>025-015</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67"/>
      </w:tblGrid>
      <w:tr w14:paraId="011D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vAlign w:val="center"/>
          </w:tcPr>
          <w:p w14:paraId="7DDEABDD">
            <w:pPr>
              <w:spacing w:line="400" w:lineRule="exact"/>
              <w:jc w:val="center"/>
              <w:rPr>
                <w:rFonts w:ascii="宋体" w:hAnsi="宋体" w:eastAsia="宋体"/>
                <w:sz w:val="28"/>
                <w:szCs w:val="28"/>
              </w:rPr>
            </w:pPr>
            <w:r>
              <w:rPr>
                <w:rFonts w:hint="eastAsia" w:ascii="宋体" w:hAnsi="宋体" w:eastAsia="宋体"/>
                <w:sz w:val="28"/>
                <w:szCs w:val="28"/>
              </w:rPr>
              <w:t>投资者关系</w:t>
            </w:r>
          </w:p>
          <w:p w14:paraId="2AC2CA2B">
            <w:pPr>
              <w:spacing w:line="400" w:lineRule="exact"/>
              <w:jc w:val="center"/>
              <w:rPr>
                <w:rFonts w:ascii="宋体" w:hAnsi="宋体" w:eastAsia="宋体"/>
                <w:sz w:val="28"/>
                <w:szCs w:val="28"/>
              </w:rPr>
            </w:pPr>
            <w:r>
              <w:rPr>
                <w:rFonts w:hint="eastAsia" w:ascii="宋体" w:hAnsi="宋体" w:eastAsia="宋体"/>
                <w:sz w:val="28"/>
                <w:szCs w:val="28"/>
              </w:rPr>
              <w:t>活动类别</w:t>
            </w:r>
          </w:p>
        </w:tc>
        <w:tc>
          <w:tcPr>
            <w:tcW w:w="6667" w:type="dxa"/>
          </w:tcPr>
          <w:p w14:paraId="559CEA26">
            <w:pPr>
              <w:spacing w:line="540" w:lineRule="exact"/>
              <w:rPr>
                <w:rFonts w:ascii="宋体" w:hAnsi="宋体" w:eastAsia="宋体"/>
                <w:sz w:val="28"/>
                <w:szCs w:val="28"/>
              </w:rPr>
            </w:pPr>
            <w:r>
              <w:rPr>
                <w:rFonts w:hint="eastAsia" w:ascii="宋体" w:hAnsi="宋体" w:eastAsia="宋体"/>
                <w:sz w:val="28"/>
                <w:szCs w:val="28"/>
              </w:rPr>
              <w:sym w:font="Wingdings 2" w:char="0052"/>
            </w:r>
            <w:r>
              <w:rPr>
                <w:rFonts w:hint="eastAsia" w:ascii="宋体" w:hAnsi="宋体" w:eastAsia="宋体"/>
                <w:sz w:val="28"/>
                <w:szCs w:val="28"/>
              </w:rPr>
              <w:t xml:space="preserve">特定对象调研 </w:t>
            </w:r>
            <w:r>
              <w:rPr>
                <w:rFonts w:ascii="宋体" w:hAnsi="宋体" w:eastAsia="宋体"/>
                <w:sz w:val="28"/>
                <w:szCs w:val="28"/>
              </w:rPr>
              <w:t xml:space="preserve">  </w:t>
            </w:r>
            <w:r>
              <w:rPr>
                <w:rFonts w:hint="eastAsia" w:ascii="宋体" w:hAnsi="宋体" w:eastAsia="宋体"/>
                <w:sz w:val="28"/>
                <w:szCs w:val="28"/>
              </w:rPr>
              <w:t xml:space="preserve">□分析师会议 </w:t>
            </w:r>
            <w:r>
              <w:rPr>
                <w:rFonts w:ascii="宋体" w:hAnsi="宋体" w:eastAsia="宋体"/>
                <w:sz w:val="28"/>
                <w:szCs w:val="28"/>
              </w:rPr>
              <w:t xml:space="preserve">      </w:t>
            </w:r>
          </w:p>
          <w:p w14:paraId="2A90E299">
            <w:pPr>
              <w:spacing w:line="540" w:lineRule="exact"/>
              <w:rPr>
                <w:rFonts w:ascii="宋体" w:hAnsi="宋体" w:eastAsia="宋体"/>
                <w:sz w:val="28"/>
                <w:szCs w:val="28"/>
              </w:rPr>
            </w:pPr>
            <w:r>
              <w:rPr>
                <w:rFonts w:hint="eastAsia" w:ascii="宋体" w:hAnsi="宋体" w:eastAsia="宋体"/>
                <w:sz w:val="28"/>
                <w:szCs w:val="28"/>
              </w:rPr>
              <w:t xml:space="preserve">□媒体采访 </w:t>
            </w:r>
            <w:r>
              <w:rPr>
                <w:rFonts w:ascii="宋体" w:hAnsi="宋体" w:eastAsia="宋体"/>
                <w:sz w:val="28"/>
                <w:szCs w:val="28"/>
              </w:rPr>
              <w:t xml:space="preserve">      </w:t>
            </w:r>
            <w:r>
              <w:rPr>
                <w:rFonts w:hint="eastAsia" w:ascii="宋体" w:hAnsi="宋体" w:eastAsia="宋体"/>
                <w:sz w:val="28"/>
                <w:szCs w:val="28"/>
              </w:rPr>
              <w:t>□业绩说明会</w:t>
            </w:r>
          </w:p>
          <w:p w14:paraId="32D65413">
            <w:pPr>
              <w:spacing w:line="540" w:lineRule="exact"/>
              <w:rPr>
                <w:rFonts w:ascii="宋体" w:hAnsi="宋体" w:eastAsia="宋体"/>
                <w:sz w:val="28"/>
                <w:szCs w:val="28"/>
              </w:rPr>
            </w:pPr>
            <w:r>
              <w:rPr>
                <w:rFonts w:hint="eastAsia" w:ascii="宋体" w:hAnsi="宋体" w:eastAsia="宋体"/>
                <w:sz w:val="28"/>
                <w:szCs w:val="28"/>
              </w:rPr>
              <w:t xml:space="preserve">□新闻发布会 </w:t>
            </w:r>
            <w:r>
              <w:rPr>
                <w:rFonts w:ascii="宋体" w:hAnsi="宋体" w:eastAsia="宋体"/>
                <w:sz w:val="28"/>
                <w:szCs w:val="28"/>
              </w:rPr>
              <w:t xml:space="preserve">    </w:t>
            </w:r>
            <w:r>
              <w:rPr>
                <w:rFonts w:hint="eastAsia" w:ascii="宋体" w:hAnsi="宋体" w:eastAsia="宋体"/>
                <w:sz w:val="28"/>
                <w:szCs w:val="28"/>
              </w:rPr>
              <w:t>□路演活动</w:t>
            </w:r>
          </w:p>
          <w:p w14:paraId="55727887">
            <w:pPr>
              <w:spacing w:line="540" w:lineRule="exact"/>
              <w:rPr>
                <w:rFonts w:ascii="宋体" w:hAnsi="宋体" w:eastAsia="宋体"/>
                <w:sz w:val="28"/>
                <w:szCs w:val="28"/>
              </w:rPr>
            </w:pPr>
            <w:r>
              <w:rPr>
                <w:rFonts w:hint="eastAsia" w:ascii="宋体" w:hAnsi="宋体" w:eastAsia="宋体"/>
                <w:sz w:val="28"/>
                <w:szCs w:val="28"/>
              </w:rPr>
              <w:t>□现场参观</w:t>
            </w:r>
          </w:p>
          <w:p w14:paraId="7050F416">
            <w:pPr>
              <w:spacing w:line="540" w:lineRule="exact"/>
              <w:rPr>
                <w:rFonts w:ascii="宋体" w:hAnsi="宋体" w:eastAsia="宋体"/>
                <w:sz w:val="28"/>
                <w:szCs w:val="28"/>
              </w:rPr>
            </w:pPr>
            <w:r>
              <w:rPr>
                <w:rFonts w:hint="eastAsia" w:ascii="宋体" w:hAnsi="宋体" w:eastAsia="宋体"/>
                <w:sz w:val="28"/>
                <w:szCs w:val="28"/>
              </w:rPr>
              <w:t>□其他（请文字说明其他活动内容）</w:t>
            </w:r>
          </w:p>
        </w:tc>
      </w:tr>
      <w:tr w14:paraId="4AC3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2122" w:type="dxa"/>
            <w:vAlign w:val="center"/>
          </w:tcPr>
          <w:p w14:paraId="13C007DB">
            <w:pPr>
              <w:spacing w:line="400" w:lineRule="exact"/>
              <w:jc w:val="center"/>
              <w:rPr>
                <w:rFonts w:ascii="宋体" w:hAnsi="宋体" w:eastAsia="宋体"/>
                <w:sz w:val="28"/>
                <w:szCs w:val="28"/>
              </w:rPr>
            </w:pPr>
            <w:r>
              <w:rPr>
                <w:rFonts w:hint="eastAsia" w:ascii="宋体" w:hAnsi="宋体" w:eastAsia="宋体"/>
                <w:sz w:val="28"/>
                <w:szCs w:val="28"/>
              </w:rPr>
              <w:t>参会单位（排名不分先后）</w:t>
            </w:r>
          </w:p>
        </w:tc>
        <w:tc>
          <w:tcPr>
            <w:tcW w:w="6667" w:type="dxa"/>
            <w:vAlign w:val="center"/>
          </w:tcPr>
          <w:p w14:paraId="481BD306">
            <w:pPr>
              <w:spacing w:line="460" w:lineRule="exact"/>
              <w:rPr>
                <w:rFonts w:ascii="宋体" w:hAnsi="宋体" w:eastAsia="宋体"/>
                <w:sz w:val="28"/>
                <w:szCs w:val="28"/>
              </w:rPr>
            </w:pPr>
            <w:r>
              <w:rPr>
                <w:rFonts w:hint="eastAsia" w:ascii="宋体" w:hAnsi="宋体" w:eastAsia="宋体"/>
                <w:sz w:val="28"/>
                <w:szCs w:val="28"/>
              </w:rPr>
              <w:t>东方证券</w:t>
            </w:r>
          </w:p>
        </w:tc>
      </w:tr>
      <w:tr w14:paraId="2A50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335A3AB8">
            <w:pPr>
              <w:spacing w:line="240" w:lineRule="auto"/>
              <w:jc w:val="center"/>
              <w:rPr>
                <w:rFonts w:ascii="宋体" w:hAnsi="宋体" w:eastAsia="宋体"/>
                <w:sz w:val="28"/>
                <w:szCs w:val="28"/>
              </w:rPr>
            </w:pPr>
            <w:r>
              <w:rPr>
                <w:rFonts w:hint="eastAsia" w:ascii="宋体" w:hAnsi="宋体" w:eastAsia="宋体"/>
                <w:sz w:val="28"/>
                <w:szCs w:val="28"/>
              </w:rPr>
              <w:t>时间</w:t>
            </w:r>
          </w:p>
        </w:tc>
        <w:tc>
          <w:tcPr>
            <w:tcW w:w="6667" w:type="dxa"/>
            <w:vAlign w:val="center"/>
          </w:tcPr>
          <w:p w14:paraId="4AED876C">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5年7月15日下午</w:t>
            </w:r>
          </w:p>
        </w:tc>
      </w:tr>
      <w:tr w14:paraId="18B5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3EC48F72">
            <w:pPr>
              <w:spacing w:line="240" w:lineRule="auto"/>
              <w:jc w:val="center"/>
              <w:rPr>
                <w:rFonts w:ascii="宋体" w:hAnsi="宋体" w:eastAsia="宋体"/>
                <w:sz w:val="28"/>
                <w:szCs w:val="28"/>
              </w:rPr>
            </w:pPr>
            <w:r>
              <w:rPr>
                <w:rFonts w:hint="eastAsia" w:ascii="宋体" w:hAnsi="宋体" w:eastAsia="宋体"/>
                <w:sz w:val="28"/>
                <w:szCs w:val="28"/>
              </w:rPr>
              <w:t>地点及形式</w:t>
            </w:r>
          </w:p>
        </w:tc>
        <w:tc>
          <w:tcPr>
            <w:tcW w:w="6667" w:type="dxa"/>
            <w:vAlign w:val="center"/>
          </w:tcPr>
          <w:p w14:paraId="567E311D">
            <w:pPr>
              <w:spacing w:line="240" w:lineRule="auto"/>
              <w:rPr>
                <w:rFonts w:ascii="宋体" w:hAnsi="宋体" w:eastAsia="宋体"/>
                <w:sz w:val="28"/>
                <w:szCs w:val="28"/>
              </w:rPr>
            </w:pPr>
            <w:r>
              <w:rPr>
                <w:rFonts w:hint="eastAsia" w:ascii="宋体" w:hAnsi="宋体" w:eastAsia="宋体"/>
                <w:sz w:val="28"/>
                <w:szCs w:val="28"/>
              </w:rPr>
              <w:t>公司1006会议室现场座谈</w:t>
            </w:r>
          </w:p>
        </w:tc>
      </w:tr>
      <w:tr w14:paraId="0558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122" w:type="dxa"/>
            <w:vAlign w:val="center"/>
          </w:tcPr>
          <w:p w14:paraId="37AC9541">
            <w:pPr>
              <w:spacing w:line="400" w:lineRule="exact"/>
              <w:jc w:val="center"/>
              <w:rPr>
                <w:rFonts w:ascii="宋体" w:hAnsi="宋体" w:eastAsia="宋体"/>
                <w:sz w:val="28"/>
                <w:szCs w:val="28"/>
              </w:rPr>
            </w:pPr>
            <w:r>
              <w:rPr>
                <w:rFonts w:hint="eastAsia" w:ascii="宋体" w:hAnsi="宋体" w:eastAsia="宋体"/>
                <w:sz w:val="28"/>
                <w:szCs w:val="28"/>
              </w:rPr>
              <w:t>公司接待人员</w:t>
            </w:r>
          </w:p>
        </w:tc>
        <w:tc>
          <w:tcPr>
            <w:tcW w:w="6667" w:type="dxa"/>
            <w:vAlign w:val="center"/>
          </w:tcPr>
          <w:p w14:paraId="4E1858A8">
            <w:pPr>
              <w:spacing w:line="540" w:lineRule="exact"/>
              <w:rPr>
                <w:rFonts w:ascii="宋体" w:hAnsi="宋体" w:eastAsia="宋体"/>
                <w:sz w:val="28"/>
                <w:szCs w:val="28"/>
              </w:rPr>
            </w:pPr>
            <w:r>
              <w:rPr>
                <w:rFonts w:hint="eastAsia" w:ascii="宋体" w:hAnsi="宋体" w:eastAsia="宋体"/>
                <w:sz w:val="28"/>
                <w:szCs w:val="28"/>
              </w:rPr>
              <w:t>公司董事、董事会秘</w:t>
            </w:r>
            <w:r>
              <w:rPr>
                <w:rFonts w:hint="eastAsia" w:ascii="宋体" w:hAnsi="宋体" w:eastAsia="宋体" w:cs="微软雅黑"/>
                <w:sz w:val="28"/>
                <w:szCs w:val="28"/>
              </w:rPr>
              <w:t>书</w:t>
            </w:r>
            <w:r>
              <w:rPr>
                <w:rFonts w:hint="eastAsia" w:ascii="宋体" w:hAnsi="宋体" w:eastAsia="宋体" w:cs="MS Gothic"/>
                <w:sz w:val="28"/>
                <w:szCs w:val="28"/>
              </w:rPr>
              <w:t>、首席合</w:t>
            </w:r>
            <w:r>
              <w:rPr>
                <w:rFonts w:hint="eastAsia" w:ascii="宋体" w:hAnsi="宋体" w:eastAsia="宋体" w:cs="微软雅黑"/>
                <w:sz w:val="28"/>
                <w:szCs w:val="28"/>
              </w:rPr>
              <w:t>规</w:t>
            </w:r>
            <w:r>
              <w:rPr>
                <w:rFonts w:hint="eastAsia" w:ascii="宋体" w:hAnsi="宋体" w:eastAsia="宋体" w:cs="MS Gothic"/>
                <w:sz w:val="28"/>
                <w:szCs w:val="28"/>
              </w:rPr>
              <w:t>官吴永</w:t>
            </w:r>
            <w:r>
              <w:rPr>
                <w:rFonts w:hint="eastAsia" w:ascii="宋体" w:hAnsi="宋体" w:eastAsia="宋体" w:cs="微软雅黑"/>
                <w:sz w:val="28"/>
                <w:szCs w:val="28"/>
              </w:rPr>
              <w:t>钢先生</w:t>
            </w:r>
            <w:r>
              <w:rPr>
                <w:rFonts w:hint="eastAsia" w:ascii="宋体" w:hAnsi="宋体" w:eastAsia="宋体"/>
                <w:sz w:val="28"/>
                <w:szCs w:val="28"/>
              </w:rPr>
              <w:t>，证券部等相关部</w:t>
            </w:r>
            <w:r>
              <w:rPr>
                <w:rFonts w:hint="eastAsia" w:ascii="宋体" w:hAnsi="宋体" w:eastAsia="宋体" w:cs="微软雅黑"/>
                <w:sz w:val="28"/>
                <w:szCs w:val="28"/>
              </w:rPr>
              <w:t>门</w:t>
            </w:r>
            <w:r>
              <w:rPr>
                <w:rFonts w:hint="eastAsia" w:ascii="宋体" w:hAnsi="宋体" w:eastAsia="宋体"/>
                <w:sz w:val="28"/>
                <w:szCs w:val="28"/>
              </w:rPr>
              <w:t>人</w:t>
            </w:r>
            <w:r>
              <w:rPr>
                <w:rFonts w:hint="eastAsia" w:ascii="宋体" w:hAnsi="宋体" w:eastAsia="宋体" w:cs="微软雅黑"/>
                <w:sz w:val="28"/>
                <w:szCs w:val="28"/>
              </w:rPr>
              <w:t>员</w:t>
            </w:r>
            <w:r>
              <w:rPr>
                <w:rFonts w:hint="eastAsia" w:ascii="宋体" w:hAnsi="宋体" w:eastAsia="宋体"/>
                <w:sz w:val="28"/>
                <w:szCs w:val="28"/>
              </w:rPr>
              <w:t>。</w:t>
            </w:r>
          </w:p>
        </w:tc>
      </w:tr>
      <w:tr w14:paraId="7593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4EA29A3F">
            <w:pPr>
              <w:spacing w:line="400" w:lineRule="exact"/>
              <w:jc w:val="center"/>
              <w:rPr>
                <w:rFonts w:ascii="宋体" w:hAnsi="宋体" w:eastAsia="宋体"/>
                <w:sz w:val="28"/>
                <w:szCs w:val="28"/>
              </w:rPr>
            </w:pPr>
            <w:r>
              <w:rPr>
                <w:rFonts w:hint="eastAsia" w:ascii="宋体" w:hAnsi="宋体" w:eastAsia="宋体"/>
                <w:sz w:val="28"/>
                <w:szCs w:val="28"/>
              </w:rPr>
              <w:t>投资者关系活动主要内容</w:t>
            </w:r>
          </w:p>
        </w:tc>
        <w:tc>
          <w:tcPr>
            <w:tcW w:w="6667" w:type="dxa"/>
          </w:tcPr>
          <w:p w14:paraId="1E1FCFF4">
            <w:pPr>
              <w:spacing w:line="500" w:lineRule="exact"/>
              <w:ind w:firstLine="562" w:firstLineChars="200"/>
              <w:rPr>
                <w:rFonts w:ascii="宋体" w:hAnsi="宋体" w:eastAsia="宋体"/>
                <w:b/>
                <w:sz w:val="28"/>
                <w:szCs w:val="28"/>
              </w:rPr>
            </w:pPr>
            <w:r>
              <w:rPr>
                <w:rFonts w:hint="eastAsia" w:ascii="宋体" w:hAnsi="宋体" w:eastAsia="宋体"/>
                <w:b/>
                <w:sz w:val="28"/>
                <w:szCs w:val="28"/>
              </w:rPr>
              <w:t>问：公司二季度业绩增长的原因有哪些？</w:t>
            </w:r>
          </w:p>
          <w:p w14:paraId="0BD3D60A">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答：从公司产品结构来讲，稀土冶炼分离产品和镨钕金属按照年计划组织完成，下游磁材合金甩带片今年创新高，量和价都有明显增长，预计二季度产量 约1.8万吨，销量1.9万吨，这部分在公司的整体业务结构占比较高。其他部分如抛光粉、储氢、稀土助剂、永磁电机等基本都按公司既定的计划和预期。内部管理方面，公司优化营销方式，拓展市场，加大科技创新和降本增效力度。</w:t>
            </w:r>
          </w:p>
          <w:p w14:paraId="6E450623">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问：公司有无消化镧铈产品库存的举措？</w:t>
            </w:r>
          </w:p>
          <w:p w14:paraId="5F59F1A6">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公司从以下四方面着手解决镧铈产品库存消化问题：一是优化销售策略，将镧铈产品销售权下放给子公司，由各子公司自行完成销售，并给予奖励政策；二是推行新品种稀土产品研产销一体化机制，从特殊化的产品着手推广，发掘下游客户需求；三是革新技术，在冶炼分离的工艺流程中将镧铈混合物进行单镧、单铈的分选，满足下游客户的采购需求；四是针对稀土铈金属需求的强劲增长，通过并购重组包头市中鑫安泰磁业有限公司保障铈金属供给。今年公司的镧铈销量已经大于产量，正在积极消化库存。一季度公司单镧、单铈及新品种稀土产品的产销量提升明显。公司镧铈产品的生产和销售量一般在主要经营数据中的稀土氧化物和稀土盐类中体现，2025年一季度公司稀土氧化物生产量0.57万吨，同比增长33.99%，销售量1.06万吨，同比增长57.61%；稀土盐类生产量3.74万吨，同比增长1.25%，销售量3.21万吨，同比增长52.95%。由于单镧、单铈及新品种稀土产品的需求提升，镧铈产品的产销量也大幅提升。</w:t>
            </w:r>
          </w:p>
          <w:p w14:paraId="6F9C0F60">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问：公司在磁材领域的布局如何？</w:t>
            </w:r>
          </w:p>
          <w:p w14:paraId="13DF0101">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w:t>
            </w:r>
            <w:r>
              <w:rPr>
                <w:rFonts w:ascii="宋体" w:hAnsi="宋体" w:eastAsia="宋体"/>
                <w:bCs/>
                <w:sz w:val="28"/>
                <w:szCs w:val="28"/>
              </w:rPr>
              <w:t>：</w:t>
            </w:r>
            <w:r>
              <w:rPr>
                <w:rFonts w:hint="eastAsia" w:ascii="宋体" w:hAnsi="宋体" w:eastAsia="宋体"/>
                <w:bCs/>
                <w:sz w:val="28"/>
                <w:szCs w:val="28"/>
              </w:rPr>
              <w:t>磁材合金方面，公司目前拥有10万吨/年的磁性材料合金产能。为进一步提升产业竞争力，公司子公司内蒙古北方稀土磁性材料有限责任公司（以下简称北方磁材）启动建设5万吨高性能钕铁硼速凝合金项目。该项目建成后，将新增年产5万吨磁材合金及1万吨氢碎粉的生产能力，打造单体产能最大、综合成本效益最优、最具市场竞争力的稀土磁性材料合金（粉体）生产工厂及质量领先的新能源配套磁材，该项目是公司二十多年生产实践、技术成果、科技创新的智慧结晶，确保产出的合金产品标准均匀、磁性能优异、富钕相分布均匀，可满足下游市场对高性能磁性材料的需求。</w:t>
            </w:r>
          </w:p>
          <w:p w14:paraId="68AF23AC">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磁体方面，公司正加速推进产能建设与技术升级，与子公司北方磁材及安泰科技合资成立的安泰北方科技有限公司，已建成5000吨/年稀土永磁产业化项目； 联合宁波招宝磁业、苏州通润驱动、宁波西磁科技共同投资设立北方招宝磁业（内蒙古）有限公司，实施3000吨/年高性能钕铁硼磁性材料项目，进一步满足高端永磁电机、机器人、智能装备等领域的磁材需求。</w:t>
            </w:r>
          </w:p>
          <w:p w14:paraId="264231BD">
            <w:pPr>
              <w:spacing w:line="500" w:lineRule="exact"/>
              <w:ind w:firstLine="560" w:firstLineChars="200"/>
              <w:rPr>
                <w:rFonts w:ascii="宋体" w:hAnsi="宋体" w:eastAsia="宋体"/>
                <w:bCs/>
                <w:sz w:val="28"/>
                <w:szCs w:val="28"/>
              </w:rPr>
            </w:pPr>
            <w:r>
              <w:rPr>
                <w:rFonts w:hint="eastAsia" w:ascii="宋体" w:hAnsi="宋体" w:eastAsia="宋体"/>
                <w:bCs/>
                <w:sz w:val="28"/>
                <w:szCs w:val="28"/>
              </w:rPr>
              <w:t>未来，公司通过并购重组延链补链强链，将资源优势转化为产业上下游协同联动发展优势，提升磁性材料产能和技术水平，强化稀土金属资源保障能力，全面增强磁性材料产品市场竞争力和产业链价值创造能力，为新能源、智能制造、人工智能等新兴产业提供核心材料支撑。同时，充分利用磁材市场变化，优化产品结构，提升产品市场占有率，实现效益最大化。</w:t>
            </w:r>
          </w:p>
          <w:p w14:paraId="1699438E">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问：中重稀土的出口政策目前有无变化？公司的出口情况怎样？是否受到影响？</w:t>
            </w:r>
          </w:p>
          <w:p w14:paraId="338DB232">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国家出台的稀土产品出口管制政策，是要合规的管理稀土产品出口，也是从履行国家安全防护义务的角度去做稀土产品出口管控工作。公司坚决拥护执行国家出台的各项政策措施。从4月末开始，一些稀土企业陆续办理出口许可证，出口管制主要针对的是军民两用属性的中重稀土的物项进行出口许可管理，涉及镝、铽等7种中重稀土元素产品，需要申领两用物项出口许可，并明确最终用户和最终用途。</w:t>
            </w:r>
          </w:p>
          <w:p w14:paraId="18BEE4C7">
            <w:pPr>
              <w:spacing w:line="500" w:lineRule="exact"/>
              <w:ind w:firstLine="560" w:firstLineChars="200"/>
              <w:rPr>
                <w:rFonts w:ascii="宋体" w:hAnsi="宋体" w:eastAsia="宋体"/>
                <w:bCs/>
                <w:sz w:val="28"/>
                <w:szCs w:val="28"/>
              </w:rPr>
            </w:pPr>
            <w:r>
              <w:rPr>
                <w:rFonts w:hint="eastAsia" w:ascii="宋体" w:hAnsi="宋体" w:eastAsia="宋体"/>
                <w:bCs/>
                <w:sz w:val="28"/>
                <w:szCs w:val="28"/>
              </w:rPr>
              <w:t>从目前了解的情况来看，镧铈产品出口正常，镝铽等7种中重稀土元素产品的出口按管控措施执行。公司主要以轻稀土产品出口为主，目前出口量占总销量比重较小，占公司整体营收的比重也很小，所以受出口管制的影响也相对较小。</w:t>
            </w:r>
          </w:p>
          <w:p w14:paraId="65168015">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问：国家未公开发布今年的稀土总量控制指标。公司怎么看今年的稀土总量控制指标？</w:t>
            </w:r>
          </w:p>
          <w:p w14:paraId="4D7F5A55">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部门制定”。今年总量控制指标也是综合考虑市场、企业生产以及稀土行业的供应与需求情况综合制定的。</w:t>
            </w:r>
          </w:p>
          <w:p w14:paraId="38A808E9">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问：我国稀土废料回收是否有相应的政策？公司在废料回收方面有何布局？</w:t>
            </w:r>
          </w:p>
          <w:p w14:paraId="08851A47">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答：202</w:t>
            </w:r>
            <w:r>
              <w:rPr>
                <w:rFonts w:hint="eastAsia" w:ascii="宋体" w:hAnsi="宋体" w:eastAsia="宋体"/>
                <w:bCs/>
                <w:sz w:val="28"/>
                <w:szCs w:val="28"/>
                <w:lang w:val="en-US" w:eastAsia="zh-CN"/>
              </w:rPr>
              <w:t>4</w:t>
            </w:r>
            <w:bookmarkStart w:id="0" w:name="_GoBack"/>
            <w:bookmarkEnd w:id="0"/>
            <w:r>
              <w:rPr>
                <w:rFonts w:hint="eastAsia" w:ascii="宋体" w:hAnsi="宋体" w:eastAsia="宋体"/>
                <w:bCs/>
                <w:sz w:val="28"/>
                <w:szCs w:val="28"/>
              </w:rPr>
              <w:t>年10月颁布的《稀土管理条例》第十一条明确规定了国家鼓励和支持企业利用先进适用技术、工艺，对稀土二次资源进行综合利用。稀土综合利用企业不得以稀土矿产品为原料从事生产活动。在资源循环利用、绿色低碳的背景下，公司更是在稀土废料回收方面积极作为，公司控股子公司信丰县包钢新利稀土有限责任公司拥有4960吨/年的稀土废料回收产能；公司控股子公司包头市金蒙稀土有限责任公司正在建设4000吨/年的废料回收产能项目，该项目已经进入到设备安装的阶段。</w:t>
            </w:r>
          </w:p>
        </w:tc>
      </w:tr>
      <w:tr w14:paraId="0A9B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2" w:type="dxa"/>
            <w:vAlign w:val="center"/>
          </w:tcPr>
          <w:p w14:paraId="7FA573DA">
            <w:pPr>
              <w:spacing w:line="400" w:lineRule="exact"/>
              <w:jc w:val="center"/>
              <w:rPr>
                <w:rFonts w:ascii="宋体" w:hAnsi="宋体" w:eastAsia="宋体"/>
                <w:sz w:val="28"/>
                <w:szCs w:val="28"/>
              </w:rPr>
            </w:pPr>
            <w:r>
              <w:rPr>
                <w:rFonts w:hint="eastAsia" w:ascii="宋体" w:hAnsi="宋体" w:eastAsia="宋体"/>
                <w:sz w:val="28"/>
                <w:szCs w:val="28"/>
              </w:rPr>
              <w:t>附件清单</w:t>
            </w:r>
          </w:p>
        </w:tc>
        <w:tc>
          <w:tcPr>
            <w:tcW w:w="6667" w:type="dxa"/>
            <w:vAlign w:val="center"/>
          </w:tcPr>
          <w:p w14:paraId="4D7EE456">
            <w:pPr>
              <w:spacing w:line="400" w:lineRule="exact"/>
              <w:rPr>
                <w:rFonts w:ascii="宋体" w:hAnsi="宋体" w:eastAsia="宋体"/>
                <w:sz w:val="28"/>
                <w:szCs w:val="28"/>
              </w:rPr>
            </w:pPr>
            <w:r>
              <w:rPr>
                <w:rFonts w:hint="eastAsia" w:ascii="宋体" w:hAnsi="宋体" w:eastAsia="宋体"/>
                <w:sz w:val="28"/>
                <w:szCs w:val="28"/>
              </w:rPr>
              <w:t>无</w:t>
            </w:r>
          </w:p>
        </w:tc>
      </w:tr>
      <w:tr w14:paraId="288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vAlign w:val="center"/>
          </w:tcPr>
          <w:p w14:paraId="420B9AAE">
            <w:pPr>
              <w:spacing w:line="500" w:lineRule="exact"/>
              <w:rPr>
                <w:rFonts w:ascii="宋体" w:hAnsi="宋体" w:eastAsia="宋体"/>
                <w:sz w:val="28"/>
                <w:szCs w:val="28"/>
              </w:rPr>
            </w:pPr>
            <w:r>
              <w:rPr>
                <w:rFonts w:hint="eastAsia" w:ascii="宋体" w:hAnsi="宋体" w:eastAsia="宋体"/>
                <w:sz w:val="28"/>
                <w:szCs w:val="28"/>
              </w:rPr>
              <w:t>注：公司严格遵守信息披露法律法规与投资者交流，如涉及公司战略规划等意向性目标，不视为公司或管理层对公司业绩的保证或承诺，敬请广大投资者注意投资风险。</w:t>
            </w:r>
          </w:p>
        </w:tc>
      </w:tr>
    </w:tbl>
    <w:p w14:paraId="000911E0">
      <w:pPr>
        <w:spacing w:line="20" w:lineRule="exact"/>
        <w:rPr>
          <w:rFonts w:ascii="宋体" w:hAnsi="宋体" w:eastAsia="宋体"/>
          <w:sz w:val="24"/>
        </w:rPr>
      </w:pPr>
    </w:p>
    <w:sectPr>
      <w:headerReference r:id="rId5" w:type="default"/>
      <w:footerReference r:id="rId6" w:type="default"/>
      <w:pgSz w:w="11906" w:h="16838"/>
      <w:pgMar w:top="1440" w:right="1800" w:bottom="1440" w:left="1800" w:header="680"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74822"/>
    </w:sdtPr>
    <w:sdtEndPr>
      <w:rPr>
        <w:rFonts w:ascii="宋体" w:hAnsi="宋体" w:eastAsia="宋体"/>
        <w:sz w:val="28"/>
        <w:szCs w:val="28"/>
      </w:rPr>
    </w:sdtEndPr>
    <w:sdtContent>
      <w:p w14:paraId="587E904F">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0010">
    <w:pPr>
      <w:rPr>
        <w:rFonts w:ascii="宋体" w:hAnsi="宋体" w:eastAsia="宋体"/>
        <w:sz w:val="21"/>
        <w:szCs w:val="21"/>
        <w:u w:val="single"/>
      </w:rPr>
    </w:pPr>
    <w:r>
      <w:rPr>
        <w:rFonts w:hint="eastAsia" w:ascii="宋体" w:hAnsi="宋体" w:eastAsia="宋体"/>
        <w:sz w:val="21"/>
        <w:szCs w:val="21"/>
        <w:u w:val="single"/>
      </w:rPr>
      <w:t>证券代码：6</w:t>
    </w:r>
    <w:r>
      <w:rPr>
        <w:rFonts w:ascii="宋体" w:hAnsi="宋体" w:eastAsia="宋体"/>
        <w:sz w:val="21"/>
        <w:szCs w:val="21"/>
        <w:u w:val="single"/>
      </w:rPr>
      <w:t xml:space="preserve">00111                                             </w:t>
    </w:r>
    <w:r>
      <w:rPr>
        <w:rFonts w:hint="eastAsia" w:ascii="宋体" w:hAnsi="宋体" w:eastAsia="宋体"/>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9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873"/>
    <w:rsid w:val="00371D8C"/>
    <w:rsid w:val="00374494"/>
    <w:rsid w:val="0037480B"/>
    <w:rsid w:val="0037511D"/>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5A24"/>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3BA0"/>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440F"/>
    <w:rsid w:val="0051602E"/>
    <w:rsid w:val="00516AFE"/>
    <w:rsid w:val="00520872"/>
    <w:rsid w:val="00520E04"/>
    <w:rsid w:val="00523D7B"/>
    <w:rsid w:val="00524DBD"/>
    <w:rsid w:val="00527B20"/>
    <w:rsid w:val="00530281"/>
    <w:rsid w:val="00530347"/>
    <w:rsid w:val="005318DD"/>
    <w:rsid w:val="00531EB8"/>
    <w:rsid w:val="005320F5"/>
    <w:rsid w:val="00532ADD"/>
    <w:rsid w:val="0054129D"/>
    <w:rsid w:val="005412F7"/>
    <w:rsid w:val="0054154E"/>
    <w:rsid w:val="00541CCC"/>
    <w:rsid w:val="005421FD"/>
    <w:rsid w:val="00542BEB"/>
    <w:rsid w:val="00543EB9"/>
    <w:rsid w:val="00544659"/>
    <w:rsid w:val="005468AA"/>
    <w:rsid w:val="00546C2B"/>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2781"/>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5F406D"/>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6F4"/>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2654"/>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21BA"/>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20D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3D06"/>
    <w:rsid w:val="00744282"/>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1F53"/>
    <w:rsid w:val="00832B36"/>
    <w:rsid w:val="00832C0E"/>
    <w:rsid w:val="008342D8"/>
    <w:rsid w:val="00834458"/>
    <w:rsid w:val="00840AB0"/>
    <w:rsid w:val="00842665"/>
    <w:rsid w:val="008437E9"/>
    <w:rsid w:val="008446FB"/>
    <w:rsid w:val="0085089E"/>
    <w:rsid w:val="008511EE"/>
    <w:rsid w:val="00853690"/>
    <w:rsid w:val="008552C6"/>
    <w:rsid w:val="00855C5F"/>
    <w:rsid w:val="00856B96"/>
    <w:rsid w:val="008607BB"/>
    <w:rsid w:val="00860AAE"/>
    <w:rsid w:val="008615AE"/>
    <w:rsid w:val="00861EEC"/>
    <w:rsid w:val="00861F96"/>
    <w:rsid w:val="008646A2"/>
    <w:rsid w:val="00865232"/>
    <w:rsid w:val="00865304"/>
    <w:rsid w:val="00871304"/>
    <w:rsid w:val="008713F4"/>
    <w:rsid w:val="00871CD3"/>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5DDA"/>
    <w:rsid w:val="00925E43"/>
    <w:rsid w:val="00927270"/>
    <w:rsid w:val="009302FF"/>
    <w:rsid w:val="009303A0"/>
    <w:rsid w:val="009304A5"/>
    <w:rsid w:val="0093191F"/>
    <w:rsid w:val="009335A9"/>
    <w:rsid w:val="00937B05"/>
    <w:rsid w:val="00940DB2"/>
    <w:rsid w:val="00943F7E"/>
    <w:rsid w:val="009451FF"/>
    <w:rsid w:val="00953518"/>
    <w:rsid w:val="00954481"/>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4FCD"/>
    <w:rsid w:val="00A259FC"/>
    <w:rsid w:val="00A265BC"/>
    <w:rsid w:val="00A27AF6"/>
    <w:rsid w:val="00A31238"/>
    <w:rsid w:val="00A31D7E"/>
    <w:rsid w:val="00A33938"/>
    <w:rsid w:val="00A352C9"/>
    <w:rsid w:val="00A36354"/>
    <w:rsid w:val="00A363C5"/>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0823"/>
    <w:rsid w:val="00A921D1"/>
    <w:rsid w:val="00A927A5"/>
    <w:rsid w:val="00A92E58"/>
    <w:rsid w:val="00A949B9"/>
    <w:rsid w:val="00A953B0"/>
    <w:rsid w:val="00A96EA9"/>
    <w:rsid w:val="00A97AFD"/>
    <w:rsid w:val="00AA04DF"/>
    <w:rsid w:val="00AA1E6B"/>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462E"/>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4714C"/>
    <w:rsid w:val="00C50DBE"/>
    <w:rsid w:val="00C520CE"/>
    <w:rsid w:val="00C52CC4"/>
    <w:rsid w:val="00C53407"/>
    <w:rsid w:val="00C53B86"/>
    <w:rsid w:val="00C53CF2"/>
    <w:rsid w:val="00C55316"/>
    <w:rsid w:val="00C568E8"/>
    <w:rsid w:val="00C56A3C"/>
    <w:rsid w:val="00C57EB2"/>
    <w:rsid w:val="00C60DFD"/>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A52"/>
    <w:rsid w:val="00D37CC5"/>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7B2"/>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0F2"/>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87E52"/>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06C8F"/>
    <w:rsid w:val="00F10C09"/>
    <w:rsid w:val="00F10E4D"/>
    <w:rsid w:val="00F1357B"/>
    <w:rsid w:val="00F1437A"/>
    <w:rsid w:val="00F164D0"/>
    <w:rsid w:val="00F17541"/>
    <w:rsid w:val="00F203B6"/>
    <w:rsid w:val="00F215D6"/>
    <w:rsid w:val="00F2205F"/>
    <w:rsid w:val="00F23A9F"/>
    <w:rsid w:val="00F23F57"/>
    <w:rsid w:val="00F25D68"/>
    <w:rsid w:val="00F277E8"/>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DAC7A89"/>
    <w:rsid w:val="2E1E279D"/>
    <w:rsid w:val="2E3954D1"/>
    <w:rsid w:val="46635CB4"/>
    <w:rsid w:val="49AB6BF2"/>
    <w:rsid w:val="5A8176D7"/>
    <w:rsid w:val="65A2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批注框文本 Char"/>
    <w:basedOn w:val="9"/>
    <w:link w:val="3"/>
    <w:semiHidden/>
    <w:qFormat/>
    <w:uiPriority w:val="99"/>
    <w:rPr>
      <w:rFonts w:ascii="Times New Roman" w:hAnsi="Times New Roman" w:eastAsia="仿宋_GB2312" w:cs="Times New Roman"/>
      <w:sz w:val="18"/>
      <w:szCs w:val="18"/>
    </w:rPr>
  </w:style>
  <w:style w:type="character" w:customStyle="1" w:styleId="15">
    <w:name w:val="dt-editor__word"/>
    <w:basedOn w:val="9"/>
    <w:qFormat/>
    <w:uiPriority w:val="0"/>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7">
    <w:name w:val="批注文字 Char"/>
    <w:basedOn w:val="9"/>
    <w:link w:val="2"/>
    <w:semiHidden/>
    <w:qFormat/>
    <w:uiPriority w:val="99"/>
    <w:rPr>
      <w:rFonts w:ascii="Times New Roman" w:hAnsi="Times New Roman" w:eastAsia="仿宋_GB2312" w:cs="Times New Roman"/>
      <w:kern w:val="2"/>
      <w:sz w:val="32"/>
      <w:szCs w:val="24"/>
    </w:rPr>
  </w:style>
  <w:style w:type="character" w:customStyle="1" w:styleId="18">
    <w:name w:val="批注主题 Char"/>
    <w:basedOn w:val="17"/>
    <w:link w:val="6"/>
    <w:semiHidden/>
    <w:qFormat/>
    <w:uiPriority w:val="99"/>
    <w:rPr>
      <w:rFonts w:ascii="Times New Roman" w:hAnsi="Times New Roman" w:eastAsia="仿宋_GB2312" w:cs="Times New Roman"/>
      <w:b/>
      <w:bCs/>
      <w:kern w:val="2"/>
      <w:sz w:val="32"/>
      <w:szCs w:val="24"/>
    </w:rPr>
  </w:style>
  <w:style w:type="paragraph" w:styleId="19">
    <w:name w:val="List Paragraph"/>
    <w:basedOn w:val="1"/>
    <w:link w:val="20"/>
    <w:qFormat/>
    <w:uiPriority w:val="34"/>
    <w:pPr>
      <w:spacing w:line="240" w:lineRule="auto"/>
      <w:ind w:firstLine="420" w:firstLineChars="200"/>
    </w:pPr>
    <w:rPr>
      <w:rFonts w:eastAsia="宋体"/>
      <w:sz w:val="21"/>
      <w:szCs w:val="21"/>
    </w:rPr>
  </w:style>
  <w:style w:type="character" w:customStyle="1" w:styleId="20">
    <w:name w:val="列出段落 Char"/>
    <w:link w:val="19"/>
    <w:qFormat/>
    <w:locked/>
    <w:uiPriority w:val="34"/>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2345</Words>
  <Characters>2414</Characters>
  <Lines>1</Lines>
  <Paragraphs>4</Paragraphs>
  <TotalTime>170</TotalTime>
  <ScaleCrop>false</ScaleCrop>
  <LinksUpToDate>false</LinksUpToDate>
  <CharactersWithSpaces>2438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2025-06-30T00:15:00Z</dcterms:created>
  <dc:creator>郭 剑</dc:creator>
  <cp:lastModifiedBy>Rebe</cp:lastModifiedBy>
  <cp:lastPrinted>2025-04-30T08:03:00Z</cp:lastPrinted>
  <dcterms:modified xsi:type="dcterms:W3CDTF">2025-07-31T10:17:15Z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