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126D" w:rsidRDefault="003B1382">
      <w:pPr>
        <w:rPr>
          <w:rFonts w:ascii="黑体" w:eastAsia="黑体" w:hAnsi="黑体"/>
          <w:color w:val="FF0000"/>
          <w:sz w:val="44"/>
          <w:szCs w:val="44"/>
        </w:rPr>
      </w:pPr>
      <w:r>
        <w:rPr>
          <w:rFonts w:ascii="黑体" w:eastAsia="黑体" w:hAnsi="黑体" w:hint="eastAsia"/>
          <w:color w:val="FF0000"/>
          <w:sz w:val="44"/>
          <w:szCs w:val="44"/>
        </w:rPr>
        <w:t>中国北方稀土（集团）高科技股份有限公司</w:t>
      </w:r>
    </w:p>
    <w:p w:rsidR="0067126D" w:rsidRDefault="003B1382">
      <w:pPr>
        <w:jc w:val="center"/>
        <w:rPr>
          <w:rFonts w:ascii="黑体" w:eastAsia="黑体" w:hAnsi="黑体"/>
          <w:color w:val="FF0000"/>
          <w:sz w:val="44"/>
          <w:szCs w:val="44"/>
        </w:rPr>
      </w:pPr>
      <w:r>
        <w:rPr>
          <w:rFonts w:ascii="黑体" w:eastAsia="黑体" w:hAnsi="黑体" w:hint="eastAsia"/>
          <w:color w:val="FF0000"/>
          <w:sz w:val="44"/>
          <w:szCs w:val="44"/>
        </w:rPr>
        <w:t>投资者关系活动记录表</w:t>
      </w:r>
    </w:p>
    <w:p w:rsidR="0067126D" w:rsidRDefault="003B1382">
      <w:pPr>
        <w:jc w:val="right"/>
        <w:rPr>
          <w:rFonts w:ascii="宋体" w:eastAsia="宋体" w:hAnsi="宋体"/>
          <w:sz w:val="28"/>
          <w:szCs w:val="28"/>
        </w:rPr>
      </w:pPr>
      <w:r>
        <w:rPr>
          <w:rFonts w:ascii="宋体" w:eastAsia="宋体" w:hAnsi="宋体" w:hint="eastAsia"/>
          <w:sz w:val="28"/>
          <w:szCs w:val="28"/>
        </w:rPr>
        <w:t>编号：2</w:t>
      </w:r>
      <w:r>
        <w:rPr>
          <w:rFonts w:ascii="宋体" w:eastAsia="宋体" w:hAnsi="宋体"/>
          <w:sz w:val="28"/>
          <w:szCs w:val="28"/>
        </w:rPr>
        <w:t>025-018</w:t>
      </w:r>
    </w:p>
    <w:tbl>
      <w:tblPr>
        <w:tblStyle w:val="a8"/>
        <w:tblW w:w="8789" w:type="dxa"/>
        <w:jc w:val="center"/>
        <w:tblLook w:val="04A0" w:firstRow="1" w:lastRow="0" w:firstColumn="1" w:lastColumn="0" w:noHBand="0" w:noVBand="1"/>
      </w:tblPr>
      <w:tblGrid>
        <w:gridCol w:w="2122"/>
        <w:gridCol w:w="6667"/>
      </w:tblGrid>
      <w:tr w:rsidR="0067126D">
        <w:trPr>
          <w:jc w:val="center"/>
        </w:trPr>
        <w:tc>
          <w:tcPr>
            <w:tcW w:w="2122" w:type="dxa"/>
            <w:vAlign w:val="center"/>
          </w:tcPr>
          <w:p w:rsidR="0067126D" w:rsidRDefault="003B1382">
            <w:pPr>
              <w:spacing w:line="400" w:lineRule="exact"/>
              <w:jc w:val="center"/>
              <w:rPr>
                <w:rFonts w:ascii="宋体" w:eastAsia="宋体" w:hAnsi="宋体"/>
                <w:sz w:val="28"/>
                <w:szCs w:val="28"/>
              </w:rPr>
            </w:pPr>
            <w:r>
              <w:rPr>
                <w:rFonts w:ascii="宋体" w:eastAsia="宋体" w:hAnsi="宋体" w:hint="eastAsia"/>
                <w:sz w:val="28"/>
                <w:szCs w:val="28"/>
              </w:rPr>
              <w:t>投资者关系</w:t>
            </w:r>
          </w:p>
          <w:p w:rsidR="0067126D" w:rsidRDefault="003B1382">
            <w:pPr>
              <w:spacing w:line="400" w:lineRule="exact"/>
              <w:jc w:val="center"/>
              <w:rPr>
                <w:rFonts w:ascii="宋体" w:eastAsia="宋体" w:hAnsi="宋体"/>
                <w:sz w:val="28"/>
                <w:szCs w:val="28"/>
              </w:rPr>
            </w:pPr>
            <w:r>
              <w:rPr>
                <w:rFonts w:ascii="宋体" w:eastAsia="宋体" w:hAnsi="宋体" w:hint="eastAsia"/>
                <w:sz w:val="28"/>
                <w:szCs w:val="28"/>
              </w:rPr>
              <w:t>活动类别</w:t>
            </w:r>
          </w:p>
        </w:tc>
        <w:tc>
          <w:tcPr>
            <w:tcW w:w="6667" w:type="dxa"/>
          </w:tcPr>
          <w:p w:rsidR="0067126D" w:rsidRDefault="003B1382">
            <w:pPr>
              <w:spacing w:line="540" w:lineRule="exact"/>
              <w:rPr>
                <w:rFonts w:ascii="宋体" w:eastAsia="宋体" w:hAnsi="宋体"/>
                <w:sz w:val="28"/>
                <w:szCs w:val="28"/>
              </w:rPr>
            </w:pPr>
            <w:r>
              <w:rPr>
                <w:rFonts w:ascii="宋体" w:eastAsia="宋体" w:hAnsi="宋体" w:hint="eastAsia"/>
                <w:sz w:val="28"/>
                <w:szCs w:val="28"/>
              </w:rPr>
              <w:sym w:font="Wingdings 2" w:char="0052"/>
            </w:r>
            <w:r>
              <w:rPr>
                <w:rFonts w:ascii="宋体" w:eastAsia="宋体" w:hAnsi="宋体" w:hint="eastAsia"/>
                <w:sz w:val="28"/>
                <w:szCs w:val="28"/>
              </w:rPr>
              <w:t xml:space="preserve">特定对象调研 </w:t>
            </w:r>
            <w:r>
              <w:rPr>
                <w:rFonts w:ascii="宋体" w:eastAsia="宋体" w:hAnsi="宋体"/>
                <w:sz w:val="28"/>
                <w:szCs w:val="28"/>
              </w:rPr>
              <w:t xml:space="preserve">  </w:t>
            </w:r>
            <w:r>
              <w:rPr>
                <w:rFonts w:ascii="宋体" w:eastAsia="宋体" w:hAnsi="宋体" w:hint="eastAsia"/>
                <w:sz w:val="28"/>
                <w:szCs w:val="28"/>
              </w:rPr>
              <w:t xml:space="preserve">□分析师会议 </w:t>
            </w:r>
            <w:r>
              <w:rPr>
                <w:rFonts w:ascii="宋体" w:eastAsia="宋体" w:hAnsi="宋体"/>
                <w:sz w:val="28"/>
                <w:szCs w:val="28"/>
              </w:rPr>
              <w:t xml:space="preserve">      </w:t>
            </w:r>
          </w:p>
          <w:p w:rsidR="0067126D" w:rsidRDefault="003B1382">
            <w:pPr>
              <w:spacing w:line="540" w:lineRule="exact"/>
              <w:rPr>
                <w:rFonts w:ascii="宋体" w:eastAsia="宋体" w:hAnsi="宋体"/>
                <w:sz w:val="28"/>
                <w:szCs w:val="28"/>
              </w:rPr>
            </w:pPr>
            <w:r>
              <w:rPr>
                <w:rFonts w:ascii="宋体" w:eastAsia="宋体" w:hAnsi="宋体" w:hint="eastAsia"/>
                <w:sz w:val="28"/>
                <w:szCs w:val="28"/>
              </w:rPr>
              <w:t xml:space="preserve">□媒体采访 </w:t>
            </w:r>
            <w:r>
              <w:rPr>
                <w:rFonts w:ascii="宋体" w:eastAsia="宋体" w:hAnsi="宋体"/>
                <w:sz w:val="28"/>
                <w:szCs w:val="28"/>
              </w:rPr>
              <w:t xml:space="preserve">      </w:t>
            </w:r>
            <w:r>
              <w:rPr>
                <w:rFonts w:ascii="宋体" w:eastAsia="宋体" w:hAnsi="宋体" w:hint="eastAsia"/>
                <w:sz w:val="28"/>
                <w:szCs w:val="28"/>
              </w:rPr>
              <w:t>□业绩说明会</w:t>
            </w:r>
          </w:p>
          <w:p w:rsidR="0067126D" w:rsidRDefault="003B1382">
            <w:pPr>
              <w:spacing w:line="540" w:lineRule="exact"/>
              <w:rPr>
                <w:rFonts w:ascii="宋体" w:eastAsia="宋体" w:hAnsi="宋体"/>
                <w:sz w:val="28"/>
                <w:szCs w:val="28"/>
              </w:rPr>
            </w:pPr>
            <w:r>
              <w:rPr>
                <w:rFonts w:ascii="宋体" w:eastAsia="宋体" w:hAnsi="宋体" w:hint="eastAsia"/>
                <w:sz w:val="28"/>
                <w:szCs w:val="28"/>
              </w:rPr>
              <w:t xml:space="preserve">□新闻发布会 </w:t>
            </w:r>
            <w:r>
              <w:rPr>
                <w:rFonts w:ascii="宋体" w:eastAsia="宋体" w:hAnsi="宋体"/>
                <w:sz w:val="28"/>
                <w:szCs w:val="28"/>
              </w:rPr>
              <w:t xml:space="preserve">    </w:t>
            </w:r>
            <w:r>
              <w:rPr>
                <w:rFonts w:ascii="宋体" w:eastAsia="宋体" w:hAnsi="宋体" w:hint="eastAsia"/>
                <w:sz w:val="28"/>
                <w:szCs w:val="28"/>
              </w:rPr>
              <w:t>□路演活动</w:t>
            </w:r>
          </w:p>
          <w:p w:rsidR="0067126D" w:rsidRDefault="003B1382">
            <w:pPr>
              <w:spacing w:line="540" w:lineRule="exact"/>
              <w:rPr>
                <w:rFonts w:ascii="宋体" w:eastAsia="宋体" w:hAnsi="宋体"/>
                <w:sz w:val="28"/>
                <w:szCs w:val="28"/>
              </w:rPr>
            </w:pPr>
            <w:r>
              <w:rPr>
                <w:rFonts w:ascii="宋体" w:eastAsia="宋体" w:hAnsi="宋体" w:hint="eastAsia"/>
                <w:sz w:val="28"/>
                <w:szCs w:val="28"/>
              </w:rPr>
              <w:t>□现场参观</w:t>
            </w:r>
          </w:p>
          <w:p w:rsidR="0067126D" w:rsidRDefault="003B1382">
            <w:pPr>
              <w:spacing w:line="540" w:lineRule="exact"/>
              <w:rPr>
                <w:rFonts w:ascii="宋体" w:eastAsia="宋体" w:hAnsi="宋体"/>
                <w:sz w:val="28"/>
                <w:szCs w:val="28"/>
              </w:rPr>
            </w:pPr>
            <w:r>
              <w:rPr>
                <w:rFonts w:ascii="宋体" w:eastAsia="宋体" w:hAnsi="宋体" w:hint="eastAsia"/>
                <w:sz w:val="28"/>
                <w:szCs w:val="28"/>
              </w:rPr>
              <w:t>□其他（</w:t>
            </w:r>
            <w:proofErr w:type="gramStart"/>
            <w:r>
              <w:rPr>
                <w:rFonts w:ascii="宋体" w:eastAsia="宋体" w:hAnsi="宋体" w:hint="eastAsia"/>
                <w:sz w:val="28"/>
                <w:szCs w:val="28"/>
              </w:rPr>
              <w:t>请文字</w:t>
            </w:r>
            <w:proofErr w:type="gramEnd"/>
            <w:r>
              <w:rPr>
                <w:rFonts w:ascii="宋体" w:eastAsia="宋体" w:hAnsi="宋体" w:hint="eastAsia"/>
                <w:sz w:val="28"/>
                <w:szCs w:val="28"/>
              </w:rPr>
              <w:t>说明其他活动内容）</w:t>
            </w:r>
          </w:p>
        </w:tc>
      </w:tr>
      <w:tr w:rsidR="0067126D">
        <w:trPr>
          <w:trHeight w:val="2052"/>
          <w:jc w:val="center"/>
        </w:trPr>
        <w:tc>
          <w:tcPr>
            <w:tcW w:w="2122" w:type="dxa"/>
            <w:vAlign w:val="center"/>
          </w:tcPr>
          <w:p w:rsidR="0067126D" w:rsidRDefault="003B1382">
            <w:pPr>
              <w:spacing w:line="400" w:lineRule="exact"/>
              <w:jc w:val="center"/>
              <w:rPr>
                <w:rFonts w:ascii="宋体" w:eastAsia="宋体" w:hAnsi="宋体"/>
                <w:sz w:val="28"/>
                <w:szCs w:val="28"/>
              </w:rPr>
            </w:pPr>
            <w:r>
              <w:rPr>
                <w:rFonts w:ascii="宋体" w:eastAsia="宋体" w:hAnsi="宋体" w:hint="eastAsia"/>
                <w:sz w:val="28"/>
                <w:szCs w:val="28"/>
              </w:rPr>
              <w:t>参会单位（排名不分先后）</w:t>
            </w:r>
          </w:p>
        </w:tc>
        <w:tc>
          <w:tcPr>
            <w:tcW w:w="6667" w:type="dxa"/>
            <w:vAlign w:val="center"/>
          </w:tcPr>
          <w:p w:rsidR="0067126D" w:rsidRDefault="003B1382">
            <w:pPr>
              <w:spacing w:line="460" w:lineRule="exact"/>
              <w:rPr>
                <w:rFonts w:ascii="宋体" w:eastAsia="宋体" w:hAnsi="宋体"/>
                <w:sz w:val="28"/>
                <w:szCs w:val="28"/>
              </w:rPr>
            </w:pPr>
            <w:r>
              <w:rPr>
                <w:rFonts w:ascii="宋体" w:eastAsia="宋体" w:hAnsi="宋体" w:hint="eastAsia"/>
                <w:sz w:val="28"/>
                <w:szCs w:val="28"/>
              </w:rPr>
              <w:t>光大证券、华夏基金</w:t>
            </w:r>
          </w:p>
        </w:tc>
      </w:tr>
      <w:tr w:rsidR="0067126D">
        <w:trPr>
          <w:trHeight w:val="510"/>
          <w:jc w:val="center"/>
        </w:trPr>
        <w:tc>
          <w:tcPr>
            <w:tcW w:w="2122" w:type="dxa"/>
            <w:vAlign w:val="center"/>
          </w:tcPr>
          <w:p w:rsidR="0067126D" w:rsidRDefault="003B1382">
            <w:pPr>
              <w:spacing w:line="240" w:lineRule="auto"/>
              <w:jc w:val="center"/>
              <w:rPr>
                <w:rFonts w:ascii="宋体" w:eastAsia="宋体" w:hAnsi="宋体"/>
                <w:sz w:val="28"/>
                <w:szCs w:val="28"/>
              </w:rPr>
            </w:pPr>
            <w:r>
              <w:rPr>
                <w:rFonts w:ascii="宋体" w:eastAsia="宋体" w:hAnsi="宋体" w:hint="eastAsia"/>
                <w:sz w:val="28"/>
                <w:szCs w:val="28"/>
              </w:rPr>
              <w:t>时间</w:t>
            </w:r>
          </w:p>
        </w:tc>
        <w:tc>
          <w:tcPr>
            <w:tcW w:w="6667" w:type="dxa"/>
            <w:vAlign w:val="center"/>
          </w:tcPr>
          <w:p w:rsidR="0067126D" w:rsidRDefault="003B1382">
            <w:pPr>
              <w:spacing w:line="240" w:lineRule="auto"/>
              <w:rPr>
                <w:rFonts w:ascii="宋体" w:eastAsia="宋体" w:hAnsi="宋体"/>
                <w:sz w:val="28"/>
                <w:szCs w:val="28"/>
              </w:rPr>
            </w:pPr>
            <w:r>
              <w:rPr>
                <w:rFonts w:ascii="宋体" w:eastAsia="宋体" w:hAnsi="宋体" w:hint="eastAsia"/>
                <w:sz w:val="28"/>
                <w:szCs w:val="28"/>
              </w:rPr>
              <w:t>2</w:t>
            </w:r>
            <w:r>
              <w:rPr>
                <w:rFonts w:ascii="宋体" w:eastAsia="宋体" w:hAnsi="宋体"/>
                <w:sz w:val="28"/>
                <w:szCs w:val="28"/>
              </w:rPr>
              <w:t>02</w:t>
            </w:r>
            <w:r>
              <w:rPr>
                <w:rFonts w:ascii="宋体" w:eastAsia="宋体" w:hAnsi="宋体" w:hint="eastAsia"/>
                <w:sz w:val="28"/>
                <w:szCs w:val="28"/>
              </w:rPr>
              <w:t>5年7月16日下午第三场</w:t>
            </w:r>
          </w:p>
        </w:tc>
      </w:tr>
      <w:tr w:rsidR="0067126D">
        <w:trPr>
          <w:trHeight w:val="510"/>
          <w:jc w:val="center"/>
        </w:trPr>
        <w:tc>
          <w:tcPr>
            <w:tcW w:w="2122" w:type="dxa"/>
            <w:vAlign w:val="center"/>
          </w:tcPr>
          <w:p w:rsidR="0067126D" w:rsidRDefault="003B1382">
            <w:pPr>
              <w:spacing w:line="240" w:lineRule="auto"/>
              <w:jc w:val="center"/>
              <w:rPr>
                <w:rFonts w:ascii="宋体" w:eastAsia="宋体" w:hAnsi="宋体"/>
                <w:sz w:val="28"/>
                <w:szCs w:val="28"/>
              </w:rPr>
            </w:pPr>
            <w:r>
              <w:rPr>
                <w:rFonts w:ascii="宋体" w:eastAsia="宋体" w:hAnsi="宋体" w:hint="eastAsia"/>
                <w:sz w:val="28"/>
                <w:szCs w:val="28"/>
              </w:rPr>
              <w:t>地点及形式</w:t>
            </w:r>
          </w:p>
        </w:tc>
        <w:tc>
          <w:tcPr>
            <w:tcW w:w="6667" w:type="dxa"/>
            <w:vAlign w:val="center"/>
          </w:tcPr>
          <w:p w:rsidR="0067126D" w:rsidRDefault="003B1382">
            <w:pPr>
              <w:spacing w:line="240" w:lineRule="auto"/>
              <w:rPr>
                <w:rFonts w:ascii="宋体" w:eastAsia="宋体" w:hAnsi="宋体"/>
                <w:sz w:val="28"/>
                <w:szCs w:val="28"/>
              </w:rPr>
            </w:pPr>
            <w:proofErr w:type="gramStart"/>
            <w:r>
              <w:rPr>
                <w:rFonts w:ascii="宋体" w:eastAsia="宋体" w:hAnsi="宋体" w:hint="eastAsia"/>
                <w:sz w:val="28"/>
                <w:szCs w:val="28"/>
              </w:rPr>
              <w:t>腾讯会议</w:t>
            </w:r>
            <w:proofErr w:type="gramEnd"/>
            <w:r>
              <w:rPr>
                <w:rFonts w:ascii="宋体" w:eastAsia="宋体" w:hAnsi="宋体" w:hint="eastAsia"/>
                <w:sz w:val="28"/>
                <w:szCs w:val="28"/>
              </w:rPr>
              <w:t>线上交流</w:t>
            </w:r>
          </w:p>
        </w:tc>
      </w:tr>
      <w:tr w:rsidR="0067126D">
        <w:trPr>
          <w:trHeight w:val="1247"/>
          <w:jc w:val="center"/>
        </w:trPr>
        <w:tc>
          <w:tcPr>
            <w:tcW w:w="2122" w:type="dxa"/>
            <w:vAlign w:val="center"/>
          </w:tcPr>
          <w:p w:rsidR="0067126D" w:rsidRDefault="003B1382">
            <w:pPr>
              <w:spacing w:line="400" w:lineRule="exact"/>
              <w:jc w:val="center"/>
              <w:rPr>
                <w:rFonts w:ascii="宋体" w:eastAsia="宋体" w:hAnsi="宋体"/>
                <w:sz w:val="28"/>
                <w:szCs w:val="28"/>
              </w:rPr>
            </w:pPr>
            <w:r>
              <w:rPr>
                <w:rFonts w:ascii="宋体" w:eastAsia="宋体" w:hAnsi="宋体" w:hint="eastAsia"/>
                <w:sz w:val="28"/>
                <w:szCs w:val="28"/>
              </w:rPr>
              <w:t>公司接待人员</w:t>
            </w:r>
          </w:p>
        </w:tc>
        <w:tc>
          <w:tcPr>
            <w:tcW w:w="6667" w:type="dxa"/>
            <w:vAlign w:val="center"/>
          </w:tcPr>
          <w:p w:rsidR="0067126D" w:rsidRDefault="003B1382">
            <w:pPr>
              <w:spacing w:line="540" w:lineRule="exact"/>
              <w:rPr>
                <w:rFonts w:ascii="宋体" w:eastAsia="宋体" w:hAnsi="宋体"/>
                <w:sz w:val="28"/>
                <w:szCs w:val="28"/>
              </w:rPr>
            </w:pPr>
            <w:r>
              <w:rPr>
                <w:rFonts w:ascii="宋体" w:eastAsia="宋体" w:hAnsi="宋体" w:hint="eastAsia"/>
                <w:sz w:val="28"/>
                <w:szCs w:val="28"/>
              </w:rPr>
              <w:t>公司董事、董事会秘</w:t>
            </w:r>
            <w:r>
              <w:rPr>
                <w:rFonts w:ascii="宋体" w:eastAsia="宋体" w:hAnsi="宋体" w:cs="微软雅黑" w:hint="eastAsia"/>
                <w:sz w:val="28"/>
                <w:szCs w:val="28"/>
              </w:rPr>
              <w:t>书</w:t>
            </w:r>
            <w:r>
              <w:rPr>
                <w:rFonts w:ascii="宋体" w:eastAsia="宋体" w:hAnsi="宋体" w:cs="MS Gothic" w:hint="eastAsia"/>
                <w:sz w:val="28"/>
                <w:szCs w:val="28"/>
              </w:rPr>
              <w:t>、首席合</w:t>
            </w:r>
            <w:proofErr w:type="gramStart"/>
            <w:r>
              <w:rPr>
                <w:rFonts w:ascii="宋体" w:eastAsia="宋体" w:hAnsi="宋体" w:cs="微软雅黑" w:hint="eastAsia"/>
                <w:sz w:val="28"/>
                <w:szCs w:val="28"/>
              </w:rPr>
              <w:t>规</w:t>
            </w:r>
            <w:proofErr w:type="gramEnd"/>
            <w:r>
              <w:rPr>
                <w:rFonts w:ascii="宋体" w:eastAsia="宋体" w:hAnsi="宋体" w:cs="MS Gothic" w:hint="eastAsia"/>
                <w:sz w:val="28"/>
                <w:szCs w:val="28"/>
              </w:rPr>
              <w:t>官吴永</w:t>
            </w:r>
            <w:r>
              <w:rPr>
                <w:rFonts w:ascii="宋体" w:eastAsia="宋体" w:hAnsi="宋体" w:cs="微软雅黑" w:hint="eastAsia"/>
                <w:sz w:val="28"/>
                <w:szCs w:val="28"/>
              </w:rPr>
              <w:t>钢先生</w:t>
            </w:r>
            <w:r>
              <w:rPr>
                <w:rFonts w:ascii="宋体" w:eastAsia="宋体" w:hAnsi="宋体" w:hint="eastAsia"/>
                <w:sz w:val="28"/>
                <w:szCs w:val="28"/>
              </w:rPr>
              <w:t>，证券部等相关部</w:t>
            </w:r>
            <w:r>
              <w:rPr>
                <w:rFonts w:ascii="宋体" w:eastAsia="宋体" w:hAnsi="宋体" w:cs="微软雅黑" w:hint="eastAsia"/>
                <w:sz w:val="28"/>
                <w:szCs w:val="28"/>
              </w:rPr>
              <w:t>门</w:t>
            </w:r>
            <w:r>
              <w:rPr>
                <w:rFonts w:ascii="宋体" w:eastAsia="宋体" w:hAnsi="宋体" w:hint="eastAsia"/>
                <w:sz w:val="28"/>
                <w:szCs w:val="28"/>
              </w:rPr>
              <w:t>人</w:t>
            </w:r>
            <w:r>
              <w:rPr>
                <w:rFonts w:ascii="宋体" w:eastAsia="宋体" w:hAnsi="宋体" w:cs="微软雅黑" w:hint="eastAsia"/>
                <w:sz w:val="28"/>
                <w:szCs w:val="28"/>
              </w:rPr>
              <w:t>员</w:t>
            </w:r>
            <w:r>
              <w:rPr>
                <w:rFonts w:ascii="宋体" w:eastAsia="宋体" w:hAnsi="宋体" w:hint="eastAsia"/>
                <w:sz w:val="28"/>
                <w:szCs w:val="28"/>
              </w:rPr>
              <w:t>。</w:t>
            </w:r>
          </w:p>
        </w:tc>
      </w:tr>
      <w:tr w:rsidR="0067126D">
        <w:trPr>
          <w:trHeight w:val="416"/>
          <w:jc w:val="center"/>
        </w:trPr>
        <w:tc>
          <w:tcPr>
            <w:tcW w:w="2122" w:type="dxa"/>
            <w:vAlign w:val="center"/>
          </w:tcPr>
          <w:p w:rsidR="0067126D" w:rsidRDefault="003B1382">
            <w:pPr>
              <w:spacing w:line="400" w:lineRule="exact"/>
              <w:jc w:val="center"/>
              <w:rPr>
                <w:rFonts w:ascii="宋体" w:eastAsia="宋体" w:hAnsi="宋体"/>
                <w:sz w:val="28"/>
                <w:szCs w:val="28"/>
              </w:rPr>
            </w:pPr>
            <w:r>
              <w:rPr>
                <w:rFonts w:ascii="宋体" w:eastAsia="宋体" w:hAnsi="宋体" w:hint="eastAsia"/>
                <w:sz w:val="28"/>
                <w:szCs w:val="28"/>
              </w:rPr>
              <w:t>投资者关系活动主要内容</w:t>
            </w:r>
          </w:p>
        </w:tc>
        <w:tc>
          <w:tcPr>
            <w:tcW w:w="6667" w:type="dxa"/>
          </w:tcPr>
          <w:p w:rsidR="0067126D" w:rsidRDefault="003B1382">
            <w:pPr>
              <w:spacing w:line="500" w:lineRule="exact"/>
              <w:ind w:firstLineChars="200" w:firstLine="562"/>
              <w:rPr>
                <w:rFonts w:ascii="宋体" w:eastAsia="宋体" w:hAnsi="宋体"/>
                <w:b/>
                <w:sz w:val="28"/>
                <w:szCs w:val="28"/>
              </w:rPr>
            </w:pPr>
            <w:r>
              <w:rPr>
                <w:rFonts w:ascii="宋体" w:eastAsia="宋体" w:hAnsi="宋体" w:hint="eastAsia"/>
                <w:b/>
                <w:sz w:val="28"/>
                <w:szCs w:val="28"/>
              </w:rPr>
              <w:t>问：公司与包钢股份稀土精矿交易定价机制如何？</w:t>
            </w:r>
          </w:p>
          <w:p w:rsidR="0067126D" w:rsidRDefault="003B1382">
            <w:pPr>
              <w:spacing w:line="500" w:lineRule="exact"/>
              <w:ind w:firstLineChars="200" w:firstLine="560"/>
              <w:rPr>
                <w:rFonts w:ascii="宋体" w:eastAsia="宋体" w:hAnsi="宋体"/>
                <w:bCs/>
                <w:sz w:val="28"/>
                <w:szCs w:val="28"/>
              </w:rPr>
            </w:pPr>
            <w:r>
              <w:rPr>
                <w:rFonts w:ascii="宋体" w:eastAsia="宋体" w:hAnsi="宋体" w:hint="eastAsia"/>
                <w:bCs/>
                <w:sz w:val="28"/>
                <w:szCs w:val="28"/>
              </w:rPr>
              <w:t>答：公司与包钢股份稀土精矿交易定价机制按照公司2023年第一次临时股东大会通过的《关于稀土精矿日常关联交易定价机制暨2022年度执行及2023年度预计的议案》执行，即自2023年4月1日起，在稀土精矿定价公式不变的情况下，每季度首月上旬，公司根据定价公式计算、调整稀土精矿价格，重新签订稀土精矿供应合同或补充协议并公告。目前，该定价机制运行稳定。</w:t>
            </w:r>
          </w:p>
          <w:p w:rsidR="0067126D" w:rsidRDefault="003B1382">
            <w:pPr>
              <w:spacing w:line="500" w:lineRule="exact"/>
              <w:ind w:firstLineChars="200" w:firstLine="562"/>
              <w:rPr>
                <w:rFonts w:ascii="宋体" w:eastAsia="宋体" w:hAnsi="宋体"/>
                <w:b/>
                <w:bCs/>
                <w:sz w:val="28"/>
                <w:szCs w:val="28"/>
              </w:rPr>
            </w:pPr>
            <w:r>
              <w:rPr>
                <w:rFonts w:ascii="宋体" w:eastAsia="宋体" w:hAnsi="宋体" w:hint="eastAsia"/>
                <w:b/>
                <w:bCs/>
                <w:sz w:val="28"/>
                <w:szCs w:val="28"/>
              </w:rPr>
              <w:lastRenderedPageBreak/>
              <w:t>问：公司怎么看今年的稀土总量控制指标？</w:t>
            </w:r>
          </w:p>
          <w:p w:rsidR="0067126D" w:rsidRDefault="003B1382">
            <w:pPr>
              <w:spacing w:line="500" w:lineRule="exact"/>
              <w:ind w:firstLineChars="200" w:firstLine="560"/>
              <w:rPr>
                <w:rFonts w:ascii="宋体" w:eastAsia="宋体" w:hAnsi="宋体"/>
                <w:bCs/>
                <w:sz w:val="28"/>
                <w:szCs w:val="28"/>
              </w:rPr>
            </w:pPr>
            <w:r>
              <w:rPr>
                <w:rFonts w:ascii="宋体" w:eastAsia="宋体" w:hAnsi="宋体" w:hint="eastAsia"/>
                <w:bCs/>
                <w:sz w:val="28"/>
                <w:szCs w:val="28"/>
              </w:rPr>
              <w:t>答：今年是《稀土管理条例》颁布之后第一次下发总量控制指标，这次下达的指标与《稀土管理条例》以及《稀土开采和稀土冶炼分离总量调控管理办法（暂行）（公开征求意见稿）》的相关要求基本相同，包括了国内矿生产的冶炼分离产品，也包括了进口矿生产的冶炼分离产品。《稀土管理条例》第十条明确规定：“国家根据稀土资源储量和种类差异、产业发展、生态保护、市场需求等因素，对稀土开采和稀土冶炼分离实行总量调控，并优化动态管理。具体办法由国务院工业和信息化主管部门会同国务院自然资源、发展改革等部门制定”。今年总量控制指标也是综合考虑市场、企业生产以及稀土行业的供应与需求情况综合制定的。</w:t>
            </w:r>
          </w:p>
          <w:p w:rsidR="0067126D" w:rsidRDefault="003B1382">
            <w:pPr>
              <w:spacing w:line="500" w:lineRule="exact"/>
              <w:ind w:firstLineChars="200" w:firstLine="562"/>
              <w:rPr>
                <w:rFonts w:ascii="宋体" w:eastAsia="宋体" w:hAnsi="宋体"/>
                <w:b/>
                <w:bCs/>
                <w:sz w:val="28"/>
                <w:szCs w:val="28"/>
              </w:rPr>
            </w:pPr>
            <w:r>
              <w:rPr>
                <w:rFonts w:ascii="宋体" w:eastAsia="宋体" w:hAnsi="宋体" w:hint="eastAsia"/>
                <w:b/>
                <w:bCs/>
                <w:sz w:val="28"/>
                <w:szCs w:val="28"/>
              </w:rPr>
              <w:t>问：公司怎么看《稀土开采和稀土冶炼分离总量调控管理办法（暂行）（公开征求意见稿）》中将冶炼分离产能也纳入管控？</w:t>
            </w:r>
          </w:p>
          <w:p w:rsidR="0067126D" w:rsidRDefault="003B1382">
            <w:pPr>
              <w:spacing w:line="500" w:lineRule="exact"/>
              <w:ind w:firstLineChars="200" w:firstLine="560"/>
              <w:rPr>
                <w:rFonts w:ascii="宋体" w:eastAsia="宋体" w:hAnsi="宋体"/>
                <w:bCs/>
                <w:sz w:val="28"/>
                <w:szCs w:val="28"/>
              </w:rPr>
            </w:pPr>
            <w:r>
              <w:rPr>
                <w:rFonts w:ascii="宋体" w:eastAsia="宋体" w:hAnsi="宋体" w:hint="eastAsia"/>
                <w:bCs/>
                <w:sz w:val="28"/>
                <w:szCs w:val="28"/>
              </w:rPr>
              <w:t>答：2023年11月，国务院常务会议研究推动稀土产业的高质量发展有关工作，会议指出，稀土是战略性矿产资源，要严厉打击非法开采、破坏生态等行为，着力推动稀土产业高端化、智能化、绿色化发展。2024年10月，国务院颁布了《稀土管理条例》，条例第十一条规定稀土综合利用企业不得以稀土矿产品为原料从事生产活动。2025年2月份工业和信息化部又补充发布了条例配套的管理细则《稀土开采和稀土冶炼分离总量调控管理办法（暂行）（公开征求意见稿）》及《稀土产品信息追溯管理办法（暂行）（公开征求意</w:t>
            </w:r>
            <w:r>
              <w:rPr>
                <w:rFonts w:ascii="宋体" w:eastAsia="宋体" w:hAnsi="宋体" w:hint="eastAsia"/>
                <w:bCs/>
                <w:sz w:val="28"/>
                <w:szCs w:val="28"/>
              </w:rPr>
              <w:lastRenderedPageBreak/>
              <w:t>见稿）》，规定稀土管理坚持保护资源与开发利用并重，遵循统筹规划、保障安全、科技创新、绿色发展的原则。这意味着任何组织和个人都不得</w:t>
            </w:r>
            <w:proofErr w:type="gramStart"/>
            <w:r>
              <w:rPr>
                <w:rFonts w:ascii="宋体" w:eastAsia="宋体" w:hAnsi="宋体" w:hint="eastAsia"/>
                <w:bCs/>
                <w:sz w:val="28"/>
                <w:szCs w:val="28"/>
              </w:rPr>
              <w:t>无指标</w:t>
            </w:r>
            <w:proofErr w:type="gramEnd"/>
            <w:r>
              <w:rPr>
                <w:rFonts w:ascii="宋体" w:eastAsia="宋体" w:hAnsi="宋体" w:hint="eastAsia"/>
                <w:bCs/>
                <w:sz w:val="28"/>
                <w:szCs w:val="28"/>
              </w:rPr>
              <w:t>进行稀土矿的生产，这一规定有效打击了稀土滥挖滥采和黑稀土，响应了国务院常务会议推动稀土产业高质量发展的要求。</w:t>
            </w:r>
          </w:p>
          <w:p w:rsidR="0067126D" w:rsidRDefault="003B1382">
            <w:pPr>
              <w:spacing w:line="500" w:lineRule="exact"/>
              <w:ind w:firstLineChars="200" w:firstLine="562"/>
              <w:rPr>
                <w:rFonts w:ascii="宋体" w:eastAsia="宋体" w:hAnsi="宋体"/>
                <w:b/>
                <w:bCs/>
                <w:sz w:val="28"/>
                <w:szCs w:val="28"/>
              </w:rPr>
            </w:pPr>
            <w:r>
              <w:rPr>
                <w:rFonts w:ascii="宋体" w:eastAsia="宋体" w:hAnsi="宋体" w:hint="eastAsia"/>
                <w:b/>
                <w:bCs/>
                <w:sz w:val="28"/>
                <w:szCs w:val="28"/>
              </w:rPr>
              <w:t>问：公司怎么看待稀土产品国内外价差的变化？下游需求恢复对稀土产品价格的拉动情况？</w:t>
            </w:r>
          </w:p>
          <w:p w:rsidR="0067126D" w:rsidRDefault="003B1382">
            <w:pPr>
              <w:spacing w:line="500" w:lineRule="exact"/>
              <w:ind w:firstLineChars="200" w:firstLine="560"/>
              <w:rPr>
                <w:rFonts w:ascii="宋体" w:eastAsia="宋体" w:hAnsi="宋体"/>
                <w:bCs/>
                <w:sz w:val="28"/>
                <w:szCs w:val="28"/>
              </w:rPr>
            </w:pPr>
            <w:r>
              <w:rPr>
                <w:rFonts w:ascii="宋体" w:eastAsia="宋体" w:hAnsi="宋体" w:hint="eastAsia"/>
                <w:bCs/>
                <w:sz w:val="28"/>
                <w:szCs w:val="28"/>
              </w:rPr>
              <w:t>答：</w:t>
            </w:r>
            <w:r w:rsidR="00262BBD" w:rsidRPr="00262BBD">
              <w:rPr>
                <w:rFonts w:ascii="宋体" w:eastAsia="宋体" w:hAnsi="宋体" w:hint="eastAsia"/>
                <w:bCs/>
                <w:sz w:val="28"/>
                <w:szCs w:val="28"/>
              </w:rPr>
              <w:t>产品价格主要是受供需关系影响。一季度以来，受上游原料供应收紧及下游消费刺激等政策影响，稀土市场整体活跃度好于上年同期，进入4-5月后，受国际环境影响稀土价格出现短暂回落，近期因稀土市场活跃度提升，及国外企业以成本加成定价法形成的高价格影响市场预期，稀土行业的受关注程度也随之上涨，主流产品价格震荡上行，成交量扩大，下游需求陆续恢复建立供需新平衡。公司认为未来稀土价格受供需影响，预期也会产生作用，目前以</w:t>
            </w:r>
            <w:proofErr w:type="gramStart"/>
            <w:r w:rsidR="00262BBD" w:rsidRPr="00262BBD">
              <w:rPr>
                <w:rFonts w:ascii="宋体" w:eastAsia="宋体" w:hAnsi="宋体" w:hint="eastAsia"/>
                <w:bCs/>
                <w:sz w:val="28"/>
                <w:szCs w:val="28"/>
              </w:rPr>
              <w:t>镨</w:t>
            </w:r>
            <w:proofErr w:type="gramEnd"/>
            <w:r w:rsidR="00262BBD" w:rsidRPr="00262BBD">
              <w:rPr>
                <w:rFonts w:ascii="宋体" w:eastAsia="宋体" w:hAnsi="宋体" w:hint="eastAsia"/>
                <w:bCs/>
                <w:sz w:val="28"/>
                <w:szCs w:val="28"/>
              </w:rPr>
              <w:t>钕</w:t>
            </w:r>
            <w:proofErr w:type="gramStart"/>
            <w:r w:rsidR="00262BBD" w:rsidRPr="00262BBD">
              <w:rPr>
                <w:rFonts w:ascii="宋体" w:eastAsia="宋体" w:hAnsi="宋体" w:hint="eastAsia"/>
                <w:bCs/>
                <w:sz w:val="28"/>
                <w:szCs w:val="28"/>
              </w:rPr>
              <w:t>镧铈</w:t>
            </w:r>
            <w:proofErr w:type="gramEnd"/>
            <w:r w:rsidR="00262BBD" w:rsidRPr="00262BBD">
              <w:rPr>
                <w:rFonts w:ascii="宋体" w:eastAsia="宋体" w:hAnsi="宋体" w:hint="eastAsia"/>
                <w:bCs/>
                <w:sz w:val="28"/>
                <w:szCs w:val="28"/>
              </w:rPr>
              <w:t>为主的稀土产品价格较去年同期均有不同程度的涨幅。</w:t>
            </w:r>
          </w:p>
          <w:p w:rsidR="0067126D" w:rsidRDefault="003B1382">
            <w:pPr>
              <w:spacing w:line="500" w:lineRule="exact"/>
              <w:ind w:firstLineChars="200" w:firstLine="562"/>
              <w:rPr>
                <w:rFonts w:ascii="宋体" w:eastAsia="宋体" w:hAnsi="宋体"/>
                <w:b/>
                <w:bCs/>
                <w:sz w:val="28"/>
                <w:szCs w:val="28"/>
              </w:rPr>
            </w:pPr>
            <w:r>
              <w:rPr>
                <w:rFonts w:ascii="宋体" w:eastAsia="宋体" w:hAnsi="宋体" w:hint="eastAsia"/>
                <w:b/>
                <w:bCs/>
                <w:sz w:val="28"/>
                <w:szCs w:val="28"/>
              </w:rPr>
              <w:t>问：公司对于整合两大稀土集团以外的冶炼分离资产有何考虑？</w:t>
            </w:r>
          </w:p>
          <w:p w:rsidR="0067126D" w:rsidRDefault="003B1382">
            <w:pPr>
              <w:spacing w:line="500" w:lineRule="exact"/>
              <w:ind w:firstLineChars="200" w:firstLine="560"/>
              <w:rPr>
                <w:rFonts w:ascii="宋体" w:eastAsia="宋体" w:hAnsi="宋体"/>
                <w:bCs/>
                <w:sz w:val="28"/>
                <w:szCs w:val="28"/>
              </w:rPr>
            </w:pPr>
            <w:r>
              <w:rPr>
                <w:rFonts w:ascii="宋体" w:eastAsia="宋体" w:hAnsi="宋体" w:hint="eastAsia"/>
                <w:bCs/>
                <w:sz w:val="28"/>
                <w:szCs w:val="28"/>
              </w:rPr>
              <w:t>答：《稀土管理条例》实施以来，国家一直在收紧对上游冶炼分离、废料回收、境外资源的管控。未来，公司将进一步加强对冶炼分离企业整合，增强存续企业的竞争力，推动整个行业的可持续高质量发展。</w:t>
            </w:r>
          </w:p>
          <w:p w:rsidR="0067126D" w:rsidRDefault="003B1382">
            <w:pPr>
              <w:spacing w:line="500" w:lineRule="exact"/>
              <w:ind w:firstLineChars="200" w:firstLine="562"/>
              <w:rPr>
                <w:rFonts w:ascii="宋体" w:eastAsia="宋体" w:hAnsi="宋体"/>
                <w:b/>
                <w:bCs/>
                <w:sz w:val="28"/>
                <w:szCs w:val="28"/>
              </w:rPr>
            </w:pPr>
            <w:r>
              <w:rPr>
                <w:rFonts w:ascii="宋体" w:eastAsia="宋体" w:hAnsi="宋体" w:hint="eastAsia"/>
                <w:b/>
                <w:bCs/>
                <w:sz w:val="28"/>
                <w:szCs w:val="28"/>
              </w:rPr>
              <w:t>问：国外从事稀土生产企业与我国稀土冶炼分离企业在成本和技术上的差距如何？</w:t>
            </w:r>
          </w:p>
          <w:p w:rsidR="0067126D" w:rsidRDefault="003B1382">
            <w:pPr>
              <w:spacing w:line="500" w:lineRule="exact"/>
              <w:ind w:firstLineChars="200" w:firstLine="560"/>
              <w:rPr>
                <w:rFonts w:ascii="宋体" w:eastAsia="宋体" w:hAnsi="宋体"/>
                <w:bCs/>
                <w:sz w:val="28"/>
                <w:szCs w:val="28"/>
              </w:rPr>
            </w:pPr>
            <w:r>
              <w:rPr>
                <w:rFonts w:ascii="宋体" w:eastAsia="宋体" w:hAnsi="宋体" w:hint="eastAsia"/>
                <w:bCs/>
                <w:sz w:val="28"/>
                <w:szCs w:val="28"/>
              </w:rPr>
              <w:lastRenderedPageBreak/>
              <w:t>答：</w:t>
            </w:r>
            <w:r w:rsidR="0014455E" w:rsidRPr="0014455E">
              <w:rPr>
                <w:rFonts w:ascii="宋体" w:eastAsia="宋体" w:hAnsi="宋体" w:hint="eastAsia"/>
                <w:bCs/>
                <w:sz w:val="28"/>
                <w:szCs w:val="28"/>
              </w:rPr>
              <w:t>我国稀土冶炼分离企业在全球处于显著的领先地位，主要体现在以下方面：一是资源储量丰富，我国是全球稀土资源最丰富的国家，约占全球总储量的40%；二是加工技术先进，我国在稀土冶炼分离等加工技术方面目前处于世界领先地位，稀土冶炼分离产能约占全球90%以上，具有明显的技术优势和规模优势，尤其是公司有着六十多年的技术积淀，三代人的持续改进使生产工艺更加优化。国家商务部、科技部于2023年12月21日公布《中国禁止出口限制出口技术目录》，将稀土的提炼、加工、利用技术列为禁止出口技术；三是产业链完整，我国稀土产业链覆盖开采、选矿、冶炼分离、深加工及终端应用等环节，稀土永磁材料为节能</w:t>
            </w:r>
            <w:proofErr w:type="gramStart"/>
            <w:r w:rsidR="0014455E" w:rsidRPr="0014455E">
              <w:rPr>
                <w:rFonts w:ascii="宋体" w:eastAsia="宋体" w:hAnsi="宋体" w:hint="eastAsia"/>
                <w:bCs/>
                <w:sz w:val="28"/>
                <w:szCs w:val="28"/>
              </w:rPr>
              <w:t>降碳提供</w:t>
            </w:r>
            <w:proofErr w:type="gramEnd"/>
            <w:r w:rsidR="0014455E" w:rsidRPr="0014455E">
              <w:rPr>
                <w:rFonts w:ascii="宋体" w:eastAsia="宋体" w:hAnsi="宋体" w:hint="eastAsia"/>
                <w:bCs/>
                <w:sz w:val="28"/>
                <w:szCs w:val="28"/>
              </w:rPr>
              <w:t>了绿色选择；四是应用广泛，我国不仅是稀土供应国，更是重要的稀土消费国，国内的稀土产品广泛应用于新能源汽车、绿色风电、消费电子、机器人、军工、医疗等众多领域，为我国稀土产业的发展提供了重要支撑。</w:t>
            </w:r>
            <w:bookmarkStart w:id="0" w:name="_GoBack"/>
            <w:bookmarkEnd w:id="0"/>
          </w:p>
        </w:tc>
      </w:tr>
      <w:tr w:rsidR="0067126D">
        <w:trPr>
          <w:trHeight w:val="570"/>
          <w:jc w:val="center"/>
        </w:trPr>
        <w:tc>
          <w:tcPr>
            <w:tcW w:w="2122" w:type="dxa"/>
            <w:vAlign w:val="center"/>
          </w:tcPr>
          <w:p w:rsidR="0067126D" w:rsidRDefault="003B1382">
            <w:pPr>
              <w:spacing w:line="400" w:lineRule="exact"/>
              <w:jc w:val="center"/>
              <w:rPr>
                <w:rFonts w:ascii="宋体" w:eastAsia="宋体" w:hAnsi="宋体"/>
                <w:sz w:val="28"/>
                <w:szCs w:val="28"/>
              </w:rPr>
            </w:pPr>
            <w:r>
              <w:rPr>
                <w:rFonts w:ascii="宋体" w:eastAsia="宋体" w:hAnsi="宋体" w:hint="eastAsia"/>
                <w:sz w:val="28"/>
                <w:szCs w:val="28"/>
              </w:rPr>
              <w:lastRenderedPageBreak/>
              <w:t>附件清单</w:t>
            </w:r>
          </w:p>
        </w:tc>
        <w:tc>
          <w:tcPr>
            <w:tcW w:w="6667" w:type="dxa"/>
            <w:vAlign w:val="center"/>
          </w:tcPr>
          <w:p w:rsidR="0067126D" w:rsidRDefault="003B1382">
            <w:pPr>
              <w:spacing w:line="400" w:lineRule="exact"/>
              <w:rPr>
                <w:rFonts w:ascii="宋体" w:eastAsia="宋体" w:hAnsi="宋体"/>
                <w:sz w:val="28"/>
                <w:szCs w:val="28"/>
              </w:rPr>
            </w:pPr>
            <w:r>
              <w:rPr>
                <w:rFonts w:ascii="宋体" w:eastAsia="宋体" w:hAnsi="宋体" w:hint="eastAsia"/>
                <w:sz w:val="28"/>
                <w:szCs w:val="28"/>
              </w:rPr>
              <w:t>无</w:t>
            </w:r>
          </w:p>
        </w:tc>
      </w:tr>
      <w:tr w:rsidR="0067126D">
        <w:trPr>
          <w:jc w:val="center"/>
        </w:trPr>
        <w:tc>
          <w:tcPr>
            <w:tcW w:w="8789" w:type="dxa"/>
            <w:gridSpan w:val="2"/>
            <w:vAlign w:val="center"/>
          </w:tcPr>
          <w:p w:rsidR="0067126D" w:rsidRDefault="003B1382">
            <w:pPr>
              <w:spacing w:line="500" w:lineRule="exact"/>
              <w:rPr>
                <w:rFonts w:ascii="宋体" w:eastAsia="宋体" w:hAnsi="宋体"/>
                <w:sz w:val="28"/>
                <w:szCs w:val="28"/>
              </w:rPr>
            </w:pPr>
            <w:r>
              <w:rPr>
                <w:rFonts w:ascii="宋体" w:eastAsia="宋体" w:hAnsi="宋体" w:hint="eastAsia"/>
                <w:sz w:val="28"/>
                <w:szCs w:val="28"/>
              </w:rPr>
              <w:t>注：公司严格遵守信息披露法律法规与投资者交流，如涉及公司战略规划等意向性目标，</w:t>
            </w:r>
            <w:proofErr w:type="gramStart"/>
            <w:r>
              <w:rPr>
                <w:rFonts w:ascii="宋体" w:eastAsia="宋体" w:hAnsi="宋体" w:hint="eastAsia"/>
                <w:sz w:val="28"/>
                <w:szCs w:val="28"/>
              </w:rPr>
              <w:t>不</w:t>
            </w:r>
            <w:proofErr w:type="gramEnd"/>
            <w:r>
              <w:rPr>
                <w:rFonts w:ascii="宋体" w:eastAsia="宋体" w:hAnsi="宋体" w:hint="eastAsia"/>
                <w:sz w:val="28"/>
                <w:szCs w:val="28"/>
              </w:rPr>
              <w:t>视为公司或管理层对公司业绩的保证或承诺，敬请广大投资者注意投资风险。</w:t>
            </w:r>
          </w:p>
        </w:tc>
      </w:tr>
    </w:tbl>
    <w:p w:rsidR="0067126D" w:rsidRDefault="0067126D">
      <w:pPr>
        <w:spacing w:line="20" w:lineRule="exact"/>
        <w:rPr>
          <w:rFonts w:ascii="宋体" w:eastAsia="宋体" w:hAnsi="宋体"/>
          <w:sz w:val="24"/>
        </w:rPr>
      </w:pPr>
    </w:p>
    <w:sectPr w:rsidR="0067126D">
      <w:headerReference w:type="default" r:id="rId6"/>
      <w:footerReference w:type="default" r:id="rId7"/>
      <w:pgSz w:w="11906" w:h="16838"/>
      <w:pgMar w:top="1440" w:right="1800" w:bottom="1440" w:left="1800" w:header="680" w:footer="992" w:gutter="0"/>
      <w:cols w:space="425"/>
      <w:docGrid w:type="lines" w:linePitch="4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126D" w:rsidRDefault="003B1382">
      <w:pPr>
        <w:spacing w:line="240" w:lineRule="auto"/>
      </w:pPr>
      <w:r>
        <w:separator/>
      </w:r>
    </w:p>
  </w:endnote>
  <w:endnote w:type="continuationSeparator" w:id="0">
    <w:p w:rsidR="0067126D" w:rsidRDefault="003B138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微软雅黑">
    <w:panose1 w:val="020B0503020204020204"/>
    <w:charset w:val="86"/>
    <w:family w:val="swiss"/>
    <w:pitch w:val="variable"/>
    <w:sig w:usb0="80000287" w:usb1="2ACF3C50" w:usb2="00000016" w:usb3="00000000" w:csb0="0004001F" w:csb1="00000000"/>
  </w:font>
  <w:font w:name="MS Gothic">
    <w:altName w:val="ＭＳ ゴシック"/>
    <w:panose1 w:val="020B0609070205080204"/>
    <w:charset w:val="80"/>
    <w:family w:val="modern"/>
    <w:pitch w:val="fixed"/>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90574822"/>
    </w:sdtPr>
    <w:sdtEndPr>
      <w:rPr>
        <w:rFonts w:ascii="宋体" w:eastAsia="宋体" w:hAnsi="宋体"/>
        <w:sz w:val="28"/>
        <w:szCs w:val="28"/>
      </w:rPr>
    </w:sdtEndPr>
    <w:sdtContent>
      <w:p w:rsidR="0067126D" w:rsidRDefault="003B1382">
        <w:pPr>
          <w:pStyle w:val="a5"/>
          <w:jc w:val="center"/>
          <w:rPr>
            <w:rFonts w:ascii="宋体" w:eastAsia="宋体" w:hAnsi="宋体"/>
            <w:sz w:val="28"/>
            <w:szCs w:val="28"/>
          </w:rPr>
        </w:pP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sidR="0014455E" w:rsidRPr="0014455E">
          <w:rPr>
            <w:rFonts w:ascii="宋体" w:eastAsia="宋体" w:hAnsi="宋体"/>
            <w:noProof/>
            <w:sz w:val="28"/>
            <w:szCs w:val="28"/>
            <w:lang w:val="zh-CN"/>
          </w:rPr>
          <w:t>4</w:t>
        </w:r>
        <w:r>
          <w:rPr>
            <w:rFonts w:ascii="宋体" w:eastAsia="宋体" w:hAnsi="宋体"/>
            <w:sz w:val="28"/>
            <w:szCs w:val="2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126D" w:rsidRDefault="003B1382">
      <w:pPr>
        <w:spacing w:line="240" w:lineRule="auto"/>
      </w:pPr>
      <w:r>
        <w:separator/>
      </w:r>
    </w:p>
  </w:footnote>
  <w:footnote w:type="continuationSeparator" w:id="0">
    <w:p w:rsidR="0067126D" w:rsidRDefault="003B1382">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126D" w:rsidRDefault="003B1382">
    <w:pPr>
      <w:rPr>
        <w:rFonts w:ascii="宋体" w:eastAsia="宋体" w:hAnsi="宋体"/>
        <w:sz w:val="21"/>
        <w:szCs w:val="21"/>
        <w:u w:val="single"/>
      </w:rPr>
    </w:pPr>
    <w:r>
      <w:rPr>
        <w:rFonts w:ascii="宋体" w:eastAsia="宋体" w:hAnsi="宋体" w:hint="eastAsia"/>
        <w:sz w:val="21"/>
        <w:szCs w:val="21"/>
        <w:u w:val="single"/>
      </w:rPr>
      <w:t>证券代码：6</w:t>
    </w:r>
    <w:r>
      <w:rPr>
        <w:rFonts w:ascii="宋体" w:eastAsia="宋体" w:hAnsi="宋体"/>
        <w:sz w:val="21"/>
        <w:szCs w:val="21"/>
        <w:u w:val="single"/>
      </w:rPr>
      <w:t xml:space="preserve">00111                                             </w:t>
    </w:r>
    <w:r>
      <w:rPr>
        <w:rFonts w:ascii="宋体" w:eastAsia="宋体" w:hAnsi="宋体" w:hint="eastAsia"/>
        <w:sz w:val="21"/>
        <w:szCs w:val="21"/>
        <w:u w:val="single"/>
      </w:rPr>
      <w:t>证券简称：北方稀土</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proofState w:spelling="clean" w:grammar="clean"/>
  <w:defaultTabStop w:val="420"/>
  <w:drawingGridHorizontalSpacing w:val="160"/>
  <w:drawingGridVerticalSpacing w:val="4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VhMWU3OTQ1MzFjMDUwMTY1ZjNjNTM5NWFhODc5NDMifQ=="/>
  </w:docVars>
  <w:rsids>
    <w:rsidRoot w:val="00C441BB"/>
    <w:rsid w:val="00002450"/>
    <w:rsid w:val="00003ACB"/>
    <w:rsid w:val="00003E6D"/>
    <w:rsid w:val="000063B6"/>
    <w:rsid w:val="0000669A"/>
    <w:rsid w:val="00007F1B"/>
    <w:rsid w:val="0001045D"/>
    <w:rsid w:val="000128CB"/>
    <w:rsid w:val="000147D4"/>
    <w:rsid w:val="000169C8"/>
    <w:rsid w:val="000206A8"/>
    <w:rsid w:val="00021068"/>
    <w:rsid w:val="00021239"/>
    <w:rsid w:val="00022896"/>
    <w:rsid w:val="00022AA2"/>
    <w:rsid w:val="00023713"/>
    <w:rsid w:val="00025480"/>
    <w:rsid w:val="0003014A"/>
    <w:rsid w:val="00031806"/>
    <w:rsid w:val="00032F0D"/>
    <w:rsid w:val="000346FE"/>
    <w:rsid w:val="00036037"/>
    <w:rsid w:val="00036970"/>
    <w:rsid w:val="00037106"/>
    <w:rsid w:val="000377E4"/>
    <w:rsid w:val="00037B97"/>
    <w:rsid w:val="00042AFC"/>
    <w:rsid w:val="00044341"/>
    <w:rsid w:val="00044BE2"/>
    <w:rsid w:val="00046FE4"/>
    <w:rsid w:val="000477F1"/>
    <w:rsid w:val="0005078F"/>
    <w:rsid w:val="00050A51"/>
    <w:rsid w:val="0005145E"/>
    <w:rsid w:val="0005230D"/>
    <w:rsid w:val="00053D25"/>
    <w:rsid w:val="00056687"/>
    <w:rsid w:val="00057226"/>
    <w:rsid w:val="00060C58"/>
    <w:rsid w:val="0006189F"/>
    <w:rsid w:val="000625FA"/>
    <w:rsid w:val="00063B3A"/>
    <w:rsid w:val="00063F99"/>
    <w:rsid w:val="0006422C"/>
    <w:rsid w:val="00071B8F"/>
    <w:rsid w:val="00071E74"/>
    <w:rsid w:val="00074CD4"/>
    <w:rsid w:val="000758DB"/>
    <w:rsid w:val="00076053"/>
    <w:rsid w:val="00081740"/>
    <w:rsid w:val="00083FBE"/>
    <w:rsid w:val="000852E1"/>
    <w:rsid w:val="00086DB4"/>
    <w:rsid w:val="00090A30"/>
    <w:rsid w:val="0009116C"/>
    <w:rsid w:val="00093D21"/>
    <w:rsid w:val="00097DD2"/>
    <w:rsid w:val="000A1F09"/>
    <w:rsid w:val="000A2861"/>
    <w:rsid w:val="000A61BB"/>
    <w:rsid w:val="000A73E5"/>
    <w:rsid w:val="000B0092"/>
    <w:rsid w:val="000B2BB0"/>
    <w:rsid w:val="000B33AD"/>
    <w:rsid w:val="000B6151"/>
    <w:rsid w:val="000B7040"/>
    <w:rsid w:val="000C5F6A"/>
    <w:rsid w:val="000C6531"/>
    <w:rsid w:val="000E1D6C"/>
    <w:rsid w:val="000E32B8"/>
    <w:rsid w:val="000E44B4"/>
    <w:rsid w:val="000E50BA"/>
    <w:rsid w:val="000E5F9C"/>
    <w:rsid w:val="000E6FD6"/>
    <w:rsid w:val="000F1359"/>
    <w:rsid w:val="000F1A97"/>
    <w:rsid w:val="000F2C46"/>
    <w:rsid w:val="000F3E74"/>
    <w:rsid w:val="000F4902"/>
    <w:rsid w:val="000F5228"/>
    <w:rsid w:val="000F614D"/>
    <w:rsid w:val="000F661E"/>
    <w:rsid w:val="00101D02"/>
    <w:rsid w:val="001046AB"/>
    <w:rsid w:val="00106B7D"/>
    <w:rsid w:val="001102BE"/>
    <w:rsid w:val="0011160F"/>
    <w:rsid w:val="00113461"/>
    <w:rsid w:val="00113C31"/>
    <w:rsid w:val="00113CD4"/>
    <w:rsid w:val="0011424D"/>
    <w:rsid w:val="001153EB"/>
    <w:rsid w:val="00116915"/>
    <w:rsid w:val="0012052A"/>
    <w:rsid w:val="00121EED"/>
    <w:rsid w:val="00122FF4"/>
    <w:rsid w:val="00123B39"/>
    <w:rsid w:val="00126B7D"/>
    <w:rsid w:val="00126E88"/>
    <w:rsid w:val="001313BB"/>
    <w:rsid w:val="0013160A"/>
    <w:rsid w:val="001338C4"/>
    <w:rsid w:val="001341B6"/>
    <w:rsid w:val="00136CC0"/>
    <w:rsid w:val="00141204"/>
    <w:rsid w:val="001427C6"/>
    <w:rsid w:val="00144222"/>
    <w:rsid w:val="0014455E"/>
    <w:rsid w:val="0014515E"/>
    <w:rsid w:val="00146F4C"/>
    <w:rsid w:val="001504BF"/>
    <w:rsid w:val="00151C65"/>
    <w:rsid w:val="00152480"/>
    <w:rsid w:val="00156292"/>
    <w:rsid w:val="00156419"/>
    <w:rsid w:val="00157890"/>
    <w:rsid w:val="00163B5B"/>
    <w:rsid w:val="00166472"/>
    <w:rsid w:val="001673A3"/>
    <w:rsid w:val="00170FDB"/>
    <w:rsid w:val="00171EED"/>
    <w:rsid w:val="00175D2A"/>
    <w:rsid w:val="00176D09"/>
    <w:rsid w:val="00177558"/>
    <w:rsid w:val="00182443"/>
    <w:rsid w:val="001825B5"/>
    <w:rsid w:val="001825F5"/>
    <w:rsid w:val="00183363"/>
    <w:rsid w:val="00183849"/>
    <w:rsid w:val="001840C5"/>
    <w:rsid w:val="00184568"/>
    <w:rsid w:val="00185687"/>
    <w:rsid w:val="001863DF"/>
    <w:rsid w:val="00186C01"/>
    <w:rsid w:val="00187C3E"/>
    <w:rsid w:val="001906AE"/>
    <w:rsid w:val="001908FC"/>
    <w:rsid w:val="00195F8E"/>
    <w:rsid w:val="001971CC"/>
    <w:rsid w:val="001A0AC0"/>
    <w:rsid w:val="001A2CB6"/>
    <w:rsid w:val="001A7BAA"/>
    <w:rsid w:val="001B0864"/>
    <w:rsid w:val="001B12EC"/>
    <w:rsid w:val="001B290A"/>
    <w:rsid w:val="001B4C07"/>
    <w:rsid w:val="001B66C0"/>
    <w:rsid w:val="001B6861"/>
    <w:rsid w:val="001B7CBC"/>
    <w:rsid w:val="001C02D2"/>
    <w:rsid w:val="001C0F9B"/>
    <w:rsid w:val="001C29FD"/>
    <w:rsid w:val="001C2B1A"/>
    <w:rsid w:val="001C2EB1"/>
    <w:rsid w:val="001C3079"/>
    <w:rsid w:val="001C3895"/>
    <w:rsid w:val="001C4798"/>
    <w:rsid w:val="001C5AC8"/>
    <w:rsid w:val="001C62BF"/>
    <w:rsid w:val="001C707B"/>
    <w:rsid w:val="001D0954"/>
    <w:rsid w:val="001D1842"/>
    <w:rsid w:val="001D2ACE"/>
    <w:rsid w:val="001D4005"/>
    <w:rsid w:val="001D46B8"/>
    <w:rsid w:val="001D4AD2"/>
    <w:rsid w:val="001D5485"/>
    <w:rsid w:val="001D6150"/>
    <w:rsid w:val="001D6699"/>
    <w:rsid w:val="001D67BD"/>
    <w:rsid w:val="001D78E1"/>
    <w:rsid w:val="001E057B"/>
    <w:rsid w:val="001E0D71"/>
    <w:rsid w:val="001E0E7B"/>
    <w:rsid w:val="001E3120"/>
    <w:rsid w:val="001E4E65"/>
    <w:rsid w:val="001E5885"/>
    <w:rsid w:val="001E68CD"/>
    <w:rsid w:val="001F0527"/>
    <w:rsid w:val="001F0E0F"/>
    <w:rsid w:val="001F298E"/>
    <w:rsid w:val="001F5804"/>
    <w:rsid w:val="001F5AD1"/>
    <w:rsid w:val="001F60ED"/>
    <w:rsid w:val="001F67CD"/>
    <w:rsid w:val="001F7B24"/>
    <w:rsid w:val="00202F7A"/>
    <w:rsid w:val="0020439B"/>
    <w:rsid w:val="00204ED6"/>
    <w:rsid w:val="00207DB3"/>
    <w:rsid w:val="00212997"/>
    <w:rsid w:val="00213154"/>
    <w:rsid w:val="0021427D"/>
    <w:rsid w:val="00214817"/>
    <w:rsid w:val="0021517D"/>
    <w:rsid w:val="00217045"/>
    <w:rsid w:val="002200EF"/>
    <w:rsid w:val="00223B7C"/>
    <w:rsid w:val="00225001"/>
    <w:rsid w:val="0022624A"/>
    <w:rsid w:val="002262EF"/>
    <w:rsid w:val="0022730F"/>
    <w:rsid w:val="00227315"/>
    <w:rsid w:val="002311B5"/>
    <w:rsid w:val="00232D7A"/>
    <w:rsid w:val="0023380D"/>
    <w:rsid w:val="00240392"/>
    <w:rsid w:val="002419B9"/>
    <w:rsid w:val="00243658"/>
    <w:rsid w:val="00244F53"/>
    <w:rsid w:val="0024795D"/>
    <w:rsid w:val="00247E4A"/>
    <w:rsid w:val="002518D0"/>
    <w:rsid w:val="002522BE"/>
    <w:rsid w:val="00253EE3"/>
    <w:rsid w:val="00254B71"/>
    <w:rsid w:val="00255068"/>
    <w:rsid w:val="002551CC"/>
    <w:rsid w:val="002558E0"/>
    <w:rsid w:val="0026002A"/>
    <w:rsid w:val="00260421"/>
    <w:rsid w:val="00260CA3"/>
    <w:rsid w:val="002610C3"/>
    <w:rsid w:val="00262BBD"/>
    <w:rsid w:val="00262FC4"/>
    <w:rsid w:val="0026320B"/>
    <w:rsid w:val="0026334F"/>
    <w:rsid w:val="00264CEC"/>
    <w:rsid w:val="00265505"/>
    <w:rsid w:val="00265530"/>
    <w:rsid w:val="00266A82"/>
    <w:rsid w:val="002701EC"/>
    <w:rsid w:val="002709B5"/>
    <w:rsid w:val="00270CEA"/>
    <w:rsid w:val="0027101E"/>
    <w:rsid w:val="00271400"/>
    <w:rsid w:val="00271649"/>
    <w:rsid w:val="002731CE"/>
    <w:rsid w:val="00277333"/>
    <w:rsid w:val="00280B28"/>
    <w:rsid w:val="00281DF7"/>
    <w:rsid w:val="00282AFC"/>
    <w:rsid w:val="002835C4"/>
    <w:rsid w:val="00286F9C"/>
    <w:rsid w:val="0029084B"/>
    <w:rsid w:val="00290857"/>
    <w:rsid w:val="00290D5B"/>
    <w:rsid w:val="00291D78"/>
    <w:rsid w:val="00292919"/>
    <w:rsid w:val="00292B6E"/>
    <w:rsid w:val="002939FF"/>
    <w:rsid w:val="00294839"/>
    <w:rsid w:val="002A25F7"/>
    <w:rsid w:val="002A3791"/>
    <w:rsid w:val="002A3C87"/>
    <w:rsid w:val="002A7F7E"/>
    <w:rsid w:val="002B08BC"/>
    <w:rsid w:val="002B1D62"/>
    <w:rsid w:val="002B31F8"/>
    <w:rsid w:val="002B4AC1"/>
    <w:rsid w:val="002C12B7"/>
    <w:rsid w:val="002C2015"/>
    <w:rsid w:val="002C2368"/>
    <w:rsid w:val="002C3857"/>
    <w:rsid w:val="002C6D02"/>
    <w:rsid w:val="002D480D"/>
    <w:rsid w:val="002D544A"/>
    <w:rsid w:val="002D680B"/>
    <w:rsid w:val="002E3064"/>
    <w:rsid w:val="002E7BB2"/>
    <w:rsid w:val="002E7FAC"/>
    <w:rsid w:val="002F1F9D"/>
    <w:rsid w:val="002F30C4"/>
    <w:rsid w:val="002F3F48"/>
    <w:rsid w:val="002F52D9"/>
    <w:rsid w:val="002F5B1A"/>
    <w:rsid w:val="0030214B"/>
    <w:rsid w:val="00302674"/>
    <w:rsid w:val="00304076"/>
    <w:rsid w:val="00304270"/>
    <w:rsid w:val="0031597B"/>
    <w:rsid w:val="00316F4B"/>
    <w:rsid w:val="00320500"/>
    <w:rsid w:val="003235F0"/>
    <w:rsid w:val="00323943"/>
    <w:rsid w:val="0032422C"/>
    <w:rsid w:val="0032453A"/>
    <w:rsid w:val="0032799A"/>
    <w:rsid w:val="00327C9B"/>
    <w:rsid w:val="00333A97"/>
    <w:rsid w:val="00333D48"/>
    <w:rsid w:val="00334A60"/>
    <w:rsid w:val="00334C24"/>
    <w:rsid w:val="00336316"/>
    <w:rsid w:val="003366E0"/>
    <w:rsid w:val="0033772A"/>
    <w:rsid w:val="0034086F"/>
    <w:rsid w:val="00341220"/>
    <w:rsid w:val="00342B30"/>
    <w:rsid w:val="00342DDF"/>
    <w:rsid w:val="00345801"/>
    <w:rsid w:val="00350231"/>
    <w:rsid w:val="00352A6C"/>
    <w:rsid w:val="003551FF"/>
    <w:rsid w:val="003559AB"/>
    <w:rsid w:val="00356956"/>
    <w:rsid w:val="003622D8"/>
    <w:rsid w:val="00363D2C"/>
    <w:rsid w:val="00365231"/>
    <w:rsid w:val="00366A8C"/>
    <w:rsid w:val="00371015"/>
    <w:rsid w:val="00371D8C"/>
    <w:rsid w:val="00374494"/>
    <w:rsid w:val="0037480B"/>
    <w:rsid w:val="00380566"/>
    <w:rsid w:val="00381673"/>
    <w:rsid w:val="003816B8"/>
    <w:rsid w:val="00383606"/>
    <w:rsid w:val="0038662D"/>
    <w:rsid w:val="003868FD"/>
    <w:rsid w:val="003879A6"/>
    <w:rsid w:val="003901B9"/>
    <w:rsid w:val="00390401"/>
    <w:rsid w:val="00391B9D"/>
    <w:rsid w:val="0039327B"/>
    <w:rsid w:val="003946E4"/>
    <w:rsid w:val="003951F5"/>
    <w:rsid w:val="003A22B8"/>
    <w:rsid w:val="003A3CEE"/>
    <w:rsid w:val="003A3DA4"/>
    <w:rsid w:val="003A3E79"/>
    <w:rsid w:val="003A4021"/>
    <w:rsid w:val="003A53E1"/>
    <w:rsid w:val="003A727B"/>
    <w:rsid w:val="003A78D4"/>
    <w:rsid w:val="003A7FE9"/>
    <w:rsid w:val="003B1382"/>
    <w:rsid w:val="003B156C"/>
    <w:rsid w:val="003B282B"/>
    <w:rsid w:val="003B2A3F"/>
    <w:rsid w:val="003B4432"/>
    <w:rsid w:val="003B636F"/>
    <w:rsid w:val="003C03E4"/>
    <w:rsid w:val="003C0AD4"/>
    <w:rsid w:val="003C5860"/>
    <w:rsid w:val="003C6162"/>
    <w:rsid w:val="003D152B"/>
    <w:rsid w:val="003D27B8"/>
    <w:rsid w:val="003D6815"/>
    <w:rsid w:val="003D6ABD"/>
    <w:rsid w:val="003E3BA4"/>
    <w:rsid w:val="003E5B76"/>
    <w:rsid w:val="003E6B6D"/>
    <w:rsid w:val="003E71C5"/>
    <w:rsid w:val="003F1A6B"/>
    <w:rsid w:val="003F3F1B"/>
    <w:rsid w:val="003F50B0"/>
    <w:rsid w:val="003F6B3F"/>
    <w:rsid w:val="0040138C"/>
    <w:rsid w:val="004028CD"/>
    <w:rsid w:val="004028F9"/>
    <w:rsid w:val="0040328C"/>
    <w:rsid w:val="00404B14"/>
    <w:rsid w:val="0040741E"/>
    <w:rsid w:val="0041180C"/>
    <w:rsid w:val="00411F6C"/>
    <w:rsid w:val="00411FC5"/>
    <w:rsid w:val="00412AF1"/>
    <w:rsid w:val="00415B67"/>
    <w:rsid w:val="004210AC"/>
    <w:rsid w:val="004224F3"/>
    <w:rsid w:val="00422A2F"/>
    <w:rsid w:val="00423223"/>
    <w:rsid w:val="00427BBC"/>
    <w:rsid w:val="004330FC"/>
    <w:rsid w:val="0043342A"/>
    <w:rsid w:val="00434C89"/>
    <w:rsid w:val="00435337"/>
    <w:rsid w:val="004366FF"/>
    <w:rsid w:val="00442140"/>
    <w:rsid w:val="00442CC2"/>
    <w:rsid w:val="00442E50"/>
    <w:rsid w:val="004454FF"/>
    <w:rsid w:val="0044560C"/>
    <w:rsid w:val="0044689C"/>
    <w:rsid w:val="00453A54"/>
    <w:rsid w:val="00453D05"/>
    <w:rsid w:val="0045443E"/>
    <w:rsid w:val="00454B50"/>
    <w:rsid w:val="004558AA"/>
    <w:rsid w:val="00456F33"/>
    <w:rsid w:val="004570E6"/>
    <w:rsid w:val="00460FCF"/>
    <w:rsid w:val="00461F71"/>
    <w:rsid w:val="00462770"/>
    <w:rsid w:val="00462A9A"/>
    <w:rsid w:val="004733E6"/>
    <w:rsid w:val="00476690"/>
    <w:rsid w:val="004808F4"/>
    <w:rsid w:val="00481A0C"/>
    <w:rsid w:val="00482245"/>
    <w:rsid w:val="004843A1"/>
    <w:rsid w:val="0048683F"/>
    <w:rsid w:val="0048689C"/>
    <w:rsid w:val="00487ECC"/>
    <w:rsid w:val="00491B4D"/>
    <w:rsid w:val="00491DEC"/>
    <w:rsid w:val="00492ED8"/>
    <w:rsid w:val="00494908"/>
    <w:rsid w:val="00494A7B"/>
    <w:rsid w:val="004960CB"/>
    <w:rsid w:val="004A1D7D"/>
    <w:rsid w:val="004A3636"/>
    <w:rsid w:val="004A56EA"/>
    <w:rsid w:val="004B184C"/>
    <w:rsid w:val="004B35E3"/>
    <w:rsid w:val="004B7768"/>
    <w:rsid w:val="004B7E61"/>
    <w:rsid w:val="004C0947"/>
    <w:rsid w:val="004C3192"/>
    <w:rsid w:val="004C5EA4"/>
    <w:rsid w:val="004C658D"/>
    <w:rsid w:val="004D19F4"/>
    <w:rsid w:val="004D30AD"/>
    <w:rsid w:val="004E067B"/>
    <w:rsid w:val="004E2748"/>
    <w:rsid w:val="004E4414"/>
    <w:rsid w:val="004E4E8A"/>
    <w:rsid w:val="004E5C85"/>
    <w:rsid w:val="004E6D59"/>
    <w:rsid w:val="004E72FE"/>
    <w:rsid w:val="004F0918"/>
    <w:rsid w:val="004F41D3"/>
    <w:rsid w:val="004F754F"/>
    <w:rsid w:val="004F7C43"/>
    <w:rsid w:val="00501AB4"/>
    <w:rsid w:val="0050299C"/>
    <w:rsid w:val="0050341C"/>
    <w:rsid w:val="005055D2"/>
    <w:rsid w:val="00507CC3"/>
    <w:rsid w:val="00510BDA"/>
    <w:rsid w:val="00511DFF"/>
    <w:rsid w:val="00512630"/>
    <w:rsid w:val="0051602E"/>
    <w:rsid w:val="00516AFE"/>
    <w:rsid w:val="00520872"/>
    <w:rsid w:val="00520E04"/>
    <w:rsid w:val="00523D7B"/>
    <w:rsid w:val="00524DBD"/>
    <w:rsid w:val="00527B20"/>
    <w:rsid w:val="00530281"/>
    <w:rsid w:val="00530347"/>
    <w:rsid w:val="005318DD"/>
    <w:rsid w:val="00531EB8"/>
    <w:rsid w:val="005320F5"/>
    <w:rsid w:val="00532ADD"/>
    <w:rsid w:val="00532B85"/>
    <w:rsid w:val="0053712E"/>
    <w:rsid w:val="0054129D"/>
    <w:rsid w:val="005412F7"/>
    <w:rsid w:val="0054154E"/>
    <w:rsid w:val="00541CCC"/>
    <w:rsid w:val="005421FD"/>
    <w:rsid w:val="00543EB9"/>
    <w:rsid w:val="00544659"/>
    <w:rsid w:val="00547A54"/>
    <w:rsid w:val="005502D8"/>
    <w:rsid w:val="00550A0A"/>
    <w:rsid w:val="005512B7"/>
    <w:rsid w:val="0055663A"/>
    <w:rsid w:val="005566C2"/>
    <w:rsid w:val="00562998"/>
    <w:rsid w:val="00563A90"/>
    <w:rsid w:val="0056549E"/>
    <w:rsid w:val="00567AC3"/>
    <w:rsid w:val="005723F3"/>
    <w:rsid w:val="00573BC3"/>
    <w:rsid w:val="005752DD"/>
    <w:rsid w:val="00580026"/>
    <w:rsid w:val="005803B1"/>
    <w:rsid w:val="005808CB"/>
    <w:rsid w:val="0058626D"/>
    <w:rsid w:val="00586481"/>
    <w:rsid w:val="00590B96"/>
    <w:rsid w:val="00591CF8"/>
    <w:rsid w:val="00592DED"/>
    <w:rsid w:val="00593763"/>
    <w:rsid w:val="00593CE0"/>
    <w:rsid w:val="0059649F"/>
    <w:rsid w:val="00596BFF"/>
    <w:rsid w:val="00596E96"/>
    <w:rsid w:val="005979B1"/>
    <w:rsid w:val="005A0D15"/>
    <w:rsid w:val="005A0E9E"/>
    <w:rsid w:val="005A1ABC"/>
    <w:rsid w:val="005A1EEC"/>
    <w:rsid w:val="005A2650"/>
    <w:rsid w:val="005A3607"/>
    <w:rsid w:val="005A5D76"/>
    <w:rsid w:val="005B34BC"/>
    <w:rsid w:val="005B403E"/>
    <w:rsid w:val="005B5010"/>
    <w:rsid w:val="005B5244"/>
    <w:rsid w:val="005B735C"/>
    <w:rsid w:val="005C0542"/>
    <w:rsid w:val="005C0B3D"/>
    <w:rsid w:val="005C5193"/>
    <w:rsid w:val="005C6863"/>
    <w:rsid w:val="005C720C"/>
    <w:rsid w:val="005D002D"/>
    <w:rsid w:val="005D2726"/>
    <w:rsid w:val="005D3926"/>
    <w:rsid w:val="005D54AC"/>
    <w:rsid w:val="005D7537"/>
    <w:rsid w:val="005E26FB"/>
    <w:rsid w:val="005E3043"/>
    <w:rsid w:val="005E3698"/>
    <w:rsid w:val="005E40F0"/>
    <w:rsid w:val="005E6E0B"/>
    <w:rsid w:val="005F03B2"/>
    <w:rsid w:val="005F180D"/>
    <w:rsid w:val="005F1F0A"/>
    <w:rsid w:val="005F21E1"/>
    <w:rsid w:val="006018B4"/>
    <w:rsid w:val="00604154"/>
    <w:rsid w:val="00607CED"/>
    <w:rsid w:val="00607E3C"/>
    <w:rsid w:val="00610106"/>
    <w:rsid w:val="00612F0D"/>
    <w:rsid w:val="00614392"/>
    <w:rsid w:val="00616322"/>
    <w:rsid w:val="00621EB3"/>
    <w:rsid w:val="00624A9E"/>
    <w:rsid w:val="006255D1"/>
    <w:rsid w:val="00625F24"/>
    <w:rsid w:val="0062638D"/>
    <w:rsid w:val="00626F46"/>
    <w:rsid w:val="00627906"/>
    <w:rsid w:val="0063017D"/>
    <w:rsid w:val="00630B2D"/>
    <w:rsid w:val="00631C05"/>
    <w:rsid w:val="00632C2F"/>
    <w:rsid w:val="006338CF"/>
    <w:rsid w:val="006372B0"/>
    <w:rsid w:val="0063757A"/>
    <w:rsid w:val="0064269B"/>
    <w:rsid w:val="006454F9"/>
    <w:rsid w:val="0064627E"/>
    <w:rsid w:val="006477AC"/>
    <w:rsid w:val="0065140A"/>
    <w:rsid w:val="00651ABE"/>
    <w:rsid w:val="006557EB"/>
    <w:rsid w:val="006563BB"/>
    <w:rsid w:val="00657F4D"/>
    <w:rsid w:val="00662AC1"/>
    <w:rsid w:val="00663895"/>
    <w:rsid w:val="0066468E"/>
    <w:rsid w:val="00665080"/>
    <w:rsid w:val="00665503"/>
    <w:rsid w:val="00667A7A"/>
    <w:rsid w:val="00667D5C"/>
    <w:rsid w:val="006705C7"/>
    <w:rsid w:val="0067126D"/>
    <w:rsid w:val="00671B9B"/>
    <w:rsid w:val="00674DD9"/>
    <w:rsid w:val="00676F9E"/>
    <w:rsid w:val="0067788E"/>
    <w:rsid w:val="006800C5"/>
    <w:rsid w:val="00683CF6"/>
    <w:rsid w:val="00684565"/>
    <w:rsid w:val="00684838"/>
    <w:rsid w:val="0068603C"/>
    <w:rsid w:val="00691222"/>
    <w:rsid w:val="00693BD8"/>
    <w:rsid w:val="006947FA"/>
    <w:rsid w:val="00695BF6"/>
    <w:rsid w:val="006A047A"/>
    <w:rsid w:val="006A0497"/>
    <w:rsid w:val="006A0742"/>
    <w:rsid w:val="006A3F6C"/>
    <w:rsid w:val="006A5DC6"/>
    <w:rsid w:val="006A6D01"/>
    <w:rsid w:val="006A77BF"/>
    <w:rsid w:val="006A7C6D"/>
    <w:rsid w:val="006B1EEB"/>
    <w:rsid w:val="006B27CD"/>
    <w:rsid w:val="006B40BD"/>
    <w:rsid w:val="006B4239"/>
    <w:rsid w:val="006B4889"/>
    <w:rsid w:val="006B546C"/>
    <w:rsid w:val="006C075C"/>
    <w:rsid w:val="006C1C95"/>
    <w:rsid w:val="006C361F"/>
    <w:rsid w:val="006C3906"/>
    <w:rsid w:val="006C51CD"/>
    <w:rsid w:val="006C5DDB"/>
    <w:rsid w:val="006C74EC"/>
    <w:rsid w:val="006D1383"/>
    <w:rsid w:val="006D1A15"/>
    <w:rsid w:val="006D24C1"/>
    <w:rsid w:val="006D2FE0"/>
    <w:rsid w:val="006D673F"/>
    <w:rsid w:val="006E5585"/>
    <w:rsid w:val="006E64D6"/>
    <w:rsid w:val="006E6FAD"/>
    <w:rsid w:val="006E7519"/>
    <w:rsid w:val="006E7CC3"/>
    <w:rsid w:val="006F4E33"/>
    <w:rsid w:val="006F4E85"/>
    <w:rsid w:val="006F5446"/>
    <w:rsid w:val="006F6D39"/>
    <w:rsid w:val="006F7077"/>
    <w:rsid w:val="00703189"/>
    <w:rsid w:val="00703FE7"/>
    <w:rsid w:val="00704108"/>
    <w:rsid w:val="007042DE"/>
    <w:rsid w:val="00704846"/>
    <w:rsid w:val="00704ADA"/>
    <w:rsid w:val="00706BD0"/>
    <w:rsid w:val="00710661"/>
    <w:rsid w:val="00714154"/>
    <w:rsid w:val="007144DA"/>
    <w:rsid w:val="00714B8A"/>
    <w:rsid w:val="00716212"/>
    <w:rsid w:val="00716B08"/>
    <w:rsid w:val="007170C7"/>
    <w:rsid w:val="0071739D"/>
    <w:rsid w:val="007200D4"/>
    <w:rsid w:val="00723732"/>
    <w:rsid w:val="0072416C"/>
    <w:rsid w:val="0072493C"/>
    <w:rsid w:val="00726D70"/>
    <w:rsid w:val="00731D5B"/>
    <w:rsid w:val="007343D8"/>
    <w:rsid w:val="00737ABF"/>
    <w:rsid w:val="00737D1F"/>
    <w:rsid w:val="00740B97"/>
    <w:rsid w:val="00740CEB"/>
    <w:rsid w:val="0074248B"/>
    <w:rsid w:val="00742F18"/>
    <w:rsid w:val="0074644E"/>
    <w:rsid w:val="00746D7A"/>
    <w:rsid w:val="00750AC7"/>
    <w:rsid w:val="00752E4D"/>
    <w:rsid w:val="00755075"/>
    <w:rsid w:val="00761AD3"/>
    <w:rsid w:val="00762778"/>
    <w:rsid w:val="00763757"/>
    <w:rsid w:val="00763831"/>
    <w:rsid w:val="007700D6"/>
    <w:rsid w:val="00770D1B"/>
    <w:rsid w:val="0077381C"/>
    <w:rsid w:val="00773A3B"/>
    <w:rsid w:val="007818D7"/>
    <w:rsid w:val="00781B73"/>
    <w:rsid w:val="00782F5A"/>
    <w:rsid w:val="00783BDB"/>
    <w:rsid w:val="007840A8"/>
    <w:rsid w:val="007869C7"/>
    <w:rsid w:val="00787830"/>
    <w:rsid w:val="00787C29"/>
    <w:rsid w:val="00792814"/>
    <w:rsid w:val="007947E3"/>
    <w:rsid w:val="007A1028"/>
    <w:rsid w:val="007A3194"/>
    <w:rsid w:val="007A31C0"/>
    <w:rsid w:val="007A4819"/>
    <w:rsid w:val="007A7B9C"/>
    <w:rsid w:val="007B03D8"/>
    <w:rsid w:val="007B05EC"/>
    <w:rsid w:val="007B0E9F"/>
    <w:rsid w:val="007B3E4D"/>
    <w:rsid w:val="007B4F75"/>
    <w:rsid w:val="007B6069"/>
    <w:rsid w:val="007B6CF7"/>
    <w:rsid w:val="007C31BA"/>
    <w:rsid w:val="007C46DC"/>
    <w:rsid w:val="007C4AE8"/>
    <w:rsid w:val="007C6709"/>
    <w:rsid w:val="007C797C"/>
    <w:rsid w:val="007D2DBC"/>
    <w:rsid w:val="007D34DE"/>
    <w:rsid w:val="007D385F"/>
    <w:rsid w:val="007D3971"/>
    <w:rsid w:val="007D4F5C"/>
    <w:rsid w:val="007D5B4F"/>
    <w:rsid w:val="007D747C"/>
    <w:rsid w:val="007D7C64"/>
    <w:rsid w:val="007E11AA"/>
    <w:rsid w:val="007E23DA"/>
    <w:rsid w:val="007E24F1"/>
    <w:rsid w:val="007E4C99"/>
    <w:rsid w:val="007E568E"/>
    <w:rsid w:val="007E5B42"/>
    <w:rsid w:val="007F1D47"/>
    <w:rsid w:val="007F346F"/>
    <w:rsid w:val="007F6CB0"/>
    <w:rsid w:val="007F6D13"/>
    <w:rsid w:val="00802127"/>
    <w:rsid w:val="00802CCC"/>
    <w:rsid w:val="0080393F"/>
    <w:rsid w:val="00804A98"/>
    <w:rsid w:val="00804DA2"/>
    <w:rsid w:val="00806058"/>
    <w:rsid w:val="008062B4"/>
    <w:rsid w:val="00806C7C"/>
    <w:rsid w:val="00807932"/>
    <w:rsid w:val="00811C90"/>
    <w:rsid w:val="008121FD"/>
    <w:rsid w:val="0081301A"/>
    <w:rsid w:val="0081367A"/>
    <w:rsid w:val="0081426A"/>
    <w:rsid w:val="00817597"/>
    <w:rsid w:val="00817CB6"/>
    <w:rsid w:val="0082023A"/>
    <w:rsid w:val="00824A3D"/>
    <w:rsid w:val="00826C92"/>
    <w:rsid w:val="008274DB"/>
    <w:rsid w:val="00827F2B"/>
    <w:rsid w:val="0083035E"/>
    <w:rsid w:val="00830EB1"/>
    <w:rsid w:val="00831F53"/>
    <w:rsid w:val="00832B36"/>
    <w:rsid w:val="00832C0E"/>
    <w:rsid w:val="008342D8"/>
    <w:rsid w:val="00834458"/>
    <w:rsid w:val="00840AB0"/>
    <w:rsid w:val="00842665"/>
    <w:rsid w:val="008437E9"/>
    <w:rsid w:val="008446FB"/>
    <w:rsid w:val="0085089E"/>
    <w:rsid w:val="008511EE"/>
    <w:rsid w:val="008552C6"/>
    <w:rsid w:val="00855C5F"/>
    <w:rsid w:val="00856B96"/>
    <w:rsid w:val="008607BB"/>
    <w:rsid w:val="00860AAE"/>
    <w:rsid w:val="008615AE"/>
    <w:rsid w:val="00861EEC"/>
    <w:rsid w:val="00861F96"/>
    <w:rsid w:val="008646A2"/>
    <w:rsid w:val="00865232"/>
    <w:rsid w:val="00865304"/>
    <w:rsid w:val="00871304"/>
    <w:rsid w:val="008713F4"/>
    <w:rsid w:val="00871D48"/>
    <w:rsid w:val="008763DF"/>
    <w:rsid w:val="00877C5F"/>
    <w:rsid w:val="00880B63"/>
    <w:rsid w:val="00880C96"/>
    <w:rsid w:val="00882880"/>
    <w:rsid w:val="00884593"/>
    <w:rsid w:val="008847B1"/>
    <w:rsid w:val="00887CF0"/>
    <w:rsid w:val="00890057"/>
    <w:rsid w:val="00890C10"/>
    <w:rsid w:val="0089166C"/>
    <w:rsid w:val="00892F91"/>
    <w:rsid w:val="008945E7"/>
    <w:rsid w:val="00895F7F"/>
    <w:rsid w:val="008979BD"/>
    <w:rsid w:val="008A3C1A"/>
    <w:rsid w:val="008A4763"/>
    <w:rsid w:val="008A6C35"/>
    <w:rsid w:val="008A6CF7"/>
    <w:rsid w:val="008B06F3"/>
    <w:rsid w:val="008B42A6"/>
    <w:rsid w:val="008B54EF"/>
    <w:rsid w:val="008B77B8"/>
    <w:rsid w:val="008B7EC8"/>
    <w:rsid w:val="008C05AB"/>
    <w:rsid w:val="008C0EBB"/>
    <w:rsid w:val="008C1A8A"/>
    <w:rsid w:val="008C2ADC"/>
    <w:rsid w:val="008C5B9C"/>
    <w:rsid w:val="008D1FE9"/>
    <w:rsid w:val="008D2FCC"/>
    <w:rsid w:val="008D54FC"/>
    <w:rsid w:val="008D55BD"/>
    <w:rsid w:val="008D60B4"/>
    <w:rsid w:val="008D6AC4"/>
    <w:rsid w:val="008D7244"/>
    <w:rsid w:val="008D734E"/>
    <w:rsid w:val="008D7462"/>
    <w:rsid w:val="008E38FB"/>
    <w:rsid w:val="008E3D5D"/>
    <w:rsid w:val="008E5017"/>
    <w:rsid w:val="008E7F23"/>
    <w:rsid w:val="008F0DB5"/>
    <w:rsid w:val="008F26DD"/>
    <w:rsid w:val="008F33B4"/>
    <w:rsid w:val="008F50C5"/>
    <w:rsid w:val="008F56D4"/>
    <w:rsid w:val="008F672E"/>
    <w:rsid w:val="008F6D3B"/>
    <w:rsid w:val="008F7559"/>
    <w:rsid w:val="0090296F"/>
    <w:rsid w:val="00903723"/>
    <w:rsid w:val="00906508"/>
    <w:rsid w:val="00907958"/>
    <w:rsid w:val="009117F5"/>
    <w:rsid w:val="009137FC"/>
    <w:rsid w:val="0091442D"/>
    <w:rsid w:val="0091500A"/>
    <w:rsid w:val="0091641C"/>
    <w:rsid w:val="00916653"/>
    <w:rsid w:val="00920C63"/>
    <w:rsid w:val="0092287B"/>
    <w:rsid w:val="00925DDA"/>
    <w:rsid w:val="00925E43"/>
    <w:rsid w:val="00927270"/>
    <w:rsid w:val="009302FF"/>
    <w:rsid w:val="009303A0"/>
    <w:rsid w:val="009304A5"/>
    <w:rsid w:val="0093191F"/>
    <w:rsid w:val="009335A9"/>
    <w:rsid w:val="00937B05"/>
    <w:rsid w:val="00940DB2"/>
    <w:rsid w:val="00943F7E"/>
    <w:rsid w:val="009451FF"/>
    <w:rsid w:val="00953518"/>
    <w:rsid w:val="00954561"/>
    <w:rsid w:val="00954A36"/>
    <w:rsid w:val="009579DE"/>
    <w:rsid w:val="009620B3"/>
    <w:rsid w:val="009649CE"/>
    <w:rsid w:val="00971751"/>
    <w:rsid w:val="00971B49"/>
    <w:rsid w:val="00973744"/>
    <w:rsid w:val="00973EA3"/>
    <w:rsid w:val="0097442C"/>
    <w:rsid w:val="0097579E"/>
    <w:rsid w:val="00976196"/>
    <w:rsid w:val="009766EF"/>
    <w:rsid w:val="0098185A"/>
    <w:rsid w:val="0098232A"/>
    <w:rsid w:val="009834F6"/>
    <w:rsid w:val="00983890"/>
    <w:rsid w:val="009843C4"/>
    <w:rsid w:val="00994603"/>
    <w:rsid w:val="009A16FB"/>
    <w:rsid w:val="009A1AD6"/>
    <w:rsid w:val="009A2E84"/>
    <w:rsid w:val="009A4FF1"/>
    <w:rsid w:val="009A508C"/>
    <w:rsid w:val="009A5618"/>
    <w:rsid w:val="009A5EE7"/>
    <w:rsid w:val="009A7944"/>
    <w:rsid w:val="009A7CF0"/>
    <w:rsid w:val="009B095E"/>
    <w:rsid w:val="009B1414"/>
    <w:rsid w:val="009B2FDA"/>
    <w:rsid w:val="009B4F78"/>
    <w:rsid w:val="009B5515"/>
    <w:rsid w:val="009B61BD"/>
    <w:rsid w:val="009B6A89"/>
    <w:rsid w:val="009B72A1"/>
    <w:rsid w:val="009B79F7"/>
    <w:rsid w:val="009C4DC5"/>
    <w:rsid w:val="009C54CB"/>
    <w:rsid w:val="009C63F5"/>
    <w:rsid w:val="009C6AE7"/>
    <w:rsid w:val="009C6C08"/>
    <w:rsid w:val="009C716B"/>
    <w:rsid w:val="009D1195"/>
    <w:rsid w:val="009D263B"/>
    <w:rsid w:val="009D3497"/>
    <w:rsid w:val="009D4117"/>
    <w:rsid w:val="009D49E1"/>
    <w:rsid w:val="009D525D"/>
    <w:rsid w:val="009D6FAB"/>
    <w:rsid w:val="009D76B6"/>
    <w:rsid w:val="009E201F"/>
    <w:rsid w:val="009E27B8"/>
    <w:rsid w:val="009E3859"/>
    <w:rsid w:val="009E39F1"/>
    <w:rsid w:val="009E5541"/>
    <w:rsid w:val="009E58C6"/>
    <w:rsid w:val="009F2A0F"/>
    <w:rsid w:val="009F7CC2"/>
    <w:rsid w:val="00A03245"/>
    <w:rsid w:val="00A10248"/>
    <w:rsid w:val="00A10818"/>
    <w:rsid w:val="00A10A8D"/>
    <w:rsid w:val="00A11CAA"/>
    <w:rsid w:val="00A12CC8"/>
    <w:rsid w:val="00A13155"/>
    <w:rsid w:val="00A14E8A"/>
    <w:rsid w:val="00A157C8"/>
    <w:rsid w:val="00A231A1"/>
    <w:rsid w:val="00A231B3"/>
    <w:rsid w:val="00A237CF"/>
    <w:rsid w:val="00A259FC"/>
    <w:rsid w:val="00A265BC"/>
    <w:rsid w:val="00A27AF6"/>
    <w:rsid w:val="00A31238"/>
    <w:rsid w:val="00A31D7E"/>
    <w:rsid w:val="00A33938"/>
    <w:rsid w:val="00A352C9"/>
    <w:rsid w:val="00A36354"/>
    <w:rsid w:val="00A36400"/>
    <w:rsid w:val="00A36BDE"/>
    <w:rsid w:val="00A40804"/>
    <w:rsid w:val="00A42C5A"/>
    <w:rsid w:val="00A43B63"/>
    <w:rsid w:val="00A43E6A"/>
    <w:rsid w:val="00A503F7"/>
    <w:rsid w:val="00A5081F"/>
    <w:rsid w:val="00A512CB"/>
    <w:rsid w:val="00A5389B"/>
    <w:rsid w:val="00A543D8"/>
    <w:rsid w:val="00A56397"/>
    <w:rsid w:val="00A60FC0"/>
    <w:rsid w:val="00A619FC"/>
    <w:rsid w:val="00A630B5"/>
    <w:rsid w:val="00A65745"/>
    <w:rsid w:val="00A70487"/>
    <w:rsid w:val="00A729A4"/>
    <w:rsid w:val="00A741C5"/>
    <w:rsid w:val="00A77275"/>
    <w:rsid w:val="00A77EB8"/>
    <w:rsid w:val="00A803E7"/>
    <w:rsid w:val="00A81240"/>
    <w:rsid w:val="00A8213F"/>
    <w:rsid w:val="00A849A5"/>
    <w:rsid w:val="00A84FFF"/>
    <w:rsid w:val="00A90290"/>
    <w:rsid w:val="00A921D1"/>
    <w:rsid w:val="00A927A5"/>
    <w:rsid w:val="00A92E58"/>
    <w:rsid w:val="00A949B9"/>
    <w:rsid w:val="00A953B0"/>
    <w:rsid w:val="00A96EA9"/>
    <w:rsid w:val="00A97AFD"/>
    <w:rsid w:val="00AA04DF"/>
    <w:rsid w:val="00AA59AD"/>
    <w:rsid w:val="00AA72AA"/>
    <w:rsid w:val="00AB1BC3"/>
    <w:rsid w:val="00AB26A6"/>
    <w:rsid w:val="00AB3866"/>
    <w:rsid w:val="00AB5C78"/>
    <w:rsid w:val="00AB72D6"/>
    <w:rsid w:val="00AC1619"/>
    <w:rsid w:val="00AC169F"/>
    <w:rsid w:val="00AC1C04"/>
    <w:rsid w:val="00AC6BFA"/>
    <w:rsid w:val="00AC6C7F"/>
    <w:rsid w:val="00AC751F"/>
    <w:rsid w:val="00AD0FF4"/>
    <w:rsid w:val="00AD3682"/>
    <w:rsid w:val="00AE0D34"/>
    <w:rsid w:val="00AE3C2A"/>
    <w:rsid w:val="00AF0AB0"/>
    <w:rsid w:val="00AF1353"/>
    <w:rsid w:val="00AF18DD"/>
    <w:rsid w:val="00AF18E3"/>
    <w:rsid w:val="00AF243D"/>
    <w:rsid w:val="00AF4520"/>
    <w:rsid w:val="00AF7E42"/>
    <w:rsid w:val="00B0045D"/>
    <w:rsid w:val="00B01886"/>
    <w:rsid w:val="00B01D5F"/>
    <w:rsid w:val="00B02173"/>
    <w:rsid w:val="00B022E8"/>
    <w:rsid w:val="00B0267D"/>
    <w:rsid w:val="00B07FAD"/>
    <w:rsid w:val="00B10096"/>
    <w:rsid w:val="00B1265A"/>
    <w:rsid w:val="00B141AC"/>
    <w:rsid w:val="00B165B7"/>
    <w:rsid w:val="00B17242"/>
    <w:rsid w:val="00B17EA5"/>
    <w:rsid w:val="00B214CC"/>
    <w:rsid w:val="00B21C21"/>
    <w:rsid w:val="00B22736"/>
    <w:rsid w:val="00B22865"/>
    <w:rsid w:val="00B234CD"/>
    <w:rsid w:val="00B23618"/>
    <w:rsid w:val="00B26CF9"/>
    <w:rsid w:val="00B27221"/>
    <w:rsid w:val="00B27C0B"/>
    <w:rsid w:val="00B354FC"/>
    <w:rsid w:val="00B40A68"/>
    <w:rsid w:val="00B40DB2"/>
    <w:rsid w:val="00B422B7"/>
    <w:rsid w:val="00B4285A"/>
    <w:rsid w:val="00B43201"/>
    <w:rsid w:val="00B449A6"/>
    <w:rsid w:val="00B449F2"/>
    <w:rsid w:val="00B449FD"/>
    <w:rsid w:val="00B44B3A"/>
    <w:rsid w:val="00B454F0"/>
    <w:rsid w:val="00B46FD3"/>
    <w:rsid w:val="00B47721"/>
    <w:rsid w:val="00B47CB3"/>
    <w:rsid w:val="00B5272D"/>
    <w:rsid w:val="00B54940"/>
    <w:rsid w:val="00B552C4"/>
    <w:rsid w:val="00B569BB"/>
    <w:rsid w:val="00B57AE0"/>
    <w:rsid w:val="00B60C7F"/>
    <w:rsid w:val="00B6741F"/>
    <w:rsid w:val="00B67640"/>
    <w:rsid w:val="00B74007"/>
    <w:rsid w:val="00B75FE7"/>
    <w:rsid w:val="00B7626A"/>
    <w:rsid w:val="00B76534"/>
    <w:rsid w:val="00B76EB9"/>
    <w:rsid w:val="00B77FD0"/>
    <w:rsid w:val="00B82837"/>
    <w:rsid w:val="00B8342A"/>
    <w:rsid w:val="00B83EC5"/>
    <w:rsid w:val="00B85E64"/>
    <w:rsid w:val="00B86C55"/>
    <w:rsid w:val="00B874FC"/>
    <w:rsid w:val="00B91242"/>
    <w:rsid w:val="00B932B3"/>
    <w:rsid w:val="00B9430E"/>
    <w:rsid w:val="00B95B30"/>
    <w:rsid w:val="00B97082"/>
    <w:rsid w:val="00B977D7"/>
    <w:rsid w:val="00B97B63"/>
    <w:rsid w:val="00BA07EA"/>
    <w:rsid w:val="00BA2DE5"/>
    <w:rsid w:val="00BA4A9B"/>
    <w:rsid w:val="00BA7C13"/>
    <w:rsid w:val="00BB0763"/>
    <w:rsid w:val="00BB1AE6"/>
    <w:rsid w:val="00BB3532"/>
    <w:rsid w:val="00BB3832"/>
    <w:rsid w:val="00BB42DF"/>
    <w:rsid w:val="00BB45DA"/>
    <w:rsid w:val="00BB66DA"/>
    <w:rsid w:val="00BC0701"/>
    <w:rsid w:val="00BC21FC"/>
    <w:rsid w:val="00BC3574"/>
    <w:rsid w:val="00BD1210"/>
    <w:rsid w:val="00BD42A4"/>
    <w:rsid w:val="00BD5169"/>
    <w:rsid w:val="00BD5418"/>
    <w:rsid w:val="00BD6D7A"/>
    <w:rsid w:val="00BD72BE"/>
    <w:rsid w:val="00BE00EE"/>
    <w:rsid w:val="00BE072E"/>
    <w:rsid w:val="00BE0DCE"/>
    <w:rsid w:val="00BE121F"/>
    <w:rsid w:val="00BE20EB"/>
    <w:rsid w:val="00BE2B17"/>
    <w:rsid w:val="00BE2BE2"/>
    <w:rsid w:val="00BE3632"/>
    <w:rsid w:val="00BE3C4A"/>
    <w:rsid w:val="00BE3E15"/>
    <w:rsid w:val="00BE6DB2"/>
    <w:rsid w:val="00BE78FE"/>
    <w:rsid w:val="00BE7B4C"/>
    <w:rsid w:val="00BF04CD"/>
    <w:rsid w:val="00BF0C73"/>
    <w:rsid w:val="00BF4EE1"/>
    <w:rsid w:val="00BF52B4"/>
    <w:rsid w:val="00BF6A9D"/>
    <w:rsid w:val="00BF7367"/>
    <w:rsid w:val="00C009C3"/>
    <w:rsid w:val="00C00C28"/>
    <w:rsid w:val="00C01C82"/>
    <w:rsid w:val="00C10CFA"/>
    <w:rsid w:val="00C15895"/>
    <w:rsid w:val="00C17C63"/>
    <w:rsid w:val="00C203D9"/>
    <w:rsid w:val="00C207D4"/>
    <w:rsid w:val="00C24104"/>
    <w:rsid w:val="00C26F43"/>
    <w:rsid w:val="00C31459"/>
    <w:rsid w:val="00C314FC"/>
    <w:rsid w:val="00C328F4"/>
    <w:rsid w:val="00C32ECE"/>
    <w:rsid w:val="00C360D6"/>
    <w:rsid w:val="00C369BC"/>
    <w:rsid w:val="00C373F9"/>
    <w:rsid w:val="00C40E85"/>
    <w:rsid w:val="00C441BB"/>
    <w:rsid w:val="00C44906"/>
    <w:rsid w:val="00C45521"/>
    <w:rsid w:val="00C4682F"/>
    <w:rsid w:val="00C50DBE"/>
    <w:rsid w:val="00C520CE"/>
    <w:rsid w:val="00C52CC4"/>
    <w:rsid w:val="00C53407"/>
    <w:rsid w:val="00C53B86"/>
    <w:rsid w:val="00C53CF2"/>
    <w:rsid w:val="00C55316"/>
    <w:rsid w:val="00C568E8"/>
    <w:rsid w:val="00C56A3C"/>
    <w:rsid w:val="00C57EB2"/>
    <w:rsid w:val="00C60DFD"/>
    <w:rsid w:val="00C66F3B"/>
    <w:rsid w:val="00C67642"/>
    <w:rsid w:val="00C71387"/>
    <w:rsid w:val="00C73B0D"/>
    <w:rsid w:val="00C75DDC"/>
    <w:rsid w:val="00C77BF4"/>
    <w:rsid w:val="00C816A0"/>
    <w:rsid w:val="00C82036"/>
    <w:rsid w:val="00C824B4"/>
    <w:rsid w:val="00C83552"/>
    <w:rsid w:val="00C84BB2"/>
    <w:rsid w:val="00C86F86"/>
    <w:rsid w:val="00C879AC"/>
    <w:rsid w:val="00C91887"/>
    <w:rsid w:val="00C918FE"/>
    <w:rsid w:val="00CA16D0"/>
    <w:rsid w:val="00CA295F"/>
    <w:rsid w:val="00CA2A2C"/>
    <w:rsid w:val="00CA2DFA"/>
    <w:rsid w:val="00CA2F8B"/>
    <w:rsid w:val="00CA3890"/>
    <w:rsid w:val="00CA45C8"/>
    <w:rsid w:val="00CA4E1D"/>
    <w:rsid w:val="00CB0581"/>
    <w:rsid w:val="00CB0A0C"/>
    <w:rsid w:val="00CB3E32"/>
    <w:rsid w:val="00CB3E73"/>
    <w:rsid w:val="00CB7185"/>
    <w:rsid w:val="00CC3A11"/>
    <w:rsid w:val="00CC4720"/>
    <w:rsid w:val="00CC625A"/>
    <w:rsid w:val="00CD0388"/>
    <w:rsid w:val="00CD2E46"/>
    <w:rsid w:val="00CD30A1"/>
    <w:rsid w:val="00CD341F"/>
    <w:rsid w:val="00CD3809"/>
    <w:rsid w:val="00CD495F"/>
    <w:rsid w:val="00CD4AD1"/>
    <w:rsid w:val="00CD4EA6"/>
    <w:rsid w:val="00CD5531"/>
    <w:rsid w:val="00CD634B"/>
    <w:rsid w:val="00CD758B"/>
    <w:rsid w:val="00CE2186"/>
    <w:rsid w:val="00CE4E07"/>
    <w:rsid w:val="00CE5885"/>
    <w:rsid w:val="00CE6C30"/>
    <w:rsid w:val="00CE7232"/>
    <w:rsid w:val="00CF062B"/>
    <w:rsid w:val="00CF1076"/>
    <w:rsid w:val="00CF2792"/>
    <w:rsid w:val="00CF5FA7"/>
    <w:rsid w:val="00CF68B8"/>
    <w:rsid w:val="00D02AC3"/>
    <w:rsid w:val="00D03A51"/>
    <w:rsid w:val="00D03C6E"/>
    <w:rsid w:val="00D05102"/>
    <w:rsid w:val="00D055BB"/>
    <w:rsid w:val="00D05E27"/>
    <w:rsid w:val="00D10558"/>
    <w:rsid w:val="00D1116A"/>
    <w:rsid w:val="00D116F5"/>
    <w:rsid w:val="00D11BEE"/>
    <w:rsid w:val="00D15261"/>
    <w:rsid w:val="00D17675"/>
    <w:rsid w:val="00D176B3"/>
    <w:rsid w:val="00D220E5"/>
    <w:rsid w:val="00D2257E"/>
    <w:rsid w:val="00D23514"/>
    <w:rsid w:val="00D2391F"/>
    <w:rsid w:val="00D26F9F"/>
    <w:rsid w:val="00D27F34"/>
    <w:rsid w:val="00D30095"/>
    <w:rsid w:val="00D301CE"/>
    <w:rsid w:val="00D30E6E"/>
    <w:rsid w:val="00D3143D"/>
    <w:rsid w:val="00D322AB"/>
    <w:rsid w:val="00D331C7"/>
    <w:rsid w:val="00D33367"/>
    <w:rsid w:val="00D35A52"/>
    <w:rsid w:val="00D43993"/>
    <w:rsid w:val="00D441F6"/>
    <w:rsid w:val="00D44317"/>
    <w:rsid w:val="00D45FD1"/>
    <w:rsid w:val="00D477D5"/>
    <w:rsid w:val="00D4795A"/>
    <w:rsid w:val="00D47CD9"/>
    <w:rsid w:val="00D47D03"/>
    <w:rsid w:val="00D509A8"/>
    <w:rsid w:val="00D517E1"/>
    <w:rsid w:val="00D528A9"/>
    <w:rsid w:val="00D542C5"/>
    <w:rsid w:val="00D605A8"/>
    <w:rsid w:val="00D617FD"/>
    <w:rsid w:val="00D6187D"/>
    <w:rsid w:val="00D6289B"/>
    <w:rsid w:val="00D62D38"/>
    <w:rsid w:val="00D63D2F"/>
    <w:rsid w:val="00D73C69"/>
    <w:rsid w:val="00D73CC1"/>
    <w:rsid w:val="00D743EB"/>
    <w:rsid w:val="00D751EA"/>
    <w:rsid w:val="00D756A6"/>
    <w:rsid w:val="00D763E2"/>
    <w:rsid w:val="00D771EB"/>
    <w:rsid w:val="00D80235"/>
    <w:rsid w:val="00D80C5D"/>
    <w:rsid w:val="00D820F9"/>
    <w:rsid w:val="00D85E0C"/>
    <w:rsid w:val="00D8698F"/>
    <w:rsid w:val="00D9161C"/>
    <w:rsid w:val="00D94B1A"/>
    <w:rsid w:val="00D96DBF"/>
    <w:rsid w:val="00D970E6"/>
    <w:rsid w:val="00D97D86"/>
    <w:rsid w:val="00DA06B7"/>
    <w:rsid w:val="00DA0B3D"/>
    <w:rsid w:val="00DA182E"/>
    <w:rsid w:val="00DA36C1"/>
    <w:rsid w:val="00DA3E10"/>
    <w:rsid w:val="00DA50E5"/>
    <w:rsid w:val="00DA798D"/>
    <w:rsid w:val="00DB29CE"/>
    <w:rsid w:val="00DC0837"/>
    <w:rsid w:val="00DC1507"/>
    <w:rsid w:val="00DC33DB"/>
    <w:rsid w:val="00DC61CF"/>
    <w:rsid w:val="00DD0705"/>
    <w:rsid w:val="00DD245B"/>
    <w:rsid w:val="00DD3D50"/>
    <w:rsid w:val="00DD42D2"/>
    <w:rsid w:val="00DD6EBF"/>
    <w:rsid w:val="00DD714B"/>
    <w:rsid w:val="00DD7806"/>
    <w:rsid w:val="00DE1CFE"/>
    <w:rsid w:val="00DE301B"/>
    <w:rsid w:val="00DE472C"/>
    <w:rsid w:val="00DE65CA"/>
    <w:rsid w:val="00DF0EF7"/>
    <w:rsid w:val="00DF223E"/>
    <w:rsid w:val="00DF3270"/>
    <w:rsid w:val="00DF4603"/>
    <w:rsid w:val="00DF4ADE"/>
    <w:rsid w:val="00DF5225"/>
    <w:rsid w:val="00DF5EFA"/>
    <w:rsid w:val="00DF6450"/>
    <w:rsid w:val="00DF76B8"/>
    <w:rsid w:val="00E0022F"/>
    <w:rsid w:val="00E003EE"/>
    <w:rsid w:val="00E02953"/>
    <w:rsid w:val="00E04495"/>
    <w:rsid w:val="00E05487"/>
    <w:rsid w:val="00E0552D"/>
    <w:rsid w:val="00E102B2"/>
    <w:rsid w:val="00E1062D"/>
    <w:rsid w:val="00E11A82"/>
    <w:rsid w:val="00E12EF1"/>
    <w:rsid w:val="00E17471"/>
    <w:rsid w:val="00E22053"/>
    <w:rsid w:val="00E2207B"/>
    <w:rsid w:val="00E23FFE"/>
    <w:rsid w:val="00E24327"/>
    <w:rsid w:val="00E258F7"/>
    <w:rsid w:val="00E27279"/>
    <w:rsid w:val="00E3046E"/>
    <w:rsid w:val="00E30D71"/>
    <w:rsid w:val="00E3135B"/>
    <w:rsid w:val="00E32D72"/>
    <w:rsid w:val="00E32F6A"/>
    <w:rsid w:val="00E346E3"/>
    <w:rsid w:val="00E364E3"/>
    <w:rsid w:val="00E37290"/>
    <w:rsid w:val="00E373ED"/>
    <w:rsid w:val="00E3770F"/>
    <w:rsid w:val="00E40BBE"/>
    <w:rsid w:val="00E412D5"/>
    <w:rsid w:val="00E428F6"/>
    <w:rsid w:val="00E437EA"/>
    <w:rsid w:val="00E45F28"/>
    <w:rsid w:val="00E508B3"/>
    <w:rsid w:val="00E5199C"/>
    <w:rsid w:val="00E538AD"/>
    <w:rsid w:val="00E53E87"/>
    <w:rsid w:val="00E54116"/>
    <w:rsid w:val="00E5736F"/>
    <w:rsid w:val="00E604E2"/>
    <w:rsid w:val="00E61AAA"/>
    <w:rsid w:val="00E637F6"/>
    <w:rsid w:val="00E64FEE"/>
    <w:rsid w:val="00E67BF1"/>
    <w:rsid w:val="00E718C6"/>
    <w:rsid w:val="00E71A95"/>
    <w:rsid w:val="00E72BA3"/>
    <w:rsid w:val="00E72D6F"/>
    <w:rsid w:val="00E7492A"/>
    <w:rsid w:val="00E7614F"/>
    <w:rsid w:val="00E76A2A"/>
    <w:rsid w:val="00E76C53"/>
    <w:rsid w:val="00E80D1A"/>
    <w:rsid w:val="00E81878"/>
    <w:rsid w:val="00E82A8E"/>
    <w:rsid w:val="00E84545"/>
    <w:rsid w:val="00E8560C"/>
    <w:rsid w:val="00E86746"/>
    <w:rsid w:val="00E87292"/>
    <w:rsid w:val="00E87950"/>
    <w:rsid w:val="00E9047B"/>
    <w:rsid w:val="00E92316"/>
    <w:rsid w:val="00E93433"/>
    <w:rsid w:val="00E944C6"/>
    <w:rsid w:val="00E96E54"/>
    <w:rsid w:val="00EA1744"/>
    <w:rsid w:val="00EA28A5"/>
    <w:rsid w:val="00EB1A30"/>
    <w:rsid w:val="00EB2DBD"/>
    <w:rsid w:val="00EB5724"/>
    <w:rsid w:val="00EB673C"/>
    <w:rsid w:val="00EB7E3D"/>
    <w:rsid w:val="00EC00B4"/>
    <w:rsid w:val="00EC0493"/>
    <w:rsid w:val="00EC0E6D"/>
    <w:rsid w:val="00EC1894"/>
    <w:rsid w:val="00EC3579"/>
    <w:rsid w:val="00EC7E39"/>
    <w:rsid w:val="00ED01C4"/>
    <w:rsid w:val="00ED1F61"/>
    <w:rsid w:val="00ED2059"/>
    <w:rsid w:val="00ED2960"/>
    <w:rsid w:val="00ED3B9C"/>
    <w:rsid w:val="00ED4774"/>
    <w:rsid w:val="00ED4C0C"/>
    <w:rsid w:val="00ED615F"/>
    <w:rsid w:val="00EE02B4"/>
    <w:rsid w:val="00EE17FD"/>
    <w:rsid w:val="00EE2710"/>
    <w:rsid w:val="00EE2FBF"/>
    <w:rsid w:val="00EE351B"/>
    <w:rsid w:val="00EE3C29"/>
    <w:rsid w:val="00EE52D6"/>
    <w:rsid w:val="00EE584F"/>
    <w:rsid w:val="00EE7287"/>
    <w:rsid w:val="00EE7F8C"/>
    <w:rsid w:val="00EF00A7"/>
    <w:rsid w:val="00EF128E"/>
    <w:rsid w:val="00EF1E63"/>
    <w:rsid w:val="00EF5D0B"/>
    <w:rsid w:val="00EF7BC3"/>
    <w:rsid w:val="00EF7BC6"/>
    <w:rsid w:val="00F00260"/>
    <w:rsid w:val="00F02268"/>
    <w:rsid w:val="00F03EEB"/>
    <w:rsid w:val="00F0468B"/>
    <w:rsid w:val="00F10C09"/>
    <w:rsid w:val="00F10E4D"/>
    <w:rsid w:val="00F1357B"/>
    <w:rsid w:val="00F1437A"/>
    <w:rsid w:val="00F164D0"/>
    <w:rsid w:val="00F17541"/>
    <w:rsid w:val="00F203B6"/>
    <w:rsid w:val="00F215D6"/>
    <w:rsid w:val="00F2205F"/>
    <w:rsid w:val="00F23A9F"/>
    <w:rsid w:val="00F23F57"/>
    <w:rsid w:val="00F25D68"/>
    <w:rsid w:val="00F277E8"/>
    <w:rsid w:val="00F27E69"/>
    <w:rsid w:val="00F30157"/>
    <w:rsid w:val="00F30777"/>
    <w:rsid w:val="00F30E90"/>
    <w:rsid w:val="00F31ABC"/>
    <w:rsid w:val="00F327FC"/>
    <w:rsid w:val="00F3340C"/>
    <w:rsid w:val="00F34AF2"/>
    <w:rsid w:val="00F35E07"/>
    <w:rsid w:val="00F42C85"/>
    <w:rsid w:val="00F47A26"/>
    <w:rsid w:val="00F47EEF"/>
    <w:rsid w:val="00F51013"/>
    <w:rsid w:val="00F530C6"/>
    <w:rsid w:val="00F54696"/>
    <w:rsid w:val="00F5523D"/>
    <w:rsid w:val="00F56638"/>
    <w:rsid w:val="00F6014D"/>
    <w:rsid w:val="00F60304"/>
    <w:rsid w:val="00F605FA"/>
    <w:rsid w:val="00F62004"/>
    <w:rsid w:val="00F629E6"/>
    <w:rsid w:val="00F643D6"/>
    <w:rsid w:val="00F64F32"/>
    <w:rsid w:val="00F67172"/>
    <w:rsid w:val="00F671CE"/>
    <w:rsid w:val="00F6782C"/>
    <w:rsid w:val="00F70E1C"/>
    <w:rsid w:val="00F72275"/>
    <w:rsid w:val="00F72957"/>
    <w:rsid w:val="00F76062"/>
    <w:rsid w:val="00F767AC"/>
    <w:rsid w:val="00F767E5"/>
    <w:rsid w:val="00F768DA"/>
    <w:rsid w:val="00F802E5"/>
    <w:rsid w:val="00F80D6B"/>
    <w:rsid w:val="00F82564"/>
    <w:rsid w:val="00F856B5"/>
    <w:rsid w:val="00F85AFF"/>
    <w:rsid w:val="00F8657A"/>
    <w:rsid w:val="00F8728A"/>
    <w:rsid w:val="00F92EC1"/>
    <w:rsid w:val="00F947E2"/>
    <w:rsid w:val="00F94CF0"/>
    <w:rsid w:val="00F9555C"/>
    <w:rsid w:val="00F95C7F"/>
    <w:rsid w:val="00F966CF"/>
    <w:rsid w:val="00F966E6"/>
    <w:rsid w:val="00F969B1"/>
    <w:rsid w:val="00F96C3F"/>
    <w:rsid w:val="00F97B3D"/>
    <w:rsid w:val="00F97FD6"/>
    <w:rsid w:val="00FA1166"/>
    <w:rsid w:val="00FA19DD"/>
    <w:rsid w:val="00FA1CD1"/>
    <w:rsid w:val="00FA4342"/>
    <w:rsid w:val="00FA5FF9"/>
    <w:rsid w:val="00FA7179"/>
    <w:rsid w:val="00FB002C"/>
    <w:rsid w:val="00FB1C11"/>
    <w:rsid w:val="00FB292B"/>
    <w:rsid w:val="00FB3D9E"/>
    <w:rsid w:val="00FB46F5"/>
    <w:rsid w:val="00FB53CE"/>
    <w:rsid w:val="00FB54D5"/>
    <w:rsid w:val="00FB6FFC"/>
    <w:rsid w:val="00FC162F"/>
    <w:rsid w:val="00FC1805"/>
    <w:rsid w:val="00FC1B56"/>
    <w:rsid w:val="00FC27B0"/>
    <w:rsid w:val="00FC2CBB"/>
    <w:rsid w:val="00FC31F5"/>
    <w:rsid w:val="00FC3B24"/>
    <w:rsid w:val="00FC5D0F"/>
    <w:rsid w:val="00FC63D8"/>
    <w:rsid w:val="00FC6FF2"/>
    <w:rsid w:val="00FD0247"/>
    <w:rsid w:val="00FD4AAE"/>
    <w:rsid w:val="00FD5425"/>
    <w:rsid w:val="00FD6426"/>
    <w:rsid w:val="00FE1EDB"/>
    <w:rsid w:val="00FE24C2"/>
    <w:rsid w:val="00FE2CD3"/>
    <w:rsid w:val="00FE407B"/>
    <w:rsid w:val="00FE45FE"/>
    <w:rsid w:val="00FE7D4B"/>
    <w:rsid w:val="00FF1C4A"/>
    <w:rsid w:val="00FF1DBE"/>
    <w:rsid w:val="00FF50C1"/>
    <w:rsid w:val="00FF6CA0"/>
    <w:rsid w:val="00FF759B"/>
    <w:rsid w:val="00FF7CCE"/>
    <w:rsid w:val="0FE344E6"/>
    <w:rsid w:val="15A119FD"/>
    <w:rsid w:val="2E1E279D"/>
    <w:rsid w:val="2E3954D1"/>
    <w:rsid w:val="46635CB4"/>
    <w:rsid w:val="49AB6BF2"/>
    <w:rsid w:val="5A8176D7"/>
    <w:rsid w:val="690F29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7917DE9-1D9B-4C7C-AB42-2D1BC5EAC7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line="580" w:lineRule="exact"/>
      <w:jc w:val="both"/>
    </w:pPr>
    <w:rPr>
      <w:rFonts w:ascii="Times New Roman" w:eastAsia="仿宋_GB2312" w:hAnsi="Times New Roman" w:cs="Times New Roman"/>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pPr>
      <w:jc w:val="left"/>
    </w:pPr>
  </w:style>
  <w:style w:type="paragraph" w:styleId="a4">
    <w:name w:val="Balloon Text"/>
    <w:basedOn w:val="a"/>
    <w:link w:val="Char0"/>
    <w:uiPriority w:val="99"/>
    <w:semiHidden/>
    <w:unhideWhenUsed/>
    <w:qFormat/>
    <w:pPr>
      <w:spacing w:line="240" w:lineRule="auto"/>
    </w:pPr>
    <w:rPr>
      <w:sz w:val="18"/>
      <w:szCs w:val="18"/>
    </w:rPr>
  </w:style>
  <w:style w:type="paragraph" w:styleId="a5">
    <w:name w:val="footer"/>
    <w:basedOn w:val="a"/>
    <w:link w:val="Char1"/>
    <w:uiPriority w:val="99"/>
    <w:unhideWhenUsed/>
    <w:qFormat/>
    <w:pPr>
      <w:tabs>
        <w:tab w:val="center" w:pos="4153"/>
        <w:tab w:val="right" w:pos="8306"/>
      </w:tabs>
      <w:snapToGrid w:val="0"/>
      <w:spacing w:line="240" w:lineRule="atLeast"/>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spacing w:line="240" w:lineRule="atLeast"/>
      <w:jc w:val="center"/>
    </w:pPr>
    <w:rPr>
      <w:sz w:val="18"/>
      <w:szCs w:val="18"/>
    </w:rPr>
  </w:style>
  <w:style w:type="paragraph" w:styleId="a7">
    <w:name w:val="annotation subject"/>
    <w:basedOn w:val="a3"/>
    <w:next w:val="a3"/>
    <w:link w:val="Char3"/>
    <w:uiPriority w:val="99"/>
    <w:semiHidden/>
    <w:unhideWhenUsed/>
    <w:qFormat/>
    <w:rPr>
      <w:b/>
      <w:bCs/>
    </w:rPr>
  </w:style>
  <w:style w:type="table" w:styleId="a8">
    <w:name w:val="Table Grid"/>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Emphasis"/>
    <w:basedOn w:val="a0"/>
    <w:uiPriority w:val="20"/>
    <w:qFormat/>
    <w:rPr>
      <w:i/>
      <w:iCs/>
    </w:rPr>
  </w:style>
  <w:style w:type="character" w:styleId="aa">
    <w:name w:val="annotation reference"/>
    <w:basedOn w:val="a0"/>
    <w:uiPriority w:val="99"/>
    <w:semiHidden/>
    <w:unhideWhenUsed/>
    <w:qFormat/>
    <w:rPr>
      <w:sz w:val="21"/>
      <w:szCs w:val="21"/>
    </w:rPr>
  </w:style>
  <w:style w:type="character" w:customStyle="1" w:styleId="Char2">
    <w:name w:val="页眉 Char"/>
    <w:basedOn w:val="a0"/>
    <w:link w:val="a6"/>
    <w:uiPriority w:val="99"/>
    <w:qFormat/>
    <w:rPr>
      <w:rFonts w:ascii="Times New Roman" w:eastAsia="仿宋_GB2312" w:hAnsi="Times New Roman" w:cs="Times New Roman"/>
      <w:sz w:val="18"/>
      <w:szCs w:val="18"/>
    </w:rPr>
  </w:style>
  <w:style w:type="character" w:customStyle="1" w:styleId="Char1">
    <w:name w:val="页脚 Char"/>
    <w:basedOn w:val="a0"/>
    <w:link w:val="a5"/>
    <w:uiPriority w:val="99"/>
    <w:qFormat/>
    <w:rPr>
      <w:rFonts w:ascii="Times New Roman" w:eastAsia="仿宋_GB2312" w:hAnsi="Times New Roman" w:cs="Times New Roman"/>
      <w:sz w:val="18"/>
      <w:szCs w:val="18"/>
    </w:rPr>
  </w:style>
  <w:style w:type="character" w:customStyle="1" w:styleId="Char0">
    <w:name w:val="批注框文本 Char"/>
    <w:basedOn w:val="a0"/>
    <w:link w:val="a4"/>
    <w:uiPriority w:val="99"/>
    <w:semiHidden/>
    <w:qFormat/>
    <w:rPr>
      <w:rFonts w:ascii="Times New Roman" w:eastAsia="仿宋_GB2312" w:hAnsi="Times New Roman" w:cs="Times New Roman"/>
      <w:sz w:val="18"/>
      <w:szCs w:val="18"/>
    </w:rPr>
  </w:style>
  <w:style w:type="character" w:customStyle="1" w:styleId="dt-editorword">
    <w:name w:val="dt-editor__word"/>
    <w:basedOn w:val="a0"/>
    <w:qFormat/>
  </w:style>
  <w:style w:type="paragraph" w:customStyle="1" w:styleId="Default">
    <w:name w:val="Default"/>
    <w:qFormat/>
    <w:pPr>
      <w:widowControl w:val="0"/>
      <w:autoSpaceDE w:val="0"/>
      <w:autoSpaceDN w:val="0"/>
      <w:adjustRightInd w:val="0"/>
    </w:pPr>
    <w:rPr>
      <w:rFonts w:ascii="仿宋_GB2312" w:eastAsia="仿宋_GB2312" w:cs="仿宋_GB2312"/>
      <w:color w:val="000000"/>
      <w:sz w:val="24"/>
      <w:szCs w:val="24"/>
    </w:rPr>
  </w:style>
  <w:style w:type="character" w:customStyle="1" w:styleId="Char">
    <w:name w:val="批注文字 Char"/>
    <w:basedOn w:val="a0"/>
    <w:link w:val="a3"/>
    <w:uiPriority w:val="99"/>
    <w:semiHidden/>
    <w:qFormat/>
    <w:rPr>
      <w:rFonts w:ascii="Times New Roman" w:eastAsia="仿宋_GB2312" w:hAnsi="Times New Roman" w:cs="Times New Roman"/>
      <w:kern w:val="2"/>
      <w:sz w:val="32"/>
      <w:szCs w:val="24"/>
    </w:rPr>
  </w:style>
  <w:style w:type="character" w:customStyle="1" w:styleId="Char3">
    <w:name w:val="批注主题 Char"/>
    <w:basedOn w:val="Char"/>
    <w:link w:val="a7"/>
    <w:uiPriority w:val="99"/>
    <w:semiHidden/>
    <w:qFormat/>
    <w:rPr>
      <w:rFonts w:ascii="Times New Roman" w:eastAsia="仿宋_GB2312" w:hAnsi="Times New Roman" w:cs="Times New Roman"/>
      <w:b/>
      <w:bCs/>
      <w:kern w:val="2"/>
      <w:sz w:val="32"/>
      <w:szCs w:val="24"/>
    </w:rPr>
  </w:style>
  <w:style w:type="paragraph" w:styleId="ab">
    <w:name w:val="List Paragraph"/>
    <w:basedOn w:val="a"/>
    <w:link w:val="Char4"/>
    <w:uiPriority w:val="34"/>
    <w:qFormat/>
    <w:pPr>
      <w:spacing w:line="240" w:lineRule="auto"/>
      <w:ind w:firstLineChars="200" w:firstLine="420"/>
    </w:pPr>
    <w:rPr>
      <w:rFonts w:eastAsia="宋体"/>
      <w:sz w:val="21"/>
      <w:szCs w:val="21"/>
    </w:rPr>
  </w:style>
  <w:style w:type="character" w:customStyle="1" w:styleId="Char4">
    <w:name w:val="列出段落 Char"/>
    <w:link w:val="ab"/>
    <w:uiPriority w:val="34"/>
    <w:locked/>
    <w:rPr>
      <w:rFonts w:ascii="Times New Roman" w:eastAsia="宋体" w:hAnsi="Times New Roman" w:cs="Times New Roman"/>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150</TotalTime>
  <Pages>4</Pages>
  <Words>1965</Words>
  <Characters>110</Characters>
  <Application>Microsoft Office Word</Application>
  <DocSecurity>0</DocSecurity>
  <Lines>1</Lines>
  <Paragraphs>4</Paragraphs>
  <ScaleCrop>false</ScaleCrop>
  <Company>神州网信技术有限公司</Company>
  <LinksUpToDate>false</LinksUpToDate>
  <CharactersWithSpaces>2071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郭 剑</dc:creator>
  <cp:lastModifiedBy>章欣</cp:lastModifiedBy>
  <cp:revision>83</cp:revision>
  <cp:lastPrinted>2025-04-30T08:03:00Z</cp:lastPrinted>
  <dcterms:created xsi:type="dcterms:W3CDTF">2025-06-30T00:15:00Z</dcterms:created>
  <dcterms:modified xsi:type="dcterms:W3CDTF">2025-07-30T10:13:00Z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3EB8F68132E24FC18A68F9DD050AD331</vt:lpwstr>
  </property>
  <property fmtid="{D5CDD505-2E9C-101B-9397-08002B2CF9AE}" pid="4" name="KSOTemplateDocerSaveRecord">
    <vt:lpwstr>eyJoZGlkIjoiYjRkZjhjMGMxNWIxM2YyNzc4ZTQzYTkxOGFiNTU0Y2EiLCJ1c2VySWQiOiIxMDg3MTk3MTM2In0=</vt:lpwstr>
  </property>
</Properties>
</file>