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70F89">
      <w:pPr>
        <w:rPr>
          <w:rFonts w:ascii="黑体" w:hAnsi="黑体" w:eastAsia="黑体"/>
          <w:color w:val="FF0000"/>
          <w:sz w:val="44"/>
          <w:szCs w:val="44"/>
        </w:rPr>
      </w:pPr>
      <w:r>
        <w:rPr>
          <w:rFonts w:hint="eastAsia" w:ascii="黑体" w:hAnsi="黑体" w:eastAsia="黑体"/>
          <w:color w:val="FF0000"/>
          <w:sz w:val="44"/>
          <w:szCs w:val="44"/>
        </w:rPr>
        <w:t>中国北方稀土（集团）高科技股份有限公司</w:t>
      </w:r>
    </w:p>
    <w:p w14:paraId="1A2D4556">
      <w:pPr>
        <w:jc w:val="center"/>
        <w:rPr>
          <w:rFonts w:ascii="黑体" w:hAnsi="黑体" w:eastAsia="黑体"/>
          <w:color w:val="FF0000"/>
          <w:sz w:val="44"/>
          <w:szCs w:val="44"/>
        </w:rPr>
      </w:pPr>
      <w:r>
        <w:rPr>
          <w:rFonts w:hint="eastAsia" w:ascii="黑体" w:hAnsi="黑体" w:eastAsia="黑体"/>
          <w:color w:val="FF0000"/>
          <w:sz w:val="44"/>
          <w:szCs w:val="44"/>
        </w:rPr>
        <w:t>投资者关系活动记录表</w:t>
      </w:r>
    </w:p>
    <w:p w14:paraId="155E19FA">
      <w:pPr>
        <w:jc w:val="right"/>
        <w:rPr>
          <w:rFonts w:ascii="宋体" w:hAnsi="宋体" w:eastAsia="宋体"/>
          <w:sz w:val="28"/>
          <w:szCs w:val="28"/>
        </w:rPr>
      </w:pPr>
      <w:r>
        <w:rPr>
          <w:rFonts w:hint="eastAsia" w:ascii="宋体" w:hAnsi="宋体" w:eastAsia="宋体"/>
          <w:sz w:val="28"/>
          <w:szCs w:val="28"/>
        </w:rPr>
        <w:t>编号：2</w:t>
      </w:r>
      <w:r>
        <w:rPr>
          <w:rFonts w:ascii="宋体" w:hAnsi="宋体" w:eastAsia="宋体"/>
          <w:sz w:val="28"/>
          <w:szCs w:val="28"/>
        </w:rPr>
        <w:t>025-0</w:t>
      </w:r>
      <w:r>
        <w:rPr>
          <w:rFonts w:hint="eastAsia" w:ascii="宋体" w:hAnsi="宋体" w:eastAsia="宋体"/>
          <w:sz w:val="28"/>
          <w:szCs w:val="28"/>
        </w:rPr>
        <w:t>21</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667"/>
      </w:tblGrid>
      <w:tr w14:paraId="5B04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23401A1C">
            <w:pPr>
              <w:spacing w:line="400" w:lineRule="exact"/>
              <w:jc w:val="center"/>
              <w:rPr>
                <w:rFonts w:ascii="宋体" w:hAnsi="宋体" w:eastAsia="宋体"/>
                <w:sz w:val="28"/>
                <w:szCs w:val="28"/>
              </w:rPr>
            </w:pPr>
            <w:r>
              <w:rPr>
                <w:rFonts w:hint="eastAsia" w:ascii="宋体" w:hAnsi="宋体" w:eastAsia="宋体"/>
                <w:sz w:val="28"/>
                <w:szCs w:val="28"/>
              </w:rPr>
              <w:t>投资者关系</w:t>
            </w:r>
          </w:p>
          <w:p w14:paraId="495AA9A3">
            <w:pPr>
              <w:spacing w:line="400" w:lineRule="exact"/>
              <w:jc w:val="center"/>
              <w:rPr>
                <w:rFonts w:ascii="宋体" w:hAnsi="宋体" w:eastAsia="宋体"/>
                <w:sz w:val="28"/>
                <w:szCs w:val="28"/>
              </w:rPr>
            </w:pPr>
            <w:r>
              <w:rPr>
                <w:rFonts w:hint="eastAsia" w:ascii="宋体" w:hAnsi="宋体" w:eastAsia="宋体"/>
                <w:sz w:val="28"/>
                <w:szCs w:val="28"/>
              </w:rPr>
              <w:t>活动类别</w:t>
            </w:r>
          </w:p>
        </w:tc>
        <w:tc>
          <w:tcPr>
            <w:tcW w:w="6667" w:type="dxa"/>
          </w:tcPr>
          <w:p w14:paraId="3FA68EE8">
            <w:pPr>
              <w:spacing w:line="540" w:lineRule="exact"/>
              <w:rPr>
                <w:rFonts w:ascii="宋体" w:hAnsi="宋体" w:eastAsia="宋体"/>
                <w:sz w:val="28"/>
                <w:szCs w:val="28"/>
              </w:rPr>
            </w:pPr>
            <w:r>
              <w:rPr>
                <w:rFonts w:hint="eastAsia" w:ascii="宋体" w:hAnsi="宋体" w:eastAsia="宋体"/>
                <w:sz w:val="28"/>
                <w:szCs w:val="28"/>
              </w:rPr>
              <w:sym w:font="Wingdings 2" w:char="0052"/>
            </w:r>
            <w:r>
              <w:rPr>
                <w:rFonts w:hint="eastAsia" w:ascii="宋体" w:hAnsi="宋体" w:eastAsia="宋体"/>
                <w:sz w:val="28"/>
                <w:szCs w:val="28"/>
              </w:rPr>
              <w:t xml:space="preserve">特定对象调研 </w:t>
            </w:r>
            <w:r>
              <w:rPr>
                <w:rFonts w:ascii="宋体" w:hAnsi="宋体" w:eastAsia="宋体"/>
                <w:sz w:val="28"/>
                <w:szCs w:val="28"/>
              </w:rPr>
              <w:t xml:space="preserve">  </w:t>
            </w:r>
            <w:r>
              <w:rPr>
                <w:rFonts w:hint="eastAsia" w:ascii="宋体" w:hAnsi="宋体" w:eastAsia="宋体"/>
                <w:sz w:val="28"/>
                <w:szCs w:val="28"/>
              </w:rPr>
              <w:t xml:space="preserve">□分析师会议 </w:t>
            </w:r>
            <w:r>
              <w:rPr>
                <w:rFonts w:ascii="宋体" w:hAnsi="宋体" w:eastAsia="宋体"/>
                <w:sz w:val="28"/>
                <w:szCs w:val="28"/>
              </w:rPr>
              <w:t xml:space="preserve">      </w:t>
            </w:r>
          </w:p>
          <w:p w14:paraId="73ED5AF2">
            <w:pPr>
              <w:spacing w:line="540" w:lineRule="exact"/>
              <w:rPr>
                <w:rFonts w:ascii="宋体" w:hAnsi="宋体" w:eastAsia="宋体"/>
                <w:sz w:val="28"/>
                <w:szCs w:val="28"/>
              </w:rPr>
            </w:pPr>
            <w:r>
              <w:rPr>
                <w:rFonts w:hint="eastAsia" w:ascii="宋体" w:hAnsi="宋体" w:eastAsia="宋体"/>
                <w:sz w:val="28"/>
                <w:szCs w:val="28"/>
              </w:rPr>
              <w:t xml:space="preserve">□媒体采访 </w:t>
            </w:r>
            <w:r>
              <w:rPr>
                <w:rFonts w:ascii="宋体" w:hAnsi="宋体" w:eastAsia="宋体"/>
                <w:sz w:val="28"/>
                <w:szCs w:val="28"/>
              </w:rPr>
              <w:t xml:space="preserve">      </w:t>
            </w:r>
            <w:r>
              <w:rPr>
                <w:rFonts w:hint="eastAsia" w:ascii="宋体" w:hAnsi="宋体" w:eastAsia="宋体"/>
                <w:sz w:val="28"/>
                <w:szCs w:val="28"/>
              </w:rPr>
              <w:t>□业绩说明会</w:t>
            </w:r>
          </w:p>
          <w:p w14:paraId="3F239545">
            <w:pPr>
              <w:spacing w:line="540" w:lineRule="exact"/>
              <w:rPr>
                <w:rFonts w:ascii="宋体" w:hAnsi="宋体" w:eastAsia="宋体"/>
                <w:sz w:val="28"/>
                <w:szCs w:val="28"/>
              </w:rPr>
            </w:pPr>
            <w:r>
              <w:rPr>
                <w:rFonts w:hint="eastAsia" w:ascii="宋体" w:hAnsi="宋体" w:eastAsia="宋体"/>
                <w:sz w:val="28"/>
                <w:szCs w:val="28"/>
              </w:rPr>
              <w:t xml:space="preserve">□新闻发布会 </w:t>
            </w:r>
            <w:r>
              <w:rPr>
                <w:rFonts w:ascii="宋体" w:hAnsi="宋体" w:eastAsia="宋体"/>
                <w:sz w:val="28"/>
                <w:szCs w:val="28"/>
              </w:rPr>
              <w:t xml:space="preserve">    </w:t>
            </w:r>
            <w:r>
              <w:rPr>
                <w:rFonts w:hint="eastAsia" w:ascii="宋体" w:hAnsi="宋体" w:eastAsia="宋体"/>
                <w:sz w:val="28"/>
                <w:szCs w:val="28"/>
              </w:rPr>
              <w:t>□路演活动</w:t>
            </w:r>
          </w:p>
          <w:p w14:paraId="3573E280">
            <w:pPr>
              <w:spacing w:line="540" w:lineRule="exact"/>
              <w:rPr>
                <w:rFonts w:ascii="宋体" w:hAnsi="宋体" w:eastAsia="宋体"/>
                <w:sz w:val="28"/>
                <w:szCs w:val="28"/>
              </w:rPr>
            </w:pPr>
            <w:r>
              <w:rPr>
                <w:rFonts w:hint="eastAsia" w:ascii="宋体" w:hAnsi="宋体" w:eastAsia="宋体"/>
                <w:sz w:val="28"/>
                <w:szCs w:val="28"/>
              </w:rPr>
              <w:t>□现场参观</w:t>
            </w:r>
          </w:p>
          <w:p w14:paraId="09680B8A">
            <w:pPr>
              <w:spacing w:line="540" w:lineRule="exact"/>
              <w:rPr>
                <w:rFonts w:ascii="宋体" w:hAnsi="宋体" w:eastAsia="宋体"/>
                <w:sz w:val="28"/>
                <w:szCs w:val="28"/>
              </w:rPr>
            </w:pPr>
            <w:r>
              <w:rPr>
                <w:rFonts w:hint="eastAsia" w:ascii="宋体" w:hAnsi="宋体" w:eastAsia="宋体"/>
                <w:sz w:val="28"/>
                <w:szCs w:val="28"/>
              </w:rPr>
              <w:t>□其他（请文字说明其他活动内容）</w:t>
            </w:r>
          </w:p>
        </w:tc>
      </w:tr>
      <w:tr w14:paraId="24F2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2122" w:type="dxa"/>
            <w:vAlign w:val="center"/>
          </w:tcPr>
          <w:p w14:paraId="6CCF4F02">
            <w:pPr>
              <w:spacing w:line="400" w:lineRule="exact"/>
              <w:jc w:val="center"/>
              <w:rPr>
                <w:rFonts w:ascii="宋体" w:hAnsi="宋体" w:eastAsia="宋体"/>
                <w:sz w:val="28"/>
                <w:szCs w:val="28"/>
              </w:rPr>
            </w:pPr>
            <w:r>
              <w:rPr>
                <w:rFonts w:hint="eastAsia" w:ascii="宋体" w:hAnsi="宋体" w:eastAsia="宋体"/>
                <w:sz w:val="28"/>
                <w:szCs w:val="28"/>
              </w:rPr>
              <w:t>参会单位（排名不分先后）</w:t>
            </w:r>
          </w:p>
        </w:tc>
        <w:tc>
          <w:tcPr>
            <w:tcW w:w="6667" w:type="dxa"/>
            <w:vAlign w:val="center"/>
          </w:tcPr>
          <w:p w14:paraId="69E54836">
            <w:pPr>
              <w:spacing w:line="460" w:lineRule="exact"/>
              <w:rPr>
                <w:rFonts w:ascii="宋体" w:hAnsi="宋体" w:eastAsia="宋体"/>
                <w:sz w:val="28"/>
                <w:szCs w:val="28"/>
              </w:rPr>
            </w:pPr>
            <w:r>
              <w:rPr>
                <w:rFonts w:hint="eastAsia" w:ascii="宋体" w:hAnsi="宋体" w:eastAsia="宋体"/>
                <w:sz w:val="28"/>
                <w:szCs w:val="28"/>
              </w:rPr>
              <w:t>天风证券、汇添富基金、华夏久盈、路博迈基金、国泰基金、中信建投基金、景顺长城基金</w:t>
            </w:r>
          </w:p>
        </w:tc>
      </w:tr>
      <w:tr w14:paraId="647F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60EACFF7">
            <w:pPr>
              <w:spacing w:line="240" w:lineRule="auto"/>
              <w:jc w:val="center"/>
              <w:rPr>
                <w:rFonts w:ascii="宋体" w:hAnsi="宋体" w:eastAsia="宋体"/>
                <w:sz w:val="28"/>
                <w:szCs w:val="28"/>
              </w:rPr>
            </w:pPr>
            <w:r>
              <w:rPr>
                <w:rFonts w:hint="eastAsia" w:ascii="宋体" w:hAnsi="宋体" w:eastAsia="宋体"/>
                <w:sz w:val="28"/>
                <w:szCs w:val="28"/>
              </w:rPr>
              <w:t>时间</w:t>
            </w:r>
          </w:p>
        </w:tc>
        <w:tc>
          <w:tcPr>
            <w:tcW w:w="6667" w:type="dxa"/>
            <w:vAlign w:val="center"/>
          </w:tcPr>
          <w:p w14:paraId="10FE06D0">
            <w:pPr>
              <w:spacing w:line="24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rPr>
              <w:t>5年7月23日上午第二场</w:t>
            </w:r>
          </w:p>
        </w:tc>
      </w:tr>
      <w:tr w14:paraId="2B8F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2" w:type="dxa"/>
            <w:vAlign w:val="center"/>
          </w:tcPr>
          <w:p w14:paraId="18C9FF02">
            <w:pPr>
              <w:spacing w:line="240" w:lineRule="auto"/>
              <w:jc w:val="center"/>
              <w:rPr>
                <w:rFonts w:ascii="宋体" w:hAnsi="宋体" w:eastAsia="宋体"/>
                <w:sz w:val="28"/>
                <w:szCs w:val="28"/>
              </w:rPr>
            </w:pPr>
            <w:r>
              <w:rPr>
                <w:rFonts w:hint="eastAsia" w:ascii="宋体" w:hAnsi="宋体" w:eastAsia="宋体"/>
                <w:sz w:val="28"/>
                <w:szCs w:val="28"/>
              </w:rPr>
              <w:t>地点及形式</w:t>
            </w:r>
          </w:p>
        </w:tc>
        <w:tc>
          <w:tcPr>
            <w:tcW w:w="6667" w:type="dxa"/>
            <w:vAlign w:val="center"/>
          </w:tcPr>
          <w:p w14:paraId="5B202489">
            <w:pPr>
              <w:spacing w:line="240" w:lineRule="auto"/>
              <w:rPr>
                <w:rFonts w:ascii="宋体" w:hAnsi="宋体" w:eastAsia="宋体"/>
                <w:sz w:val="28"/>
                <w:szCs w:val="28"/>
              </w:rPr>
            </w:pPr>
            <w:r>
              <w:rPr>
                <w:rFonts w:hint="eastAsia" w:ascii="宋体" w:hAnsi="宋体" w:eastAsia="宋体"/>
                <w:sz w:val="28"/>
                <w:szCs w:val="28"/>
              </w:rPr>
              <w:t>公司906会议室现场座谈</w:t>
            </w:r>
          </w:p>
        </w:tc>
      </w:tr>
      <w:tr w14:paraId="173D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122" w:type="dxa"/>
            <w:vAlign w:val="center"/>
          </w:tcPr>
          <w:p w14:paraId="5CA2A6E0">
            <w:pPr>
              <w:spacing w:line="400" w:lineRule="exact"/>
              <w:jc w:val="center"/>
              <w:rPr>
                <w:rFonts w:ascii="宋体" w:hAnsi="宋体" w:eastAsia="宋体"/>
                <w:sz w:val="28"/>
                <w:szCs w:val="28"/>
              </w:rPr>
            </w:pPr>
            <w:r>
              <w:rPr>
                <w:rFonts w:hint="eastAsia" w:ascii="宋体" w:hAnsi="宋体" w:eastAsia="宋体"/>
                <w:sz w:val="28"/>
                <w:szCs w:val="28"/>
              </w:rPr>
              <w:t>公司接待人员</w:t>
            </w:r>
          </w:p>
        </w:tc>
        <w:tc>
          <w:tcPr>
            <w:tcW w:w="6667" w:type="dxa"/>
            <w:vAlign w:val="center"/>
          </w:tcPr>
          <w:p w14:paraId="3434A8A6">
            <w:pPr>
              <w:spacing w:line="540" w:lineRule="exact"/>
              <w:rPr>
                <w:rFonts w:ascii="宋体" w:hAnsi="宋体" w:eastAsia="宋体"/>
                <w:sz w:val="28"/>
                <w:szCs w:val="28"/>
              </w:rPr>
            </w:pPr>
            <w:r>
              <w:rPr>
                <w:rFonts w:hint="eastAsia" w:ascii="宋体" w:hAnsi="宋体" w:eastAsia="宋体"/>
                <w:sz w:val="28"/>
                <w:szCs w:val="28"/>
              </w:rPr>
              <w:t>公司董事、董事会秘</w:t>
            </w:r>
            <w:r>
              <w:rPr>
                <w:rFonts w:hint="eastAsia" w:ascii="宋体" w:hAnsi="宋体" w:eastAsia="宋体" w:cs="微软雅黑"/>
                <w:sz w:val="28"/>
                <w:szCs w:val="28"/>
              </w:rPr>
              <w:t>书</w:t>
            </w:r>
            <w:r>
              <w:rPr>
                <w:rFonts w:hint="eastAsia" w:ascii="宋体" w:hAnsi="宋体" w:eastAsia="宋体" w:cs="MS Gothic"/>
                <w:sz w:val="28"/>
                <w:szCs w:val="28"/>
              </w:rPr>
              <w:t>、首席合</w:t>
            </w:r>
            <w:r>
              <w:rPr>
                <w:rFonts w:hint="eastAsia" w:ascii="宋体" w:hAnsi="宋体" w:eastAsia="宋体" w:cs="微软雅黑"/>
                <w:sz w:val="28"/>
                <w:szCs w:val="28"/>
              </w:rPr>
              <w:t>规</w:t>
            </w:r>
            <w:r>
              <w:rPr>
                <w:rFonts w:hint="eastAsia" w:ascii="宋体" w:hAnsi="宋体" w:eastAsia="宋体" w:cs="MS Gothic"/>
                <w:sz w:val="28"/>
                <w:szCs w:val="28"/>
              </w:rPr>
              <w:t>官吴永</w:t>
            </w:r>
            <w:r>
              <w:rPr>
                <w:rFonts w:hint="eastAsia" w:ascii="宋体" w:hAnsi="宋体" w:eastAsia="宋体" w:cs="微软雅黑"/>
                <w:sz w:val="28"/>
                <w:szCs w:val="28"/>
              </w:rPr>
              <w:t>钢先生</w:t>
            </w:r>
            <w:r>
              <w:rPr>
                <w:rFonts w:hint="eastAsia" w:ascii="宋体" w:hAnsi="宋体" w:eastAsia="宋体"/>
                <w:sz w:val="28"/>
                <w:szCs w:val="28"/>
              </w:rPr>
              <w:t>，证券部等相关部</w:t>
            </w:r>
            <w:r>
              <w:rPr>
                <w:rFonts w:hint="eastAsia" w:ascii="宋体" w:hAnsi="宋体" w:eastAsia="宋体" w:cs="微软雅黑"/>
                <w:sz w:val="28"/>
                <w:szCs w:val="28"/>
              </w:rPr>
              <w:t>门</w:t>
            </w:r>
            <w:r>
              <w:rPr>
                <w:rFonts w:hint="eastAsia" w:ascii="宋体" w:hAnsi="宋体" w:eastAsia="宋体"/>
                <w:sz w:val="28"/>
                <w:szCs w:val="28"/>
              </w:rPr>
              <w:t>人</w:t>
            </w:r>
            <w:r>
              <w:rPr>
                <w:rFonts w:hint="eastAsia" w:ascii="宋体" w:hAnsi="宋体" w:eastAsia="宋体" w:cs="微软雅黑"/>
                <w:sz w:val="28"/>
                <w:szCs w:val="28"/>
              </w:rPr>
              <w:t>员</w:t>
            </w:r>
            <w:r>
              <w:rPr>
                <w:rFonts w:hint="eastAsia" w:ascii="宋体" w:hAnsi="宋体" w:eastAsia="宋体"/>
                <w:sz w:val="28"/>
                <w:szCs w:val="28"/>
              </w:rPr>
              <w:t>。</w:t>
            </w:r>
          </w:p>
        </w:tc>
      </w:tr>
      <w:tr w14:paraId="4688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229B4D60">
            <w:pPr>
              <w:spacing w:line="400" w:lineRule="exact"/>
              <w:jc w:val="center"/>
              <w:rPr>
                <w:rFonts w:ascii="宋体" w:hAnsi="宋体" w:eastAsia="宋体"/>
                <w:sz w:val="28"/>
                <w:szCs w:val="28"/>
              </w:rPr>
            </w:pPr>
            <w:r>
              <w:rPr>
                <w:rFonts w:hint="eastAsia" w:ascii="宋体" w:hAnsi="宋体" w:eastAsia="宋体"/>
                <w:sz w:val="28"/>
                <w:szCs w:val="28"/>
              </w:rPr>
              <w:t>投资者关系活动主要内容</w:t>
            </w:r>
          </w:p>
        </w:tc>
        <w:tc>
          <w:tcPr>
            <w:tcW w:w="6667" w:type="dxa"/>
          </w:tcPr>
          <w:p w14:paraId="31F02304">
            <w:pPr>
              <w:spacing w:line="500" w:lineRule="exact"/>
              <w:ind w:firstLine="562" w:firstLineChars="200"/>
              <w:rPr>
                <w:rFonts w:ascii="宋体" w:hAnsi="宋体" w:eastAsia="宋体"/>
                <w:b/>
                <w:sz w:val="28"/>
                <w:szCs w:val="28"/>
              </w:rPr>
            </w:pPr>
            <w:r>
              <w:rPr>
                <w:rFonts w:hint="eastAsia" w:ascii="宋体" w:hAnsi="宋体" w:eastAsia="宋体"/>
                <w:b/>
                <w:sz w:val="28"/>
                <w:szCs w:val="28"/>
              </w:rPr>
              <w:t>问：绿色冶炼升级改造项目的进展？项目建成后产能如何？</w:t>
            </w:r>
          </w:p>
          <w:p w14:paraId="13E75129">
            <w:pPr>
              <w:spacing w:line="500" w:lineRule="exact"/>
              <w:ind w:firstLine="560" w:firstLineChars="200"/>
              <w:rPr>
                <w:rFonts w:hint="eastAsia" w:ascii="宋体" w:hAnsi="宋体" w:eastAsia="宋体"/>
                <w:bCs/>
                <w:sz w:val="28"/>
                <w:szCs w:val="28"/>
              </w:rPr>
            </w:pPr>
            <w:r>
              <w:rPr>
                <w:rFonts w:hint="eastAsia" w:ascii="宋体" w:hAnsi="宋体" w:eastAsia="宋体"/>
                <w:bCs/>
                <w:sz w:val="28"/>
                <w:szCs w:val="28"/>
              </w:rPr>
              <w:t>答：公司投资建设的新一代稀土绿色采选冶稀土绿色冶炼升级改造项目，是公司致力于打造世界一流稀土领军企业，在“十四五”期间布局的重点战略项目，更是公司挺膺担当“两个稀土基地”主力军职责的生动写照。项目通过采用行业最领先的工艺、技术及装备，酸碱单耗降低20%以上、新水使用量降低30%、节能15%左右。项目通过打造稀土冶炼整套自动化生产线，采用多种智能化设备系统，提升绿色稀土冶炼装备智能化水平，实现优质、高效、低耗、灵活的智能生产。</w:t>
            </w:r>
          </w:p>
          <w:p w14:paraId="57EAA893">
            <w:pPr>
              <w:spacing w:line="500" w:lineRule="exact"/>
              <w:ind w:firstLine="560" w:firstLineChars="200"/>
              <w:rPr>
                <w:rFonts w:hint="eastAsia" w:ascii="宋体" w:hAnsi="宋体" w:eastAsia="宋体"/>
                <w:bCs/>
                <w:sz w:val="28"/>
                <w:szCs w:val="28"/>
              </w:rPr>
            </w:pPr>
            <w:r>
              <w:rPr>
                <w:rFonts w:hint="eastAsia" w:ascii="宋体" w:hAnsi="宋体" w:eastAsia="宋体"/>
                <w:bCs/>
                <w:sz w:val="28"/>
                <w:szCs w:val="28"/>
              </w:rPr>
              <w:t>项目通过应用行业领先的新工艺、新技术、新装备，建设绿色化、智能化、集约化、高端化稀土原料产业基地。不断提高白云鄂博资源综合利用水平，积极打造更高质量、更有效率、更优布局、更加低碳、更为安全的产业发展格局，有效实现产业链、供应链安全可持续发展，进一步提升我国稀土产业竞争优势 ，不断增强我国稀土产业参与国际竞争的话语权。</w:t>
            </w:r>
          </w:p>
          <w:p w14:paraId="7B7A46F4">
            <w:pPr>
              <w:spacing w:line="500" w:lineRule="exact"/>
              <w:ind w:firstLine="560" w:firstLineChars="200"/>
              <w:rPr>
                <w:rFonts w:hint="eastAsia" w:ascii="宋体" w:hAnsi="宋体" w:eastAsia="宋体"/>
                <w:bCs/>
                <w:sz w:val="28"/>
                <w:szCs w:val="28"/>
              </w:rPr>
            </w:pPr>
            <w:r>
              <w:rPr>
                <w:rFonts w:hint="eastAsia" w:ascii="宋体" w:hAnsi="宋体" w:eastAsia="宋体"/>
                <w:bCs/>
                <w:sz w:val="28"/>
                <w:szCs w:val="28"/>
              </w:rPr>
              <w:t>项目建设具有较好的经济效益，可有效提高稀土资源集约高效、低碳环保利用水平，对稀土产业及下游应用领域可持续高质量发展具有重要的促进作用，对地区经济社会发展做出积极贡献，具有较好的社会效益。</w:t>
            </w:r>
          </w:p>
          <w:p w14:paraId="244C40E3">
            <w:pPr>
              <w:spacing w:line="500" w:lineRule="exact"/>
              <w:ind w:firstLine="560" w:firstLineChars="200"/>
              <w:rPr>
                <w:rFonts w:ascii="宋体" w:hAnsi="宋体" w:eastAsia="宋体"/>
                <w:b/>
                <w:sz w:val="28"/>
                <w:szCs w:val="28"/>
              </w:rPr>
            </w:pPr>
            <w:r>
              <w:rPr>
                <w:rFonts w:hint="eastAsia" w:ascii="宋体" w:hAnsi="宋体" w:eastAsia="宋体"/>
                <w:bCs/>
                <w:sz w:val="28"/>
                <w:szCs w:val="28"/>
              </w:rPr>
              <w:t>项目按照总目标和阶段性任务有序推进，整体进展顺利。目前一期工程进入产线联动调试收尾阶段，二期工程于近日正式开工。该项目属于产能置换，建成后具备处理58.09%REO混合稀土精矿能力198000吨/年，以REO计115018吨/年；萃取分离能力106661.6吨/年（以REO计），沉淀和结晶能力141070吨/年（以REO计），灼烧能力39600吨/年（以REO计）。</w:t>
            </w:r>
          </w:p>
          <w:p w14:paraId="157CC3FE">
            <w:pPr>
              <w:spacing w:line="500" w:lineRule="exact"/>
              <w:ind w:firstLine="562" w:firstLineChars="200"/>
              <w:rPr>
                <w:rFonts w:ascii="宋体" w:hAnsi="宋体" w:eastAsia="宋体"/>
                <w:b/>
                <w:sz w:val="28"/>
                <w:szCs w:val="28"/>
              </w:rPr>
            </w:pPr>
            <w:r>
              <w:rPr>
                <w:rFonts w:hint="eastAsia" w:ascii="宋体" w:hAnsi="宋体" w:eastAsia="宋体"/>
                <w:b/>
                <w:sz w:val="28"/>
                <w:szCs w:val="28"/>
              </w:rPr>
              <w:t>问：国家对稀土冶炼分离厂的建设有限制吗？公司是否可以新增冶炼分离厂？</w:t>
            </w:r>
          </w:p>
          <w:p w14:paraId="09551176">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稀土管理条例》第八条规定，“国务院工业和信息化主管部门会同国务院有关部门确定稀土开采企业和稀土冶炼分离企业，并向社会公布。除依照本条第一款确定的企业外，其他组织和个人不得从事稀土开采和稀土冶炼分离。”公司严格按照有关部门规定开展工作。</w:t>
            </w:r>
          </w:p>
          <w:p w14:paraId="0FB04A44">
            <w:pPr>
              <w:spacing w:line="500" w:lineRule="exact"/>
              <w:ind w:firstLine="562" w:firstLineChars="200"/>
              <w:rPr>
                <w:rFonts w:ascii="宋体" w:hAnsi="宋体" w:eastAsia="宋体"/>
                <w:b/>
                <w:sz w:val="28"/>
                <w:szCs w:val="28"/>
              </w:rPr>
            </w:pPr>
            <w:r>
              <w:rPr>
                <w:rFonts w:hint="eastAsia" w:ascii="宋体" w:hAnsi="宋体" w:eastAsia="宋体"/>
                <w:b/>
                <w:sz w:val="28"/>
                <w:szCs w:val="28"/>
              </w:rPr>
              <w:t>问：最近公司在包头稀土产品交易所做的稀土产品拍卖是出于什么考虑？</w:t>
            </w:r>
          </w:p>
          <w:p w14:paraId="3F3A25AF">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竞拍是公司向下游企业出售的稀土产品的一种销售模式，是公司为了更加贴合市场、适应市场、检验产品价格与市场契合度做出的举措之一，近期由于稀土产品价格上涨受到了更多的关注。稀土产品的价格受市场供需影响，但市场预期也会影响价格。目前稀土产品的价格在逐步上移，公司拿出一部分稀土产品放到包头稀土产品交易所拍卖，通过实际成交情况研判下游应用和终端客户对稀土产品价格的接受程度。</w:t>
            </w:r>
          </w:p>
          <w:p w14:paraId="0061D187">
            <w:pPr>
              <w:spacing w:line="500" w:lineRule="exact"/>
              <w:ind w:firstLine="562" w:firstLineChars="200"/>
              <w:rPr>
                <w:rFonts w:ascii="宋体" w:hAnsi="宋体" w:eastAsia="宋体"/>
                <w:b/>
                <w:sz w:val="28"/>
                <w:szCs w:val="28"/>
              </w:rPr>
            </w:pPr>
            <w:r>
              <w:rPr>
                <w:rFonts w:hint="eastAsia" w:ascii="宋体" w:hAnsi="宋体" w:eastAsia="宋体"/>
                <w:b/>
                <w:sz w:val="28"/>
                <w:szCs w:val="28"/>
              </w:rPr>
              <w:t>问：稀土铈金属的下游应用前景怎么样？</w:t>
            </w:r>
          </w:p>
          <w:p w14:paraId="7BDD072E">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2003年前后，随着稀土永磁产业规模的扩大，铈作为稀土元素之一开始受到关注。当时，铈在稀土永磁材料中的应用尚处于探索阶段，因为其磁性能相对较低，传统上被认为是“不希望混入”的元素。随着技术的不断成熟，铈磁体技术逐渐从实验室走向现实应用，开始进入产业化推广阶段。以铈铁硼为代表的铈磁体凭借其成本优势，在多个领域得到了广泛应用。除了传统的两轮车电机、低端电机等领域外，铈磁体还开始渗透到低价位电动车、家用电器等低成本、对性能要求不高的应用领域。包括铈磁体在内的稀土永磁材料是国家政策鼓励的行业，工业和信息化部、科技部、自然资源部联合发布的《“十四五”原材料工业发展规划》明确提出将高性能稀土磁性材料作为技术创新的重点方向。未来在政策鼓励下，随着技术的不断进步，新型铈磁体尤其是高性能铈磁体产品类型将进一步丰富，铈磁体下游应用范围也将越来越广泛，如用于机器人、高端机床、风电等领域的各类电机等，铈铁硼市场需求也将继续增长。</w:t>
            </w:r>
          </w:p>
          <w:p w14:paraId="5276E86D">
            <w:pPr>
              <w:spacing w:line="500" w:lineRule="exact"/>
              <w:ind w:firstLine="562" w:firstLineChars="200"/>
              <w:rPr>
                <w:rFonts w:ascii="宋体" w:hAnsi="宋体" w:eastAsia="宋体"/>
                <w:b/>
                <w:sz w:val="28"/>
                <w:szCs w:val="28"/>
              </w:rPr>
            </w:pPr>
            <w:r>
              <w:rPr>
                <w:rFonts w:hint="eastAsia" w:ascii="宋体" w:hAnsi="宋体" w:eastAsia="宋体"/>
                <w:b/>
                <w:sz w:val="28"/>
                <w:szCs w:val="28"/>
              </w:rPr>
              <w:t>问：公司对未来稀土行业下游需求有何预期？</w:t>
            </w:r>
          </w:p>
          <w:p w14:paraId="1BBE8EBC">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为实现2030碳达峰、2060碳中和，构建以新能源为主体的新型电力系统，在节能减排的新需求下，以永磁同步为代表的技术在一定领域将带动稀土行业需求成为主流。据了解，目前稀土下游磁材行业的需求量最大，增速最快，对稀土产品的需求量也最多。近几年绿色低碳、“万物电驱”的背景使得磁材需求量增幅在10%左右，预计2025年将保持这一趋势。风电、新能源汽车以及人形机器人、低空经济等新兴领域迅速发展，为下游需求增长提供有力支撑。另外，手机盖板、半导体、芯片将带来下游抛光粉产业的发展，贮氢在储能发展的背景下会有新的增量，永磁电机在“两重两新”政策推动下也会有明显增长。因此，公司对未来稀土行业下游需求增长持乐观态度。</w:t>
            </w:r>
          </w:p>
          <w:p w14:paraId="34FE28F2">
            <w:pPr>
              <w:spacing w:line="500" w:lineRule="exact"/>
              <w:ind w:firstLine="562" w:firstLineChars="200"/>
              <w:rPr>
                <w:rFonts w:ascii="宋体" w:hAnsi="宋体" w:eastAsia="宋体"/>
                <w:b/>
                <w:sz w:val="28"/>
                <w:szCs w:val="28"/>
              </w:rPr>
            </w:pPr>
            <w:r>
              <w:rPr>
                <w:rFonts w:hint="eastAsia" w:ascii="宋体" w:hAnsi="宋体" w:eastAsia="宋体"/>
                <w:b/>
                <w:sz w:val="28"/>
                <w:szCs w:val="28"/>
              </w:rPr>
              <w:t>问：我国稀土废料回收是否有相应的政策？公司在废料回收方面有何布局？</w:t>
            </w:r>
          </w:p>
          <w:p w14:paraId="04C74C45">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w:t>
            </w:r>
            <w:r>
              <w:rPr>
                <w:rFonts w:ascii="宋体" w:hAnsi="宋体" w:eastAsia="宋体"/>
                <w:bCs/>
                <w:sz w:val="28"/>
                <w:szCs w:val="28"/>
              </w:rPr>
              <w:t xml:space="preserve"> </w:t>
            </w:r>
            <w:r>
              <w:rPr>
                <w:rFonts w:hint="eastAsia" w:ascii="宋体" w:hAnsi="宋体" w:eastAsia="宋体"/>
                <w:bCs/>
                <w:sz w:val="28"/>
                <w:szCs w:val="28"/>
              </w:rPr>
              <w:t>202</w:t>
            </w:r>
            <w:r>
              <w:rPr>
                <w:rFonts w:hint="eastAsia" w:ascii="宋体" w:hAnsi="宋体" w:eastAsia="宋体"/>
                <w:bCs/>
                <w:sz w:val="28"/>
                <w:szCs w:val="28"/>
                <w:lang w:val="en-US" w:eastAsia="zh-CN"/>
              </w:rPr>
              <w:t>4</w:t>
            </w:r>
            <w:bookmarkStart w:id="0" w:name="_GoBack"/>
            <w:bookmarkEnd w:id="0"/>
            <w:r>
              <w:rPr>
                <w:rFonts w:hint="eastAsia" w:ascii="宋体" w:hAnsi="宋体" w:eastAsia="宋体"/>
                <w:bCs/>
                <w:sz w:val="28"/>
                <w:szCs w:val="28"/>
              </w:rPr>
              <w:t>年10月颁布的《稀土管理条例》第十一条明确规定了国家鼓励和支持企业利用先进适用技术、工艺，对稀土二次资源进行综合利用。稀土综合利用企业不得以稀土矿产品为原料从事生产活动。在资源循环利用、绿色低碳的背景下，公司更是在稀土废料回收方面积极作为，公司控股子公司信丰县包钢新利稀土有限责任公司拥有4960吨/年的稀土废料回收产能；公司控股子公司包头市金蒙稀土有限责任公司正在建设4000吨/年的废料回收产能项目，该项目已经进入到设备安装的阶段。</w:t>
            </w:r>
          </w:p>
          <w:p w14:paraId="2CF56C75">
            <w:pPr>
              <w:spacing w:line="500" w:lineRule="exact"/>
              <w:ind w:firstLine="562" w:firstLineChars="200"/>
              <w:rPr>
                <w:rFonts w:ascii="宋体" w:hAnsi="宋体" w:eastAsia="宋体"/>
                <w:b/>
                <w:sz w:val="28"/>
                <w:szCs w:val="28"/>
              </w:rPr>
            </w:pPr>
            <w:r>
              <w:rPr>
                <w:rFonts w:hint="eastAsia" w:ascii="宋体" w:hAnsi="宋体" w:eastAsia="宋体"/>
                <w:b/>
                <w:sz w:val="28"/>
                <w:szCs w:val="28"/>
              </w:rPr>
              <w:t>问：公司怎么看今年的稀土总量控制指标？</w:t>
            </w:r>
          </w:p>
          <w:p w14:paraId="4021A9AA">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务院工业和信息化主管部门会同国务院自然资源、发展改革等部门制定”。今年总量控制指标也是综合考虑市场、企业生产以及稀土行业的供应与需求情况综合制定的。</w:t>
            </w:r>
          </w:p>
          <w:p w14:paraId="1B8B0ACC">
            <w:pPr>
              <w:spacing w:line="500" w:lineRule="exact"/>
              <w:ind w:firstLine="562" w:firstLineChars="200"/>
              <w:rPr>
                <w:rFonts w:ascii="宋体" w:hAnsi="宋体" w:eastAsia="宋体"/>
                <w:b/>
                <w:sz w:val="28"/>
                <w:szCs w:val="28"/>
              </w:rPr>
            </w:pPr>
            <w:r>
              <w:rPr>
                <w:rFonts w:hint="eastAsia" w:ascii="宋体" w:hAnsi="宋体" w:eastAsia="宋体"/>
                <w:b/>
                <w:sz w:val="28"/>
                <w:szCs w:val="28"/>
              </w:rPr>
              <w:t>问：国外从事稀土生产企业与我国稀土冶炼分离企业在成本和技术上的差距如何？</w:t>
            </w:r>
          </w:p>
          <w:p w14:paraId="1A1789C1">
            <w:pPr>
              <w:spacing w:line="500" w:lineRule="exact"/>
              <w:ind w:firstLine="560" w:firstLineChars="200"/>
              <w:rPr>
                <w:rFonts w:ascii="宋体" w:hAnsi="宋体" w:eastAsia="宋体"/>
                <w:bCs/>
                <w:sz w:val="28"/>
                <w:szCs w:val="28"/>
              </w:rPr>
            </w:pPr>
            <w:r>
              <w:rPr>
                <w:rFonts w:hint="eastAsia" w:ascii="宋体" w:hAnsi="宋体" w:eastAsia="宋体"/>
                <w:bCs/>
                <w:sz w:val="28"/>
                <w:szCs w:val="28"/>
              </w:rPr>
              <w:t>答：我国稀土冶炼分离企业在全球处于显著的领先地位，主要体现在以下方面：一是资源储量丰富，我国是全球稀土资源最丰富的国家，约占全球总储量的40%；二是加工技术先进，我国在稀土冶炼分离等加工技术方面目前处于世界领先地位，稀土冶炼分离产能约占全球90%以上，具有明显的技术优势和规模优势，尤其是公司有着六十多年的技术积淀，三代人的持续改进使生产工艺更加优化。国家商务部、科技部于2023年12月21日公布《中国禁止出口限制出口技术目录》，将稀土的提炼、加工、利用技术列为禁止出口技术；三是产业链完整，我国稀土产业链覆盖开采、选矿、冶炼分离、深加工及终端应用等环节，稀土永磁材料为节能降碳提供了绿色选择；四是应用广泛，我国不仅是稀土供应国，更是重要的稀土消费国，国内的稀土产品广泛应用于新能源汽车、绿色风电、消费电子、机器人、军工、医疗等众多领域，为我国稀土产业的发展提供了重要支撑。</w:t>
            </w:r>
          </w:p>
        </w:tc>
      </w:tr>
      <w:tr w14:paraId="0312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22" w:type="dxa"/>
            <w:vAlign w:val="center"/>
          </w:tcPr>
          <w:p w14:paraId="2A76F619">
            <w:pPr>
              <w:spacing w:line="400" w:lineRule="exact"/>
              <w:jc w:val="center"/>
              <w:rPr>
                <w:rFonts w:ascii="宋体" w:hAnsi="宋体" w:eastAsia="宋体"/>
                <w:sz w:val="28"/>
                <w:szCs w:val="28"/>
              </w:rPr>
            </w:pPr>
            <w:r>
              <w:rPr>
                <w:rFonts w:hint="eastAsia" w:ascii="宋体" w:hAnsi="宋体" w:eastAsia="宋体"/>
                <w:sz w:val="28"/>
                <w:szCs w:val="28"/>
              </w:rPr>
              <w:t>附件清单</w:t>
            </w:r>
          </w:p>
        </w:tc>
        <w:tc>
          <w:tcPr>
            <w:tcW w:w="6667" w:type="dxa"/>
            <w:vAlign w:val="center"/>
          </w:tcPr>
          <w:p w14:paraId="5EC99AA0">
            <w:pPr>
              <w:spacing w:line="400" w:lineRule="exact"/>
              <w:rPr>
                <w:rFonts w:ascii="宋体" w:hAnsi="宋体" w:eastAsia="宋体"/>
                <w:sz w:val="28"/>
                <w:szCs w:val="28"/>
              </w:rPr>
            </w:pPr>
            <w:r>
              <w:rPr>
                <w:rFonts w:hint="eastAsia" w:ascii="宋体" w:hAnsi="宋体" w:eastAsia="宋体"/>
                <w:sz w:val="28"/>
                <w:szCs w:val="28"/>
              </w:rPr>
              <w:t>无</w:t>
            </w:r>
          </w:p>
        </w:tc>
      </w:tr>
      <w:tr w14:paraId="1342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2"/>
            <w:vAlign w:val="center"/>
          </w:tcPr>
          <w:p w14:paraId="759D6E40">
            <w:pPr>
              <w:spacing w:line="500" w:lineRule="exact"/>
              <w:rPr>
                <w:rFonts w:ascii="宋体" w:hAnsi="宋体" w:eastAsia="宋体"/>
                <w:sz w:val="28"/>
                <w:szCs w:val="28"/>
              </w:rPr>
            </w:pPr>
            <w:r>
              <w:rPr>
                <w:rFonts w:hint="eastAsia" w:ascii="宋体" w:hAnsi="宋体" w:eastAsia="宋体"/>
                <w:sz w:val="28"/>
                <w:szCs w:val="28"/>
              </w:rPr>
              <w:t>注：公司严格遵守信息披露法律法规与投资者交流，如涉及公司战略规划等意向性目标，不视为公司或管理层对公司业绩的保证或承诺，敬请广大投资者注意投资风险。</w:t>
            </w:r>
          </w:p>
        </w:tc>
      </w:tr>
    </w:tbl>
    <w:p w14:paraId="39861A88">
      <w:pPr>
        <w:spacing w:line="20" w:lineRule="exact"/>
        <w:rPr>
          <w:rFonts w:ascii="宋体" w:hAnsi="宋体" w:eastAsia="宋体"/>
          <w:sz w:val="24"/>
        </w:rPr>
      </w:pPr>
    </w:p>
    <w:sectPr>
      <w:headerReference r:id="rId5" w:type="default"/>
      <w:footerReference r:id="rId6" w:type="default"/>
      <w:pgSz w:w="11906" w:h="16838"/>
      <w:pgMar w:top="1440" w:right="1800" w:bottom="1440" w:left="1800" w:header="680"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574822"/>
    </w:sdtPr>
    <w:sdtEndPr>
      <w:rPr>
        <w:rFonts w:ascii="宋体" w:hAnsi="宋体" w:eastAsia="宋体"/>
        <w:sz w:val="28"/>
        <w:szCs w:val="28"/>
      </w:rPr>
    </w:sdtEndPr>
    <w:sdtContent>
      <w:p w14:paraId="012959BD">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CB9D">
    <w:pPr>
      <w:rPr>
        <w:rFonts w:ascii="宋体" w:hAnsi="宋体" w:eastAsia="宋体"/>
        <w:sz w:val="21"/>
        <w:szCs w:val="21"/>
        <w:u w:val="single"/>
      </w:rPr>
    </w:pPr>
    <w:r>
      <w:rPr>
        <w:rFonts w:hint="eastAsia" w:ascii="宋体" w:hAnsi="宋体" w:eastAsia="宋体"/>
        <w:sz w:val="21"/>
        <w:szCs w:val="21"/>
        <w:u w:val="single"/>
      </w:rPr>
      <w:t>证券代码：6</w:t>
    </w:r>
    <w:r>
      <w:rPr>
        <w:rFonts w:ascii="宋体" w:hAnsi="宋体" w:eastAsia="宋体"/>
        <w:sz w:val="21"/>
        <w:szCs w:val="21"/>
        <w:u w:val="single"/>
      </w:rPr>
      <w:t xml:space="preserve">00111                                             </w:t>
    </w:r>
    <w:r>
      <w:rPr>
        <w:rFonts w:hint="eastAsia" w:ascii="宋体" w:hAnsi="宋体" w:eastAsia="宋体"/>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6589F"/>
    <w:rsid w:val="00071B8F"/>
    <w:rsid w:val="00071E74"/>
    <w:rsid w:val="00074CD4"/>
    <w:rsid w:val="000758DB"/>
    <w:rsid w:val="00076053"/>
    <w:rsid w:val="00081740"/>
    <w:rsid w:val="00083FBE"/>
    <w:rsid w:val="000852E1"/>
    <w:rsid w:val="00086DB4"/>
    <w:rsid w:val="00090A30"/>
    <w:rsid w:val="0009116C"/>
    <w:rsid w:val="00093D21"/>
    <w:rsid w:val="00097DD2"/>
    <w:rsid w:val="000A1F09"/>
    <w:rsid w:val="000A2861"/>
    <w:rsid w:val="000A61BB"/>
    <w:rsid w:val="000A73E5"/>
    <w:rsid w:val="000A7CB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56"/>
    <w:rsid w:val="001B7CBC"/>
    <w:rsid w:val="001C02D2"/>
    <w:rsid w:val="001C0F9B"/>
    <w:rsid w:val="001C29FD"/>
    <w:rsid w:val="001C2B1A"/>
    <w:rsid w:val="001C2EB1"/>
    <w:rsid w:val="001C3079"/>
    <w:rsid w:val="001C3895"/>
    <w:rsid w:val="001C4798"/>
    <w:rsid w:val="001C5AC8"/>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32EB"/>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54B6"/>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58"/>
    <w:rsid w:val="00334A60"/>
    <w:rsid w:val="00334C24"/>
    <w:rsid w:val="00336316"/>
    <w:rsid w:val="003366E0"/>
    <w:rsid w:val="0033772A"/>
    <w:rsid w:val="0034086F"/>
    <w:rsid w:val="00341220"/>
    <w:rsid w:val="00342B30"/>
    <w:rsid w:val="00342DDF"/>
    <w:rsid w:val="00345801"/>
    <w:rsid w:val="00350231"/>
    <w:rsid w:val="00352A6C"/>
    <w:rsid w:val="00352D13"/>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1C9F"/>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2AF1"/>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64A29"/>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4129D"/>
    <w:rsid w:val="005412F7"/>
    <w:rsid w:val="0054154E"/>
    <w:rsid w:val="00541CCC"/>
    <w:rsid w:val="005421FD"/>
    <w:rsid w:val="00543EB9"/>
    <w:rsid w:val="00544659"/>
    <w:rsid w:val="00547A54"/>
    <w:rsid w:val="005502D8"/>
    <w:rsid w:val="00550A0A"/>
    <w:rsid w:val="005512B7"/>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5FB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89D"/>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1825"/>
    <w:rsid w:val="0074248B"/>
    <w:rsid w:val="00742F18"/>
    <w:rsid w:val="0074644E"/>
    <w:rsid w:val="00746D7A"/>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88C"/>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0E82"/>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4651"/>
    <w:rsid w:val="00906508"/>
    <w:rsid w:val="00907958"/>
    <w:rsid w:val="009117F5"/>
    <w:rsid w:val="009137FC"/>
    <w:rsid w:val="0091442D"/>
    <w:rsid w:val="0091500A"/>
    <w:rsid w:val="0091641C"/>
    <w:rsid w:val="00916653"/>
    <w:rsid w:val="00920C63"/>
    <w:rsid w:val="0092287B"/>
    <w:rsid w:val="00922A22"/>
    <w:rsid w:val="00925DDA"/>
    <w:rsid w:val="00925E4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464B"/>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619F"/>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057A0"/>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0BB5"/>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23A"/>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2EA555A0"/>
    <w:rsid w:val="395B2DFA"/>
    <w:rsid w:val="3A0410D5"/>
    <w:rsid w:val="46635CB4"/>
    <w:rsid w:val="49AB6BF2"/>
    <w:rsid w:val="4EE85FA7"/>
    <w:rsid w:val="541E08EB"/>
    <w:rsid w:val="5A8176D7"/>
    <w:rsid w:val="645A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eastAsia="仿宋_GB2312" w:cs="Times New Roman"/>
      <w:sz w:val="18"/>
      <w:szCs w:val="18"/>
    </w:rPr>
  </w:style>
  <w:style w:type="character" w:customStyle="1" w:styleId="13">
    <w:name w:val="页脚 Char"/>
    <w:basedOn w:val="9"/>
    <w:link w:val="4"/>
    <w:qFormat/>
    <w:uiPriority w:val="99"/>
    <w:rPr>
      <w:rFonts w:ascii="Times New Roman" w:hAnsi="Times New Roman" w:eastAsia="仿宋_GB2312" w:cs="Times New Roman"/>
      <w:sz w:val="18"/>
      <w:szCs w:val="18"/>
    </w:rPr>
  </w:style>
  <w:style w:type="character" w:customStyle="1" w:styleId="14">
    <w:name w:val="批注框文本 Char"/>
    <w:basedOn w:val="9"/>
    <w:link w:val="3"/>
    <w:semiHidden/>
    <w:qFormat/>
    <w:uiPriority w:val="99"/>
    <w:rPr>
      <w:rFonts w:ascii="Times New Roman" w:hAnsi="Times New Roman" w:eastAsia="仿宋_GB2312" w:cs="Times New Roman"/>
      <w:sz w:val="18"/>
      <w:szCs w:val="18"/>
    </w:rPr>
  </w:style>
  <w:style w:type="character" w:customStyle="1" w:styleId="15">
    <w:name w:val="dt-editor__word"/>
    <w:basedOn w:val="9"/>
    <w:qFormat/>
    <w:uiPriority w:val="0"/>
  </w:style>
  <w:style w:type="paragraph" w:customStyle="1" w:styleId="16">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7">
    <w:name w:val="批注文字 Char"/>
    <w:basedOn w:val="9"/>
    <w:link w:val="2"/>
    <w:semiHidden/>
    <w:qFormat/>
    <w:uiPriority w:val="99"/>
    <w:rPr>
      <w:rFonts w:ascii="Times New Roman" w:hAnsi="Times New Roman" w:eastAsia="仿宋_GB2312" w:cs="Times New Roman"/>
      <w:kern w:val="2"/>
      <w:sz w:val="32"/>
      <w:szCs w:val="24"/>
    </w:rPr>
  </w:style>
  <w:style w:type="character" w:customStyle="1" w:styleId="18">
    <w:name w:val="批注主题 Char"/>
    <w:basedOn w:val="17"/>
    <w:link w:val="6"/>
    <w:semiHidden/>
    <w:qFormat/>
    <w:uiPriority w:val="99"/>
    <w:rPr>
      <w:rFonts w:ascii="Times New Roman" w:hAnsi="Times New Roman" w:eastAsia="仿宋_GB2312" w:cs="Times New Roman"/>
      <w:b/>
      <w:bCs/>
      <w:kern w:val="2"/>
      <w:sz w:val="32"/>
      <w:szCs w:val="24"/>
    </w:rPr>
  </w:style>
  <w:style w:type="paragraph" w:styleId="19">
    <w:name w:val="List Paragraph"/>
    <w:basedOn w:val="1"/>
    <w:link w:val="20"/>
    <w:qFormat/>
    <w:uiPriority w:val="34"/>
    <w:pPr>
      <w:spacing w:line="240" w:lineRule="auto"/>
      <w:ind w:firstLine="420" w:firstLineChars="200"/>
    </w:pPr>
    <w:rPr>
      <w:rFonts w:eastAsia="宋体"/>
      <w:sz w:val="21"/>
      <w:szCs w:val="21"/>
    </w:rPr>
  </w:style>
  <w:style w:type="character" w:customStyle="1" w:styleId="20">
    <w:name w:val="列出段落 Char"/>
    <w:link w:val="19"/>
    <w:qFormat/>
    <w:locked/>
    <w:uiPriority w:val="34"/>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3005</Words>
  <Characters>3099</Characters>
  <Lines>1</Lines>
  <Paragraphs>6</Paragraphs>
  <TotalTime>261</TotalTime>
  <ScaleCrop>false</ScaleCrop>
  <LinksUpToDate>false</LinksUpToDate>
  <CharactersWithSpaces>3123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2025-06-30T00:15:00Z</dcterms:created>
  <dc:creator>郭 剑</dc:creator>
  <cp:lastModifiedBy>Rebe</cp:lastModifiedBy>
  <cp:lastPrinted>2025-04-30T08:03:00Z</cp:lastPrinted>
  <dcterms:modified xsi:type="dcterms:W3CDTF">2025-07-31T10:23:16Z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