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404FD" w14:textId="77777777" w:rsidR="00F91989" w:rsidRDefault="006E5441">
      <w:pPr>
        <w:rPr>
          <w:rFonts w:ascii="黑体" w:eastAsia="黑体" w:hAnsi="黑体"/>
          <w:color w:val="FF0000"/>
          <w:sz w:val="44"/>
          <w:szCs w:val="44"/>
        </w:rPr>
      </w:pPr>
      <w:bookmarkStart w:id="0" w:name="_GoBack"/>
      <w:bookmarkEnd w:id="0"/>
      <w:r>
        <w:rPr>
          <w:rFonts w:ascii="黑体" w:eastAsia="黑体" w:hAnsi="黑体" w:hint="eastAsia"/>
          <w:color w:val="FF0000"/>
          <w:sz w:val="44"/>
          <w:szCs w:val="44"/>
        </w:rPr>
        <w:t>中国北方稀土（集团）高科技股份有限公司</w:t>
      </w:r>
    </w:p>
    <w:p w14:paraId="36A01AFA" w14:textId="77777777" w:rsidR="00F91989" w:rsidRDefault="006E5441">
      <w:pPr>
        <w:jc w:val="center"/>
        <w:rPr>
          <w:rFonts w:ascii="黑体" w:eastAsia="黑体" w:hAnsi="黑体"/>
          <w:color w:val="FF0000"/>
          <w:sz w:val="44"/>
          <w:szCs w:val="44"/>
        </w:rPr>
      </w:pPr>
      <w:r>
        <w:rPr>
          <w:rFonts w:ascii="黑体" w:eastAsia="黑体" w:hAnsi="黑体" w:hint="eastAsia"/>
          <w:color w:val="FF0000"/>
          <w:sz w:val="44"/>
          <w:szCs w:val="44"/>
        </w:rPr>
        <w:t>投资者关系活动记录表</w:t>
      </w:r>
    </w:p>
    <w:p w14:paraId="3737C415" w14:textId="2DC10157" w:rsidR="00F91989" w:rsidRDefault="006E5441">
      <w:pPr>
        <w:jc w:val="right"/>
        <w:rPr>
          <w:rFonts w:ascii="宋体" w:eastAsia="宋体" w:hAnsi="宋体"/>
          <w:sz w:val="28"/>
          <w:szCs w:val="28"/>
        </w:rPr>
      </w:pPr>
      <w:r>
        <w:rPr>
          <w:rFonts w:ascii="宋体" w:eastAsia="宋体" w:hAnsi="宋体" w:hint="eastAsia"/>
          <w:sz w:val="28"/>
          <w:szCs w:val="28"/>
        </w:rPr>
        <w:t>编号：2</w:t>
      </w:r>
      <w:r>
        <w:rPr>
          <w:rFonts w:ascii="宋体" w:eastAsia="宋体" w:hAnsi="宋体"/>
          <w:sz w:val="28"/>
          <w:szCs w:val="28"/>
        </w:rPr>
        <w:t>025-0</w:t>
      </w:r>
      <w:r>
        <w:rPr>
          <w:rFonts w:ascii="宋体" w:eastAsia="宋体" w:hAnsi="宋体" w:hint="eastAsia"/>
          <w:sz w:val="28"/>
          <w:szCs w:val="28"/>
        </w:rPr>
        <w:t>2</w:t>
      </w:r>
      <w:r w:rsidR="00B24A90">
        <w:rPr>
          <w:rFonts w:ascii="宋体" w:eastAsia="宋体" w:hAnsi="宋体" w:hint="eastAsia"/>
          <w:sz w:val="28"/>
          <w:szCs w:val="28"/>
        </w:rPr>
        <w:t>4</w:t>
      </w:r>
    </w:p>
    <w:tbl>
      <w:tblPr>
        <w:tblStyle w:val="a8"/>
        <w:tblW w:w="8789" w:type="dxa"/>
        <w:jc w:val="center"/>
        <w:tblLook w:val="04A0" w:firstRow="1" w:lastRow="0" w:firstColumn="1" w:lastColumn="0" w:noHBand="0" w:noVBand="1"/>
      </w:tblPr>
      <w:tblGrid>
        <w:gridCol w:w="2122"/>
        <w:gridCol w:w="6667"/>
      </w:tblGrid>
      <w:tr w:rsidR="00F91989" w14:paraId="2700D6DF" w14:textId="77777777">
        <w:trPr>
          <w:jc w:val="center"/>
        </w:trPr>
        <w:tc>
          <w:tcPr>
            <w:tcW w:w="2122" w:type="dxa"/>
            <w:vAlign w:val="center"/>
          </w:tcPr>
          <w:p w14:paraId="716A3C9B" w14:textId="77777777" w:rsidR="00F91989" w:rsidRDefault="006E5441">
            <w:pPr>
              <w:spacing w:line="400" w:lineRule="exact"/>
              <w:jc w:val="center"/>
              <w:rPr>
                <w:rFonts w:ascii="宋体" w:eastAsia="宋体" w:hAnsi="宋体"/>
                <w:sz w:val="28"/>
                <w:szCs w:val="28"/>
              </w:rPr>
            </w:pPr>
            <w:r>
              <w:rPr>
                <w:rFonts w:ascii="宋体" w:eastAsia="宋体" w:hAnsi="宋体" w:hint="eastAsia"/>
                <w:sz w:val="28"/>
                <w:szCs w:val="28"/>
              </w:rPr>
              <w:t>投资者关系</w:t>
            </w:r>
          </w:p>
          <w:p w14:paraId="13A4047E" w14:textId="77777777" w:rsidR="00F91989" w:rsidRDefault="006E5441">
            <w:pPr>
              <w:spacing w:line="400" w:lineRule="exact"/>
              <w:jc w:val="center"/>
              <w:rPr>
                <w:rFonts w:ascii="宋体" w:eastAsia="宋体" w:hAnsi="宋体"/>
                <w:sz w:val="28"/>
                <w:szCs w:val="28"/>
              </w:rPr>
            </w:pPr>
            <w:r>
              <w:rPr>
                <w:rFonts w:ascii="宋体" w:eastAsia="宋体" w:hAnsi="宋体" w:hint="eastAsia"/>
                <w:sz w:val="28"/>
                <w:szCs w:val="28"/>
              </w:rPr>
              <w:t>活动类别</w:t>
            </w:r>
          </w:p>
        </w:tc>
        <w:tc>
          <w:tcPr>
            <w:tcW w:w="6667" w:type="dxa"/>
          </w:tcPr>
          <w:p w14:paraId="164D04C2" w14:textId="77777777" w:rsidR="00F91989" w:rsidRDefault="006E5441">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特定对象调研 </w:t>
            </w:r>
            <w:r>
              <w:rPr>
                <w:rFonts w:ascii="宋体" w:eastAsia="宋体" w:hAnsi="宋体"/>
                <w:sz w:val="28"/>
                <w:szCs w:val="28"/>
              </w:rPr>
              <w:t xml:space="preserve">  </w:t>
            </w:r>
            <w:r>
              <w:rPr>
                <w:rFonts w:ascii="宋体" w:eastAsia="宋体" w:hAnsi="宋体" w:hint="eastAsia"/>
                <w:sz w:val="28"/>
                <w:szCs w:val="28"/>
              </w:rPr>
              <w:t xml:space="preserve">□分析师会议 </w:t>
            </w:r>
            <w:r>
              <w:rPr>
                <w:rFonts w:ascii="宋体" w:eastAsia="宋体" w:hAnsi="宋体"/>
                <w:sz w:val="28"/>
                <w:szCs w:val="28"/>
              </w:rPr>
              <w:t xml:space="preserve">      </w:t>
            </w:r>
          </w:p>
          <w:p w14:paraId="23BC35AF" w14:textId="77777777" w:rsidR="00F91989" w:rsidRDefault="006E5441">
            <w:pPr>
              <w:spacing w:line="540" w:lineRule="exact"/>
              <w:rPr>
                <w:rFonts w:ascii="宋体" w:eastAsia="宋体" w:hAnsi="宋体"/>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14:paraId="06643EB0" w14:textId="77777777" w:rsidR="00F91989" w:rsidRDefault="006E5441">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Pr>
                <w:rFonts w:ascii="宋体" w:eastAsia="宋体" w:hAnsi="宋体" w:hint="eastAsia"/>
                <w:sz w:val="28"/>
                <w:szCs w:val="28"/>
              </w:rPr>
              <w:t>□路演活动</w:t>
            </w:r>
          </w:p>
          <w:p w14:paraId="4EC59DAF" w14:textId="77777777" w:rsidR="00F91989" w:rsidRDefault="006E5441">
            <w:pPr>
              <w:spacing w:line="540" w:lineRule="exact"/>
              <w:rPr>
                <w:rFonts w:ascii="宋体" w:eastAsia="宋体" w:hAnsi="宋体"/>
                <w:sz w:val="28"/>
                <w:szCs w:val="28"/>
              </w:rPr>
            </w:pPr>
            <w:r>
              <w:rPr>
                <w:rFonts w:ascii="宋体" w:eastAsia="宋体" w:hAnsi="宋体" w:hint="eastAsia"/>
                <w:sz w:val="28"/>
                <w:szCs w:val="28"/>
              </w:rPr>
              <w:t>□现场参观</w:t>
            </w:r>
          </w:p>
          <w:p w14:paraId="0E3F21D0" w14:textId="77777777" w:rsidR="00F91989" w:rsidRDefault="006E5441">
            <w:pPr>
              <w:spacing w:line="540" w:lineRule="exact"/>
              <w:rPr>
                <w:rFonts w:ascii="宋体" w:eastAsia="宋体" w:hAnsi="宋体"/>
                <w:sz w:val="28"/>
                <w:szCs w:val="28"/>
              </w:rPr>
            </w:pPr>
            <w:r>
              <w:rPr>
                <w:rFonts w:ascii="宋体" w:eastAsia="宋体" w:hAnsi="宋体" w:hint="eastAsia"/>
                <w:sz w:val="28"/>
                <w:szCs w:val="28"/>
              </w:rPr>
              <w:t>□其他（</w:t>
            </w:r>
            <w:proofErr w:type="gramStart"/>
            <w:r>
              <w:rPr>
                <w:rFonts w:ascii="宋体" w:eastAsia="宋体" w:hAnsi="宋体" w:hint="eastAsia"/>
                <w:sz w:val="28"/>
                <w:szCs w:val="28"/>
              </w:rPr>
              <w:t>请文字</w:t>
            </w:r>
            <w:proofErr w:type="gramEnd"/>
            <w:r>
              <w:rPr>
                <w:rFonts w:ascii="宋体" w:eastAsia="宋体" w:hAnsi="宋体" w:hint="eastAsia"/>
                <w:sz w:val="28"/>
                <w:szCs w:val="28"/>
              </w:rPr>
              <w:t>说明其他活动内容）</w:t>
            </w:r>
          </w:p>
        </w:tc>
      </w:tr>
      <w:tr w:rsidR="00F91989" w14:paraId="35C5B9CE" w14:textId="77777777">
        <w:trPr>
          <w:trHeight w:val="2052"/>
          <w:jc w:val="center"/>
        </w:trPr>
        <w:tc>
          <w:tcPr>
            <w:tcW w:w="2122" w:type="dxa"/>
            <w:vAlign w:val="center"/>
          </w:tcPr>
          <w:p w14:paraId="663FE63A" w14:textId="77777777" w:rsidR="00F91989" w:rsidRDefault="006E5441">
            <w:pPr>
              <w:spacing w:line="400" w:lineRule="exact"/>
              <w:jc w:val="center"/>
              <w:rPr>
                <w:rFonts w:ascii="宋体" w:eastAsia="宋体" w:hAnsi="宋体"/>
                <w:sz w:val="28"/>
                <w:szCs w:val="28"/>
              </w:rPr>
            </w:pPr>
            <w:r>
              <w:rPr>
                <w:rFonts w:ascii="宋体" w:eastAsia="宋体" w:hAnsi="宋体" w:hint="eastAsia"/>
                <w:sz w:val="28"/>
                <w:szCs w:val="28"/>
              </w:rPr>
              <w:t>参会单位（排名不分先后）</w:t>
            </w:r>
          </w:p>
        </w:tc>
        <w:tc>
          <w:tcPr>
            <w:tcW w:w="6667" w:type="dxa"/>
            <w:vAlign w:val="center"/>
          </w:tcPr>
          <w:p w14:paraId="3C702845" w14:textId="3C5088DF" w:rsidR="00F91989" w:rsidRDefault="006E5441" w:rsidP="00476EC5">
            <w:pPr>
              <w:spacing w:line="460" w:lineRule="exact"/>
              <w:rPr>
                <w:rFonts w:ascii="宋体" w:eastAsia="宋体" w:hAnsi="宋体"/>
                <w:sz w:val="28"/>
                <w:szCs w:val="28"/>
              </w:rPr>
            </w:pPr>
            <w:r>
              <w:rPr>
                <w:rFonts w:ascii="宋体" w:eastAsia="宋体" w:hAnsi="宋体" w:hint="eastAsia"/>
                <w:sz w:val="28"/>
                <w:szCs w:val="28"/>
              </w:rPr>
              <w:t>招商证券、</w:t>
            </w:r>
            <w:r w:rsidR="00B24A90">
              <w:rPr>
                <w:rFonts w:ascii="宋体" w:eastAsia="宋体" w:hAnsi="宋体" w:hint="eastAsia"/>
                <w:sz w:val="28"/>
                <w:szCs w:val="28"/>
              </w:rPr>
              <w:t>银华基金</w:t>
            </w:r>
          </w:p>
        </w:tc>
      </w:tr>
      <w:tr w:rsidR="00F91989" w14:paraId="4A4ADAA4" w14:textId="77777777">
        <w:trPr>
          <w:trHeight w:val="510"/>
          <w:jc w:val="center"/>
        </w:trPr>
        <w:tc>
          <w:tcPr>
            <w:tcW w:w="2122" w:type="dxa"/>
            <w:vAlign w:val="center"/>
          </w:tcPr>
          <w:p w14:paraId="7D75EC66" w14:textId="77777777" w:rsidR="00F91989" w:rsidRDefault="006E5441">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667" w:type="dxa"/>
            <w:vAlign w:val="center"/>
          </w:tcPr>
          <w:p w14:paraId="2FFAF9B8" w14:textId="5C01616D" w:rsidR="00F91989" w:rsidRDefault="006E5441">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5年7月2</w:t>
            </w:r>
            <w:r w:rsidR="00B24A90">
              <w:rPr>
                <w:rFonts w:ascii="宋体" w:eastAsia="宋体" w:hAnsi="宋体" w:hint="eastAsia"/>
                <w:sz w:val="28"/>
                <w:szCs w:val="28"/>
              </w:rPr>
              <w:t>4</w:t>
            </w:r>
            <w:r>
              <w:rPr>
                <w:rFonts w:ascii="宋体" w:eastAsia="宋体" w:hAnsi="宋体" w:hint="eastAsia"/>
                <w:sz w:val="28"/>
                <w:szCs w:val="28"/>
              </w:rPr>
              <w:t>日下午</w:t>
            </w:r>
          </w:p>
        </w:tc>
      </w:tr>
      <w:tr w:rsidR="00F91989" w14:paraId="4B2BE8F5" w14:textId="77777777">
        <w:trPr>
          <w:trHeight w:val="510"/>
          <w:jc w:val="center"/>
        </w:trPr>
        <w:tc>
          <w:tcPr>
            <w:tcW w:w="2122" w:type="dxa"/>
            <w:vAlign w:val="center"/>
          </w:tcPr>
          <w:p w14:paraId="34B29467" w14:textId="77777777" w:rsidR="00F91989" w:rsidRDefault="006E5441">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667" w:type="dxa"/>
            <w:vAlign w:val="center"/>
          </w:tcPr>
          <w:p w14:paraId="41F4108E" w14:textId="77777777" w:rsidR="00F91989" w:rsidRDefault="006E5441">
            <w:pPr>
              <w:spacing w:line="240" w:lineRule="auto"/>
              <w:rPr>
                <w:rFonts w:ascii="宋体" w:eastAsia="宋体" w:hAnsi="宋体"/>
                <w:sz w:val="28"/>
                <w:szCs w:val="28"/>
              </w:rPr>
            </w:pPr>
            <w:proofErr w:type="gramStart"/>
            <w:r>
              <w:rPr>
                <w:rFonts w:ascii="宋体" w:eastAsia="宋体" w:hAnsi="宋体" w:hint="eastAsia"/>
                <w:sz w:val="28"/>
                <w:szCs w:val="28"/>
              </w:rPr>
              <w:t>腾讯会议</w:t>
            </w:r>
            <w:proofErr w:type="gramEnd"/>
            <w:r>
              <w:rPr>
                <w:rFonts w:ascii="宋体" w:eastAsia="宋体" w:hAnsi="宋体" w:hint="eastAsia"/>
                <w:sz w:val="28"/>
                <w:szCs w:val="28"/>
              </w:rPr>
              <w:t>线上调研</w:t>
            </w:r>
          </w:p>
        </w:tc>
      </w:tr>
      <w:tr w:rsidR="00F91989" w14:paraId="46CDB3D1" w14:textId="77777777">
        <w:trPr>
          <w:trHeight w:val="1247"/>
          <w:jc w:val="center"/>
        </w:trPr>
        <w:tc>
          <w:tcPr>
            <w:tcW w:w="2122" w:type="dxa"/>
            <w:vAlign w:val="center"/>
          </w:tcPr>
          <w:p w14:paraId="6E94E2E1" w14:textId="77777777" w:rsidR="00F91989" w:rsidRDefault="006E5441">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667" w:type="dxa"/>
            <w:vAlign w:val="center"/>
          </w:tcPr>
          <w:p w14:paraId="60D0D6CF" w14:textId="77777777" w:rsidR="00F91989" w:rsidRDefault="006E5441">
            <w:pPr>
              <w:spacing w:line="540" w:lineRule="exact"/>
              <w:rPr>
                <w:rFonts w:ascii="宋体" w:eastAsia="宋体" w:hAnsi="宋体"/>
                <w:sz w:val="28"/>
                <w:szCs w:val="28"/>
              </w:rPr>
            </w:pPr>
            <w:r>
              <w:rPr>
                <w:rFonts w:ascii="宋体" w:eastAsia="宋体" w:hAnsi="宋体" w:hint="eastAsia"/>
                <w:sz w:val="28"/>
                <w:szCs w:val="28"/>
              </w:rPr>
              <w:t>公司董事、董事会秘</w:t>
            </w:r>
            <w:r>
              <w:rPr>
                <w:rFonts w:ascii="宋体" w:eastAsia="宋体" w:hAnsi="宋体" w:cs="微软雅黑" w:hint="eastAsia"/>
                <w:sz w:val="28"/>
                <w:szCs w:val="28"/>
              </w:rPr>
              <w:t>书</w:t>
            </w:r>
            <w:r>
              <w:rPr>
                <w:rFonts w:ascii="宋体" w:eastAsia="宋体" w:hAnsi="宋体" w:cs="MS Gothic" w:hint="eastAsia"/>
                <w:sz w:val="28"/>
                <w:szCs w:val="28"/>
              </w:rPr>
              <w:t>、首席合</w:t>
            </w:r>
            <w:proofErr w:type="gramStart"/>
            <w:r>
              <w:rPr>
                <w:rFonts w:ascii="宋体" w:eastAsia="宋体" w:hAnsi="宋体" w:cs="微软雅黑" w:hint="eastAsia"/>
                <w:sz w:val="28"/>
                <w:szCs w:val="28"/>
              </w:rPr>
              <w:t>规</w:t>
            </w:r>
            <w:proofErr w:type="gramEnd"/>
            <w:r>
              <w:rPr>
                <w:rFonts w:ascii="宋体" w:eastAsia="宋体" w:hAnsi="宋体" w:cs="MS Gothic" w:hint="eastAsia"/>
                <w:sz w:val="28"/>
                <w:szCs w:val="28"/>
              </w:rPr>
              <w:t>官吴永</w:t>
            </w:r>
            <w:r>
              <w:rPr>
                <w:rFonts w:ascii="宋体" w:eastAsia="宋体" w:hAnsi="宋体" w:cs="微软雅黑" w:hint="eastAsia"/>
                <w:sz w:val="28"/>
                <w:szCs w:val="28"/>
              </w:rPr>
              <w:t>钢先生</w:t>
            </w:r>
            <w:r>
              <w:rPr>
                <w:rFonts w:ascii="宋体" w:eastAsia="宋体" w:hAnsi="宋体" w:hint="eastAsia"/>
                <w:sz w:val="28"/>
                <w:szCs w:val="28"/>
              </w:rPr>
              <w:t>，证券部等相关部</w:t>
            </w:r>
            <w:r>
              <w:rPr>
                <w:rFonts w:ascii="宋体" w:eastAsia="宋体" w:hAnsi="宋体" w:cs="微软雅黑" w:hint="eastAsia"/>
                <w:sz w:val="28"/>
                <w:szCs w:val="28"/>
              </w:rPr>
              <w:t>门</w:t>
            </w:r>
            <w:r>
              <w:rPr>
                <w:rFonts w:ascii="宋体" w:eastAsia="宋体" w:hAnsi="宋体" w:hint="eastAsia"/>
                <w:sz w:val="28"/>
                <w:szCs w:val="28"/>
              </w:rPr>
              <w:t>人</w:t>
            </w:r>
            <w:r>
              <w:rPr>
                <w:rFonts w:ascii="宋体" w:eastAsia="宋体" w:hAnsi="宋体" w:cs="微软雅黑" w:hint="eastAsia"/>
                <w:sz w:val="28"/>
                <w:szCs w:val="28"/>
              </w:rPr>
              <w:t>员</w:t>
            </w:r>
            <w:r>
              <w:rPr>
                <w:rFonts w:ascii="宋体" w:eastAsia="宋体" w:hAnsi="宋体" w:hint="eastAsia"/>
                <w:sz w:val="28"/>
                <w:szCs w:val="28"/>
              </w:rPr>
              <w:t>。</w:t>
            </w:r>
          </w:p>
        </w:tc>
      </w:tr>
      <w:tr w:rsidR="00F91989" w14:paraId="4DF258DB" w14:textId="77777777">
        <w:trPr>
          <w:trHeight w:val="416"/>
          <w:jc w:val="center"/>
        </w:trPr>
        <w:tc>
          <w:tcPr>
            <w:tcW w:w="2122" w:type="dxa"/>
            <w:vAlign w:val="center"/>
          </w:tcPr>
          <w:p w14:paraId="5C7832FD" w14:textId="77777777" w:rsidR="00F91989" w:rsidRDefault="006E5441">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667" w:type="dxa"/>
          </w:tcPr>
          <w:p w14:paraId="0A48FA7E" w14:textId="1A9BD804" w:rsidR="00B24A90" w:rsidRPr="00576A66" w:rsidRDefault="006E5441" w:rsidP="00B24A90">
            <w:pPr>
              <w:spacing w:line="500" w:lineRule="exact"/>
              <w:ind w:firstLineChars="200" w:firstLine="562"/>
              <w:rPr>
                <w:rFonts w:ascii="宋体" w:eastAsia="宋体" w:hAnsi="宋体"/>
                <w:bCs/>
                <w:sz w:val="28"/>
                <w:szCs w:val="28"/>
              </w:rPr>
            </w:pPr>
            <w:r>
              <w:rPr>
                <w:rFonts w:ascii="宋体" w:eastAsia="宋体" w:hAnsi="宋体" w:hint="eastAsia"/>
                <w:b/>
                <w:sz w:val="28"/>
                <w:szCs w:val="28"/>
              </w:rPr>
              <w:t>问：</w:t>
            </w:r>
            <w:r w:rsidR="00B24A90" w:rsidRPr="00B24A90">
              <w:rPr>
                <w:rFonts w:ascii="宋体" w:eastAsia="宋体" w:hAnsi="宋体" w:hint="eastAsia"/>
                <w:b/>
                <w:sz w:val="28"/>
                <w:szCs w:val="28"/>
              </w:rPr>
              <w:t>如何看国内稀土行业整合前景？</w:t>
            </w:r>
          </w:p>
          <w:p w14:paraId="29CCD94C" w14:textId="6576CC20" w:rsidR="00B24A90" w:rsidRPr="00B24A90" w:rsidRDefault="000065B7" w:rsidP="00B24A90">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w:t>
            </w:r>
            <w:r w:rsidRPr="000065B7">
              <w:rPr>
                <w:rFonts w:ascii="宋体" w:eastAsia="宋体" w:hAnsi="宋体" w:hint="eastAsia"/>
                <w:bCs/>
                <w:sz w:val="28"/>
                <w:szCs w:val="28"/>
              </w:rPr>
              <w:t>总体来看，国内稀土行业在政策驱动下加速整合。目前国内的稀土行业形成“</w:t>
            </w:r>
            <w:proofErr w:type="gramStart"/>
            <w:r w:rsidRPr="000065B7">
              <w:rPr>
                <w:rFonts w:ascii="宋体" w:eastAsia="宋体" w:hAnsi="宋体" w:hint="eastAsia"/>
                <w:bCs/>
                <w:sz w:val="28"/>
                <w:szCs w:val="28"/>
              </w:rPr>
              <w:t>一</w:t>
            </w:r>
            <w:proofErr w:type="gramEnd"/>
            <w:r w:rsidRPr="000065B7">
              <w:rPr>
                <w:rFonts w:ascii="宋体" w:eastAsia="宋体" w:hAnsi="宋体" w:hint="eastAsia"/>
                <w:bCs/>
                <w:sz w:val="28"/>
                <w:szCs w:val="28"/>
              </w:rPr>
              <w:t>南</w:t>
            </w:r>
            <w:proofErr w:type="gramStart"/>
            <w:r w:rsidRPr="000065B7">
              <w:rPr>
                <w:rFonts w:ascii="宋体" w:eastAsia="宋体" w:hAnsi="宋体" w:hint="eastAsia"/>
                <w:bCs/>
                <w:sz w:val="28"/>
                <w:szCs w:val="28"/>
              </w:rPr>
              <w:t>一</w:t>
            </w:r>
            <w:proofErr w:type="gramEnd"/>
            <w:r w:rsidRPr="000065B7">
              <w:rPr>
                <w:rFonts w:ascii="宋体" w:eastAsia="宋体" w:hAnsi="宋体" w:hint="eastAsia"/>
                <w:bCs/>
                <w:sz w:val="28"/>
                <w:szCs w:val="28"/>
              </w:rPr>
              <w:t>北”“南重北轻”的格局，中国稀土集团整合南方相关企业，形成与公司“</w:t>
            </w:r>
            <w:proofErr w:type="gramStart"/>
            <w:r w:rsidRPr="000065B7">
              <w:rPr>
                <w:rFonts w:ascii="宋体" w:eastAsia="宋体" w:hAnsi="宋体" w:hint="eastAsia"/>
                <w:bCs/>
                <w:sz w:val="28"/>
                <w:szCs w:val="28"/>
              </w:rPr>
              <w:t>一</w:t>
            </w:r>
            <w:proofErr w:type="gramEnd"/>
            <w:r w:rsidRPr="000065B7">
              <w:rPr>
                <w:rFonts w:ascii="宋体" w:eastAsia="宋体" w:hAnsi="宋体" w:hint="eastAsia"/>
                <w:bCs/>
                <w:sz w:val="28"/>
                <w:szCs w:val="28"/>
              </w:rPr>
              <w:t>南</w:t>
            </w:r>
            <w:proofErr w:type="gramStart"/>
            <w:r w:rsidRPr="000065B7">
              <w:rPr>
                <w:rFonts w:ascii="宋体" w:eastAsia="宋体" w:hAnsi="宋体" w:hint="eastAsia"/>
                <w:bCs/>
                <w:sz w:val="28"/>
                <w:szCs w:val="28"/>
              </w:rPr>
              <w:t>一</w:t>
            </w:r>
            <w:proofErr w:type="gramEnd"/>
            <w:r w:rsidRPr="000065B7">
              <w:rPr>
                <w:rFonts w:ascii="宋体" w:eastAsia="宋体" w:hAnsi="宋体" w:hint="eastAsia"/>
                <w:bCs/>
                <w:sz w:val="28"/>
                <w:szCs w:val="28"/>
              </w:rPr>
              <w:t>北”的格局。公司以轻稀土为主，中国稀土以中重稀土为主。整合后南北稀土的企业规模更大、技术实力更强、市场影响力更大，在国际市场上能够更好地应对国际竞争，增强我国稀土产业的国际话语权。去年，《稀土管理条例》的颁布对稀土行业产生重大影响。2025年2月，工业与信息化部发</w:t>
            </w:r>
            <w:r w:rsidRPr="000065B7">
              <w:rPr>
                <w:rFonts w:ascii="宋体" w:eastAsia="宋体" w:hAnsi="宋体" w:hint="eastAsia"/>
                <w:bCs/>
                <w:sz w:val="28"/>
                <w:szCs w:val="28"/>
              </w:rPr>
              <w:lastRenderedPageBreak/>
              <w:t>布了《稀土开采和稀土冶炼分离总量调控管理办法（暂行）（公开征求意见稿）》及《稀土产品信息追溯管理办法（暂行）（公开征求意见稿）》，配套规则主要有两大变化：一是条例实施后，将进口矿和国内</w:t>
            </w:r>
            <w:proofErr w:type="gramStart"/>
            <w:r w:rsidRPr="000065B7">
              <w:rPr>
                <w:rFonts w:ascii="宋体" w:eastAsia="宋体" w:hAnsi="宋体" w:hint="eastAsia"/>
                <w:bCs/>
                <w:sz w:val="28"/>
                <w:szCs w:val="28"/>
              </w:rPr>
              <w:t>矿同时</w:t>
            </w:r>
            <w:proofErr w:type="gramEnd"/>
            <w:r w:rsidRPr="000065B7">
              <w:rPr>
                <w:rFonts w:ascii="宋体" w:eastAsia="宋体" w:hAnsi="宋体" w:hint="eastAsia"/>
                <w:bCs/>
                <w:sz w:val="28"/>
                <w:szCs w:val="28"/>
              </w:rPr>
              <w:t>纳入总量控制指标中进行管控；二是工业和信息化部会同有关部门确定稀土开采企业和稀土冶炼分离企业，并向社会公布。稀土开采企业和稀土冶炼分离企业应当是国家推动组建的大型稀土企业集团及所属稀土开采企业和稀土冶炼分离企业。除上述企业外，其他组织和个人不得获得稀土指标。未获得稀土指标的组织和个人不得开展稀土开采和冶炼分离生产活动。在这样的新形势下，对稀土行业的整合会带来新的变化。</w:t>
            </w:r>
          </w:p>
          <w:p w14:paraId="32B90869" w14:textId="16925BDD" w:rsidR="00B24A90" w:rsidRPr="00B24A90" w:rsidRDefault="00B24A90" w:rsidP="00B24A90">
            <w:pPr>
              <w:spacing w:line="500" w:lineRule="exact"/>
              <w:ind w:firstLineChars="200" w:firstLine="562"/>
              <w:rPr>
                <w:rFonts w:ascii="宋体" w:eastAsia="宋体" w:hAnsi="宋体"/>
                <w:b/>
                <w:sz w:val="28"/>
                <w:szCs w:val="28"/>
              </w:rPr>
            </w:pPr>
            <w:r w:rsidRPr="00B24A90">
              <w:rPr>
                <w:rFonts w:ascii="宋体" w:eastAsia="宋体" w:hAnsi="宋体" w:hint="eastAsia"/>
                <w:b/>
                <w:sz w:val="28"/>
                <w:szCs w:val="28"/>
              </w:rPr>
              <w:t>问：公司怎么看今年的稀土总量控制指标？</w:t>
            </w:r>
          </w:p>
          <w:p w14:paraId="7F8468C6" w14:textId="0048E6C3" w:rsidR="00B24A90" w:rsidRPr="00B24A90" w:rsidRDefault="00B24A90" w:rsidP="00B24A90">
            <w:pPr>
              <w:spacing w:line="500" w:lineRule="exact"/>
              <w:ind w:firstLineChars="200" w:firstLine="560"/>
              <w:rPr>
                <w:rFonts w:ascii="宋体" w:eastAsia="宋体" w:hAnsi="宋体"/>
                <w:bCs/>
                <w:sz w:val="28"/>
                <w:szCs w:val="28"/>
              </w:rPr>
            </w:pPr>
            <w:r w:rsidRPr="00B24A90">
              <w:rPr>
                <w:rFonts w:ascii="宋体" w:eastAsia="宋体" w:hAnsi="宋体" w:hint="eastAsia"/>
                <w:bCs/>
                <w:sz w:val="28"/>
                <w:szCs w:val="28"/>
              </w:rPr>
              <w:t>答：今年是《稀土管理条例》颁布之后第一次下发总量控制指标，这次下达的指标与《稀土管理条例》以及《稀土开采和稀土冶炼分离总量调控管理办法（暂行）（公开征求意见稿）》的相关要求基本相同，包括了国内矿生产的冶炼分离产品，也包括了进口矿生产的冶炼分离产品。《稀土管理条例》第十条明确规定：“国家根据稀土资源储量和种类差异、产业发展、生态保护、市场需求等因素，对稀土开采和稀土冶炼分离实行总量调控，并优化动态管理。具体办法由国务院工业和信息化主管部门会同国务院自然资源、发展改革等部门制定”。</w:t>
            </w:r>
            <w:r w:rsidR="000065B7">
              <w:rPr>
                <w:rFonts w:ascii="宋体" w:eastAsia="宋体" w:hAnsi="宋体" w:hint="eastAsia"/>
                <w:bCs/>
                <w:sz w:val="28"/>
                <w:szCs w:val="28"/>
              </w:rPr>
              <w:t>今年</w:t>
            </w:r>
            <w:r w:rsidRPr="00B24A90">
              <w:rPr>
                <w:rFonts w:ascii="宋体" w:eastAsia="宋体" w:hAnsi="宋体" w:hint="eastAsia"/>
                <w:bCs/>
                <w:sz w:val="28"/>
                <w:szCs w:val="28"/>
              </w:rPr>
              <w:t>总量控制指标也是综合考虑市场、企业生产以及稀土行业的供应与需求情况综合制定的。</w:t>
            </w:r>
          </w:p>
          <w:p w14:paraId="15B482D2" w14:textId="7383B27B" w:rsidR="00B24A90" w:rsidRPr="00B24A90" w:rsidRDefault="00B24A90" w:rsidP="00B24A90">
            <w:pPr>
              <w:spacing w:line="500" w:lineRule="exact"/>
              <w:ind w:firstLineChars="200" w:firstLine="562"/>
              <w:rPr>
                <w:rFonts w:ascii="宋体" w:eastAsia="宋体" w:hAnsi="宋体"/>
                <w:b/>
                <w:sz w:val="28"/>
                <w:szCs w:val="28"/>
              </w:rPr>
            </w:pPr>
            <w:r w:rsidRPr="00B24A90">
              <w:rPr>
                <w:rFonts w:ascii="宋体" w:eastAsia="宋体" w:hAnsi="宋体" w:hint="eastAsia"/>
                <w:b/>
                <w:sz w:val="28"/>
                <w:szCs w:val="28"/>
              </w:rPr>
              <w:lastRenderedPageBreak/>
              <w:t>问：公司对未来稀土行业下游需求有何预期？</w:t>
            </w:r>
          </w:p>
          <w:p w14:paraId="490B74C0" w14:textId="595B7026" w:rsidR="00B24A90" w:rsidRPr="00B24A90" w:rsidRDefault="00B24A90" w:rsidP="00B24A90">
            <w:pPr>
              <w:spacing w:line="500" w:lineRule="exact"/>
              <w:ind w:firstLineChars="200" w:firstLine="560"/>
              <w:rPr>
                <w:rFonts w:ascii="宋体" w:eastAsia="宋体" w:hAnsi="宋体"/>
                <w:bCs/>
                <w:sz w:val="28"/>
                <w:szCs w:val="28"/>
              </w:rPr>
            </w:pPr>
            <w:r w:rsidRPr="00B24A90">
              <w:rPr>
                <w:rFonts w:ascii="宋体" w:eastAsia="宋体" w:hAnsi="宋体" w:hint="eastAsia"/>
                <w:bCs/>
                <w:sz w:val="28"/>
                <w:szCs w:val="28"/>
              </w:rPr>
              <w:t>答：</w:t>
            </w:r>
            <w:r w:rsidR="000065B7" w:rsidRPr="000065B7">
              <w:rPr>
                <w:rFonts w:ascii="宋体" w:eastAsia="宋体" w:hAnsi="宋体" w:hint="eastAsia"/>
                <w:bCs/>
                <w:sz w:val="28"/>
                <w:szCs w:val="28"/>
              </w:rPr>
              <w:t>为实现2030</w:t>
            </w:r>
            <w:proofErr w:type="gramStart"/>
            <w:r w:rsidR="000065B7" w:rsidRPr="000065B7">
              <w:rPr>
                <w:rFonts w:ascii="宋体" w:eastAsia="宋体" w:hAnsi="宋体" w:hint="eastAsia"/>
                <w:bCs/>
                <w:sz w:val="28"/>
                <w:szCs w:val="28"/>
              </w:rPr>
              <w:t>碳达峰</w:t>
            </w:r>
            <w:proofErr w:type="gramEnd"/>
            <w:r w:rsidR="000065B7" w:rsidRPr="000065B7">
              <w:rPr>
                <w:rFonts w:ascii="宋体" w:eastAsia="宋体" w:hAnsi="宋体" w:hint="eastAsia"/>
                <w:bCs/>
                <w:sz w:val="28"/>
                <w:szCs w:val="28"/>
              </w:rPr>
              <w:t>、2060碳中和，构建以新能源为主体的新型电力系统，在节能减排的新需求下，以永磁同步为代表的技术在一定领域将带动稀土行业需求成为主流。据了解，目前稀土下游磁材行业的需求量最大，增速最快，对稀土产品的需求量也最多。近几年绿色低碳、“万物电驱”的背景使得磁材需求量增幅在10%左右，预计2025年将保持这一趋势。风电、新能源汽车以及人形机器人、</w:t>
            </w:r>
            <w:proofErr w:type="gramStart"/>
            <w:r w:rsidR="000065B7" w:rsidRPr="000065B7">
              <w:rPr>
                <w:rFonts w:ascii="宋体" w:eastAsia="宋体" w:hAnsi="宋体" w:hint="eastAsia"/>
                <w:bCs/>
                <w:sz w:val="28"/>
                <w:szCs w:val="28"/>
              </w:rPr>
              <w:t>低空经济</w:t>
            </w:r>
            <w:proofErr w:type="gramEnd"/>
            <w:r w:rsidR="000065B7" w:rsidRPr="000065B7">
              <w:rPr>
                <w:rFonts w:ascii="宋体" w:eastAsia="宋体" w:hAnsi="宋体" w:hint="eastAsia"/>
                <w:bCs/>
                <w:sz w:val="28"/>
                <w:szCs w:val="28"/>
              </w:rPr>
              <w:t>等新兴领域迅速发展，为下游需求增长提供有力支撑。另外，手机盖板、半导体、芯片将带来下游抛光</w:t>
            </w:r>
            <w:proofErr w:type="gramStart"/>
            <w:r w:rsidR="000065B7" w:rsidRPr="000065B7">
              <w:rPr>
                <w:rFonts w:ascii="宋体" w:eastAsia="宋体" w:hAnsi="宋体" w:hint="eastAsia"/>
                <w:bCs/>
                <w:sz w:val="28"/>
                <w:szCs w:val="28"/>
              </w:rPr>
              <w:t>粉产业</w:t>
            </w:r>
            <w:proofErr w:type="gramEnd"/>
            <w:r w:rsidR="000065B7" w:rsidRPr="000065B7">
              <w:rPr>
                <w:rFonts w:ascii="宋体" w:eastAsia="宋体" w:hAnsi="宋体" w:hint="eastAsia"/>
                <w:bCs/>
                <w:sz w:val="28"/>
                <w:szCs w:val="28"/>
              </w:rPr>
              <w:t>的发展，贮氢在储能发展的背景下会有新的增量，永磁电机在“两重两新”政策推动下也会有明显增长。因此，公司对未来稀土行业下游需求增长持乐观态度。</w:t>
            </w:r>
          </w:p>
          <w:p w14:paraId="578AC802" w14:textId="3C399E50" w:rsidR="00B24A90" w:rsidRPr="00B24A90" w:rsidRDefault="00B24A90" w:rsidP="00B24A90">
            <w:pPr>
              <w:spacing w:line="500" w:lineRule="exact"/>
              <w:ind w:firstLineChars="200" w:firstLine="562"/>
              <w:rPr>
                <w:rFonts w:ascii="宋体" w:eastAsia="宋体" w:hAnsi="宋体"/>
                <w:bCs/>
                <w:sz w:val="28"/>
                <w:szCs w:val="28"/>
              </w:rPr>
            </w:pPr>
            <w:r w:rsidRPr="00B24A90">
              <w:rPr>
                <w:rFonts w:ascii="宋体" w:eastAsia="宋体" w:hAnsi="宋体" w:hint="eastAsia"/>
                <w:b/>
                <w:sz w:val="28"/>
                <w:szCs w:val="28"/>
              </w:rPr>
              <w:t>问：白云鄂博矿的中重稀土储量有多少？</w:t>
            </w:r>
          </w:p>
          <w:p w14:paraId="0227E1E7" w14:textId="77777777" w:rsidR="00B24A90" w:rsidRPr="00B24A90" w:rsidRDefault="00B24A90" w:rsidP="00B24A90">
            <w:pPr>
              <w:spacing w:line="500" w:lineRule="exact"/>
              <w:ind w:firstLineChars="200" w:firstLine="560"/>
              <w:rPr>
                <w:rFonts w:ascii="宋体" w:eastAsia="宋体" w:hAnsi="宋体"/>
                <w:bCs/>
                <w:sz w:val="28"/>
                <w:szCs w:val="28"/>
              </w:rPr>
            </w:pPr>
            <w:r w:rsidRPr="00B24A90">
              <w:rPr>
                <w:rFonts w:ascii="宋体" w:eastAsia="宋体" w:hAnsi="宋体" w:hint="eastAsia"/>
                <w:bCs/>
                <w:sz w:val="28"/>
                <w:szCs w:val="28"/>
              </w:rPr>
              <w:t>答：根据白云鄂博稀土矿稀土元素配分，轻稀土元素约占98%，中重稀土元素约占2%，据此结合白云鄂博稀土资源总储量测算，白云鄂博矿的中重稀土总量约几十万吨。</w:t>
            </w:r>
          </w:p>
          <w:p w14:paraId="4F1200FB" w14:textId="3EFEEDEE" w:rsidR="00B24A90" w:rsidRPr="00B24A90" w:rsidRDefault="00B24A90" w:rsidP="00B24A90">
            <w:pPr>
              <w:spacing w:line="500" w:lineRule="exact"/>
              <w:ind w:firstLineChars="200" w:firstLine="562"/>
              <w:rPr>
                <w:rFonts w:ascii="宋体" w:eastAsia="宋体" w:hAnsi="宋体"/>
                <w:b/>
                <w:sz w:val="28"/>
                <w:szCs w:val="28"/>
              </w:rPr>
            </w:pPr>
            <w:r w:rsidRPr="00B24A90">
              <w:rPr>
                <w:rFonts w:ascii="宋体" w:eastAsia="宋体" w:hAnsi="宋体" w:hint="eastAsia"/>
                <w:b/>
                <w:sz w:val="28"/>
                <w:szCs w:val="28"/>
              </w:rPr>
              <w:t>问：国外从事稀土生产企业与我国稀土冶炼分离企业在成本和技术上的差距如何？</w:t>
            </w:r>
          </w:p>
          <w:p w14:paraId="00BC8185" w14:textId="67598BC0" w:rsidR="00B24A90" w:rsidRPr="00B24A90" w:rsidRDefault="000065B7" w:rsidP="00B24A90">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w:t>
            </w:r>
            <w:r w:rsidRPr="000065B7">
              <w:rPr>
                <w:rFonts w:ascii="宋体" w:eastAsia="宋体" w:hAnsi="宋体" w:hint="eastAsia"/>
                <w:bCs/>
                <w:sz w:val="28"/>
                <w:szCs w:val="28"/>
              </w:rPr>
              <w:t>我国稀土冶炼分离企业在全球处于显著的领先地位，主要体现在以下方面：一是资源储量丰富，我国是全球稀土资源最丰富的国家，约占全球总储量的40%；二是加工技术先进，我国在稀土冶炼分离等加工技术方面目前处于世界领先地位，稀土冶炼分离产能约占全球90%以上，具有明显的技术优势和规模</w:t>
            </w:r>
            <w:r w:rsidRPr="000065B7">
              <w:rPr>
                <w:rFonts w:ascii="宋体" w:eastAsia="宋体" w:hAnsi="宋体" w:hint="eastAsia"/>
                <w:bCs/>
                <w:sz w:val="28"/>
                <w:szCs w:val="28"/>
              </w:rPr>
              <w:lastRenderedPageBreak/>
              <w:t>优势，尤其是公司有着六十多年的技术积淀，三代人的持续改进使生产工艺更加优化。国家商务部、科技部于2023年12月21日公布《中国禁止出口限制出口技术目录》，将稀土的提炼、加工、利用技术列为禁止出口技术；三是产业链完整，我国稀土产业链覆盖开采、选矿、冶炼分离、深加工及终端应用等环节，稀土永磁材料为节能</w:t>
            </w:r>
            <w:proofErr w:type="gramStart"/>
            <w:r w:rsidRPr="000065B7">
              <w:rPr>
                <w:rFonts w:ascii="宋体" w:eastAsia="宋体" w:hAnsi="宋体" w:hint="eastAsia"/>
                <w:bCs/>
                <w:sz w:val="28"/>
                <w:szCs w:val="28"/>
              </w:rPr>
              <w:t>降碳提供</w:t>
            </w:r>
            <w:proofErr w:type="gramEnd"/>
            <w:r w:rsidRPr="000065B7">
              <w:rPr>
                <w:rFonts w:ascii="宋体" w:eastAsia="宋体" w:hAnsi="宋体" w:hint="eastAsia"/>
                <w:bCs/>
                <w:sz w:val="28"/>
                <w:szCs w:val="28"/>
              </w:rPr>
              <w:t>了绿色选择；四是应用广泛，我国不仅是稀土供应国，更是重要的稀土消费国，国内的稀土产品广泛应用于新能源汽车、绿色风电、消费电子、机器人、军工、医疗等众多领域，为我国稀土产业的发展提供了重要支撑。</w:t>
            </w:r>
          </w:p>
          <w:p w14:paraId="5AC177BF" w14:textId="5A9A6858" w:rsidR="00B24A90" w:rsidRPr="00B24A90" w:rsidRDefault="00B24A90" w:rsidP="00B24A90">
            <w:pPr>
              <w:spacing w:line="500" w:lineRule="exact"/>
              <w:ind w:firstLineChars="200" w:firstLine="562"/>
              <w:rPr>
                <w:rFonts w:ascii="宋体" w:eastAsia="宋体" w:hAnsi="宋体"/>
                <w:b/>
                <w:sz w:val="28"/>
                <w:szCs w:val="28"/>
              </w:rPr>
            </w:pPr>
            <w:r w:rsidRPr="00B24A90">
              <w:rPr>
                <w:rFonts w:ascii="宋体" w:eastAsia="宋体" w:hAnsi="宋体" w:hint="eastAsia"/>
                <w:b/>
                <w:sz w:val="28"/>
                <w:szCs w:val="28"/>
              </w:rPr>
              <w:t>问：公司未来的分红规划？</w:t>
            </w:r>
          </w:p>
          <w:p w14:paraId="4B1BCF93" w14:textId="07202FAB" w:rsidR="00B24A90" w:rsidRPr="00B24A90" w:rsidRDefault="00B24A90" w:rsidP="00B24A90">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w:t>
            </w:r>
            <w:r w:rsidR="00172DD9">
              <w:rPr>
                <w:rFonts w:ascii="宋体" w:eastAsia="宋体" w:hAnsi="宋体" w:hint="eastAsia"/>
                <w:bCs/>
                <w:sz w:val="28"/>
                <w:szCs w:val="28"/>
              </w:rPr>
              <w:t>公司于</w:t>
            </w:r>
            <w:r w:rsidR="00172DD9" w:rsidRPr="00172DD9">
              <w:rPr>
                <w:rFonts w:ascii="宋体" w:eastAsia="宋体" w:hAnsi="宋体" w:hint="eastAsia"/>
                <w:bCs/>
                <w:sz w:val="28"/>
                <w:szCs w:val="28"/>
              </w:rPr>
              <w:t>2025年6月20日完成了2024年度利润分配，</w:t>
            </w:r>
            <w:r w:rsidRPr="00B24A90">
              <w:rPr>
                <w:rFonts w:ascii="宋体" w:eastAsia="宋体" w:hAnsi="宋体" w:hint="eastAsia"/>
                <w:bCs/>
                <w:sz w:val="28"/>
                <w:szCs w:val="28"/>
              </w:rPr>
              <w:t>向全体股东派发了现金红利1.27亿元（含税）。一直以来，公司高度重视对股东的合理回报，致力于以良好的经营业绩为股东创造持续稳定的投资回报，与股东分享经营成果。上市至今公司现金分红22次，累计分红55.46亿元（其中2019年度公司以股份回购形式分红）。2012-2021年度公司连续10年每年分红比例均超30%，分红水平位居以稀土为主营业务的行业上市公司首位。2021年度公司依托良好的分红水平入选中国上市公司协会发布的“上市公司丰厚回报榜单”。</w:t>
            </w:r>
          </w:p>
          <w:p w14:paraId="75836CD0" w14:textId="04F72302" w:rsidR="00F91989" w:rsidRDefault="00B24A90" w:rsidP="00B24A90">
            <w:pPr>
              <w:spacing w:line="500" w:lineRule="exact"/>
              <w:ind w:firstLineChars="200" w:firstLine="560"/>
              <w:rPr>
                <w:rFonts w:ascii="宋体" w:eastAsia="宋体" w:hAnsi="宋体"/>
                <w:bCs/>
                <w:sz w:val="28"/>
                <w:szCs w:val="28"/>
              </w:rPr>
            </w:pPr>
            <w:r w:rsidRPr="00B24A90">
              <w:rPr>
                <w:rFonts w:ascii="宋体" w:eastAsia="宋体" w:hAnsi="宋体" w:hint="eastAsia"/>
                <w:bCs/>
                <w:sz w:val="28"/>
                <w:szCs w:val="28"/>
              </w:rPr>
              <w:t>未来，公司将在全力推动提升经营质量和价值创造能力的基础上，结合行业发展、自身经营模式、盈利水平以及重大资金支出安排等因素，推动提高分红率，增强分红稳定性、持续性和</w:t>
            </w:r>
            <w:proofErr w:type="gramStart"/>
            <w:r w:rsidRPr="00B24A90">
              <w:rPr>
                <w:rFonts w:ascii="宋体" w:eastAsia="宋体" w:hAnsi="宋体" w:hint="eastAsia"/>
                <w:bCs/>
                <w:sz w:val="28"/>
                <w:szCs w:val="28"/>
              </w:rPr>
              <w:t>可</w:t>
            </w:r>
            <w:proofErr w:type="gramEnd"/>
            <w:r w:rsidRPr="00B24A90">
              <w:rPr>
                <w:rFonts w:ascii="宋体" w:eastAsia="宋体" w:hAnsi="宋体" w:hint="eastAsia"/>
                <w:bCs/>
                <w:sz w:val="28"/>
                <w:szCs w:val="28"/>
              </w:rPr>
              <w:t>预期性，力争为股</w:t>
            </w:r>
            <w:r w:rsidRPr="00B24A90">
              <w:rPr>
                <w:rFonts w:ascii="宋体" w:eastAsia="宋体" w:hAnsi="宋体" w:hint="eastAsia"/>
                <w:bCs/>
                <w:sz w:val="28"/>
                <w:szCs w:val="28"/>
              </w:rPr>
              <w:lastRenderedPageBreak/>
              <w:t>东创造更好的投资回报。</w:t>
            </w:r>
          </w:p>
        </w:tc>
      </w:tr>
      <w:tr w:rsidR="00F91989" w14:paraId="63340A13" w14:textId="77777777">
        <w:trPr>
          <w:trHeight w:val="570"/>
          <w:jc w:val="center"/>
        </w:trPr>
        <w:tc>
          <w:tcPr>
            <w:tcW w:w="2122" w:type="dxa"/>
            <w:vAlign w:val="center"/>
          </w:tcPr>
          <w:p w14:paraId="6547959C" w14:textId="77777777" w:rsidR="00F91989" w:rsidRDefault="006E5441">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667" w:type="dxa"/>
            <w:vAlign w:val="center"/>
          </w:tcPr>
          <w:p w14:paraId="06436987" w14:textId="77777777" w:rsidR="00F91989" w:rsidRDefault="006E5441">
            <w:pPr>
              <w:spacing w:line="400" w:lineRule="exact"/>
              <w:rPr>
                <w:rFonts w:ascii="宋体" w:eastAsia="宋体" w:hAnsi="宋体"/>
                <w:sz w:val="28"/>
                <w:szCs w:val="28"/>
              </w:rPr>
            </w:pPr>
            <w:r>
              <w:rPr>
                <w:rFonts w:ascii="宋体" w:eastAsia="宋体" w:hAnsi="宋体" w:hint="eastAsia"/>
                <w:sz w:val="28"/>
                <w:szCs w:val="28"/>
              </w:rPr>
              <w:t>无</w:t>
            </w:r>
          </w:p>
        </w:tc>
      </w:tr>
      <w:tr w:rsidR="00F91989" w14:paraId="0EB3F314" w14:textId="77777777">
        <w:trPr>
          <w:jc w:val="center"/>
        </w:trPr>
        <w:tc>
          <w:tcPr>
            <w:tcW w:w="8789" w:type="dxa"/>
            <w:gridSpan w:val="2"/>
            <w:vAlign w:val="center"/>
          </w:tcPr>
          <w:p w14:paraId="5E737748" w14:textId="77777777" w:rsidR="00F91989" w:rsidRDefault="006E5441">
            <w:pPr>
              <w:spacing w:line="50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14:paraId="28810BA7" w14:textId="77777777" w:rsidR="00F91989" w:rsidRDefault="00F91989">
      <w:pPr>
        <w:spacing w:line="20" w:lineRule="exact"/>
        <w:rPr>
          <w:rFonts w:ascii="宋体" w:eastAsia="宋体" w:hAnsi="宋体"/>
          <w:sz w:val="24"/>
        </w:rPr>
      </w:pPr>
    </w:p>
    <w:sectPr w:rsidR="00F91989">
      <w:headerReference w:type="default" r:id="rId6"/>
      <w:footerReference w:type="default" r:id="rId7"/>
      <w:pgSz w:w="11906" w:h="16838"/>
      <w:pgMar w:top="1440" w:right="1800" w:bottom="1440" w:left="1800" w:header="68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B14B8" w14:textId="77777777" w:rsidR="004D7F61" w:rsidRDefault="004D7F61">
      <w:pPr>
        <w:spacing w:line="240" w:lineRule="auto"/>
      </w:pPr>
      <w:r>
        <w:separator/>
      </w:r>
    </w:p>
  </w:endnote>
  <w:endnote w:type="continuationSeparator" w:id="0">
    <w:p w14:paraId="6AD07053" w14:textId="77777777" w:rsidR="004D7F61" w:rsidRDefault="004D7F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14:paraId="0FABC26F" w14:textId="77777777" w:rsidR="00F91989" w:rsidRDefault="006E5441">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95D69" w:rsidRPr="00A95D69">
          <w:rPr>
            <w:rFonts w:ascii="宋体" w:eastAsia="宋体" w:hAnsi="宋体"/>
            <w:noProof/>
            <w:sz w:val="28"/>
            <w:szCs w:val="28"/>
            <w:lang w:val="zh-CN"/>
          </w:rPr>
          <w:t>5</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3AF82" w14:textId="77777777" w:rsidR="004D7F61" w:rsidRDefault="004D7F61">
      <w:pPr>
        <w:spacing w:line="240" w:lineRule="auto"/>
      </w:pPr>
      <w:r>
        <w:separator/>
      </w:r>
    </w:p>
  </w:footnote>
  <w:footnote w:type="continuationSeparator" w:id="0">
    <w:p w14:paraId="0A24E967" w14:textId="77777777" w:rsidR="004D7F61" w:rsidRDefault="004D7F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F9621" w14:textId="77777777" w:rsidR="00F91989" w:rsidRDefault="006E5441">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5B7"/>
    <w:rsid w:val="0000669A"/>
    <w:rsid w:val="00007F1B"/>
    <w:rsid w:val="0001045D"/>
    <w:rsid w:val="000128CB"/>
    <w:rsid w:val="000147D4"/>
    <w:rsid w:val="000169C8"/>
    <w:rsid w:val="000206A8"/>
    <w:rsid w:val="00021068"/>
    <w:rsid w:val="00021239"/>
    <w:rsid w:val="00022896"/>
    <w:rsid w:val="00022AA2"/>
    <w:rsid w:val="00023713"/>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0C58"/>
    <w:rsid w:val="0006189F"/>
    <w:rsid w:val="000625FA"/>
    <w:rsid w:val="00063B3A"/>
    <w:rsid w:val="00063F99"/>
    <w:rsid w:val="0006422C"/>
    <w:rsid w:val="0006589F"/>
    <w:rsid w:val="00071B8F"/>
    <w:rsid w:val="00071E74"/>
    <w:rsid w:val="00074CD4"/>
    <w:rsid w:val="000758DB"/>
    <w:rsid w:val="00076053"/>
    <w:rsid w:val="000772FB"/>
    <w:rsid w:val="00081740"/>
    <w:rsid w:val="00083FBE"/>
    <w:rsid w:val="000852E1"/>
    <w:rsid w:val="00086DB4"/>
    <w:rsid w:val="00090A30"/>
    <w:rsid w:val="0009116C"/>
    <w:rsid w:val="00093D21"/>
    <w:rsid w:val="00097DD2"/>
    <w:rsid w:val="000A1F09"/>
    <w:rsid w:val="000A2861"/>
    <w:rsid w:val="000A61BB"/>
    <w:rsid w:val="000A73E5"/>
    <w:rsid w:val="000B0092"/>
    <w:rsid w:val="000B2BB0"/>
    <w:rsid w:val="000B33AD"/>
    <w:rsid w:val="000B6151"/>
    <w:rsid w:val="000B7040"/>
    <w:rsid w:val="000C5F6A"/>
    <w:rsid w:val="000C6531"/>
    <w:rsid w:val="000E1D6C"/>
    <w:rsid w:val="000E32B8"/>
    <w:rsid w:val="000E3EA5"/>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2DD9"/>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90A"/>
    <w:rsid w:val="001B4C07"/>
    <w:rsid w:val="001B66C0"/>
    <w:rsid w:val="001B6861"/>
    <w:rsid w:val="001B7CBC"/>
    <w:rsid w:val="001C02D2"/>
    <w:rsid w:val="001C0F9B"/>
    <w:rsid w:val="001C29FD"/>
    <w:rsid w:val="001C2B1A"/>
    <w:rsid w:val="001C2EB1"/>
    <w:rsid w:val="001C3079"/>
    <w:rsid w:val="001C3895"/>
    <w:rsid w:val="001C4798"/>
    <w:rsid w:val="001C5AC8"/>
    <w:rsid w:val="001C62BF"/>
    <w:rsid w:val="001C707B"/>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32EB"/>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99A"/>
    <w:rsid w:val="00327C9B"/>
    <w:rsid w:val="00333A97"/>
    <w:rsid w:val="00333D48"/>
    <w:rsid w:val="00334A58"/>
    <w:rsid w:val="00334A60"/>
    <w:rsid w:val="00334C24"/>
    <w:rsid w:val="00336316"/>
    <w:rsid w:val="003366E0"/>
    <w:rsid w:val="0033772A"/>
    <w:rsid w:val="0034086F"/>
    <w:rsid w:val="00341220"/>
    <w:rsid w:val="00342B30"/>
    <w:rsid w:val="00342DDF"/>
    <w:rsid w:val="00345801"/>
    <w:rsid w:val="00350231"/>
    <w:rsid w:val="00352A6C"/>
    <w:rsid w:val="003551FF"/>
    <w:rsid w:val="003559AB"/>
    <w:rsid w:val="00356956"/>
    <w:rsid w:val="003622D8"/>
    <w:rsid w:val="00363D2C"/>
    <w:rsid w:val="00365231"/>
    <w:rsid w:val="0036673E"/>
    <w:rsid w:val="00366A8C"/>
    <w:rsid w:val="00371015"/>
    <w:rsid w:val="00371D8C"/>
    <w:rsid w:val="00374494"/>
    <w:rsid w:val="0037480B"/>
    <w:rsid w:val="00377C7B"/>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CEE"/>
    <w:rsid w:val="003A3DA4"/>
    <w:rsid w:val="003A3E79"/>
    <w:rsid w:val="003A4021"/>
    <w:rsid w:val="003A53E1"/>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2AF1"/>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67004"/>
    <w:rsid w:val="004733E6"/>
    <w:rsid w:val="00476690"/>
    <w:rsid w:val="00476EC5"/>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35E3"/>
    <w:rsid w:val="004B7768"/>
    <w:rsid w:val="004B7E61"/>
    <w:rsid w:val="004C0947"/>
    <w:rsid w:val="004C3192"/>
    <w:rsid w:val="004C5EA4"/>
    <w:rsid w:val="004C658D"/>
    <w:rsid w:val="004D19F4"/>
    <w:rsid w:val="004D30AD"/>
    <w:rsid w:val="004D7F61"/>
    <w:rsid w:val="004E067B"/>
    <w:rsid w:val="004E2748"/>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32B85"/>
    <w:rsid w:val="0054129D"/>
    <w:rsid w:val="005412F7"/>
    <w:rsid w:val="0054154E"/>
    <w:rsid w:val="00541CCC"/>
    <w:rsid w:val="005421FD"/>
    <w:rsid w:val="00543EB9"/>
    <w:rsid w:val="00544659"/>
    <w:rsid w:val="00547A54"/>
    <w:rsid w:val="005502D8"/>
    <w:rsid w:val="00550A0A"/>
    <w:rsid w:val="005512B7"/>
    <w:rsid w:val="0055663A"/>
    <w:rsid w:val="005566C2"/>
    <w:rsid w:val="00562998"/>
    <w:rsid w:val="00563A90"/>
    <w:rsid w:val="0056549E"/>
    <w:rsid w:val="00567AC3"/>
    <w:rsid w:val="005723F3"/>
    <w:rsid w:val="00573BC3"/>
    <w:rsid w:val="005752DD"/>
    <w:rsid w:val="00576A66"/>
    <w:rsid w:val="00580026"/>
    <w:rsid w:val="005803B1"/>
    <w:rsid w:val="005808CB"/>
    <w:rsid w:val="0058626D"/>
    <w:rsid w:val="00586481"/>
    <w:rsid w:val="00590B96"/>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03AA"/>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1CD"/>
    <w:rsid w:val="006C5DDB"/>
    <w:rsid w:val="006C74EC"/>
    <w:rsid w:val="006D1383"/>
    <w:rsid w:val="006D1A15"/>
    <w:rsid w:val="006D24C1"/>
    <w:rsid w:val="006D2FE0"/>
    <w:rsid w:val="006D673F"/>
    <w:rsid w:val="006E5441"/>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1825"/>
    <w:rsid w:val="0074248B"/>
    <w:rsid w:val="00742F18"/>
    <w:rsid w:val="0074644E"/>
    <w:rsid w:val="00746D7A"/>
    <w:rsid w:val="00750AC7"/>
    <w:rsid w:val="00752E4D"/>
    <w:rsid w:val="00755075"/>
    <w:rsid w:val="0075773B"/>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6CB0"/>
    <w:rsid w:val="007F6D13"/>
    <w:rsid w:val="00802127"/>
    <w:rsid w:val="00802CCC"/>
    <w:rsid w:val="0080393F"/>
    <w:rsid w:val="00804A98"/>
    <w:rsid w:val="00804DA2"/>
    <w:rsid w:val="00806058"/>
    <w:rsid w:val="008062B4"/>
    <w:rsid w:val="00806C7C"/>
    <w:rsid w:val="00807932"/>
    <w:rsid w:val="00811C90"/>
    <w:rsid w:val="008121FD"/>
    <w:rsid w:val="0081301A"/>
    <w:rsid w:val="0081367A"/>
    <w:rsid w:val="0081426A"/>
    <w:rsid w:val="00817597"/>
    <w:rsid w:val="00817CB6"/>
    <w:rsid w:val="0082023A"/>
    <w:rsid w:val="00824A3D"/>
    <w:rsid w:val="00826C92"/>
    <w:rsid w:val="008274DB"/>
    <w:rsid w:val="00827F2B"/>
    <w:rsid w:val="0083035E"/>
    <w:rsid w:val="00830EB1"/>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4593"/>
    <w:rsid w:val="00887CF0"/>
    <w:rsid w:val="00890057"/>
    <w:rsid w:val="00890C10"/>
    <w:rsid w:val="0089166C"/>
    <w:rsid w:val="00892F91"/>
    <w:rsid w:val="008945E7"/>
    <w:rsid w:val="00895F7F"/>
    <w:rsid w:val="008979BD"/>
    <w:rsid w:val="008A0E82"/>
    <w:rsid w:val="008A3C1A"/>
    <w:rsid w:val="008A4763"/>
    <w:rsid w:val="008A6C35"/>
    <w:rsid w:val="008A6CF7"/>
    <w:rsid w:val="008B06F3"/>
    <w:rsid w:val="008B42A6"/>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56D4"/>
    <w:rsid w:val="008F672E"/>
    <w:rsid w:val="008F6D3B"/>
    <w:rsid w:val="008F7559"/>
    <w:rsid w:val="0090296F"/>
    <w:rsid w:val="00903723"/>
    <w:rsid w:val="00906508"/>
    <w:rsid w:val="00907958"/>
    <w:rsid w:val="009117F5"/>
    <w:rsid w:val="009137FC"/>
    <w:rsid w:val="0091442D"/>
    <w:rsid w:val="0091500A"/>
    <w:rsid w:val="0091641C"/>
    <w:rsid w:val="00916653"/>
    <w:rsid w:val="00920C63"/>
    <w:rsid w:val="0092287B"/>
    <w:rsid w:val="00922A22"/>
    <w:rsid w:val="00925DDA"/>
    <w:rsid w:val="00925E43"/>
    <w:rsid w:val="00927270"/>
    <w:rsid w:val="009302FF"/>
    <w:rsid w:val="009303A0"/>
    <w:rsid w:val="009304A5"/>
    <w:rsid w:val="0093191F"/>
    <w:rsid w:val="009335A9"/>
    <w:rsid w:val="00937B05"/>
    <w:rsid w:val="00940DB2"/>
    <w:rsid w:val="00943F7E"/>
    <w:rsid w:val="009451FF"/>
    <w:rsid w:val="00953518"/>
    <w:rsid w:val="00954561"/>
    <w:rsid w:val="00954A36"/>
    <w:rsid w:val="009579DE"/>
    <w:rsid w:val="009620B3"/>
    <w:rsid w:val="009649CE"/>
    <w:rsid w:val="00971751"/>
    <w:rsid w:val="00971B49"/>
    <w:rsid w:val="00973744"/>
    <w:rsid w:val="0097442C"/>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21D1"/>
    <w:rsid w:val="00A927A5"/>
    <w:rsid w:val="00A92E58"/>
    <w:rsid w:val="00A949B9"/>
    <w:rsid w:val="00A953B0"/>
    <w:rsid w:val="00A95D69"/>
    <w:rsid w:val="00A96EA9"/>
    <w:rsid w:val="00A97AFD"/>
    <w:rsid w:val="00AA04DF"/>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0D34"/>
    <w:rsid w:val="00AE3C2A"/>
    <w:rsid w:val="00AF0AB0"/>
    <w:rsid w:val="00AF1353"/>
    <w:rsid w:val="00AF18DD"/>
    <w:rsid w:val="00AF18E3"/>
    <w:rsid w:val="00AF243D"/>
    <w:rsid w:val="00AF4520"/>
    <w:rsid w:val="00AF7E42"/>
    <w:rsid w:val="00B0045D"/>
    <w:rsid w:val="00B01886"/>
    <w:rsid w:val="00B01D5F"/>
    <w:rsid w:val="00B02173"/>
    <w:rsid w:val="00B022E8"/>
    <w:rsid w:val="00B0267D"/>
    <w:rsid w:val="00B07FAD"/>
    <w:rsid w:val="00B10096"/>
    <w:rsid w:val="00B1265A"/>
    <w:rsid w:val="00B13299"/>
    <w:rsid w:val="00B141AC"/>
    <w:rsid w:val="00B165B7"/>
    <w:rsid w:val="00B17242"/>
    <w:rsid w:val="00B17EA5"/>
    <w:rsid w:val="00B214CC"/>
    <w:rsid w:val="00B21C21"/>
    <w:rsid w:val="00B22736"/>
    <w:rsid w:val="00B22865"/>
    <w:rsid w:val="00B234CD"/>
    <w:rsid w:val="00B23618"/>
    <w:rsid w:val="00B24A90"/>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618"/>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3832"/>
    <w:rsid w:val="00BB42DF"/>
    <w:rsid w:val="00BB45DA"/>
    <w:rsid w:val="00BB66DA"/>
    <w:rsid w:val="00BC0701"/>
    <w:rsid w:val="00BC21FC"/>
    <w:rsid w:val="00BC3574"/>
    <w:rsid w:val="00BD1210"/>
    <w:rsid w:val="00BD42A4"/>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7367"/>
    <w:rsid w:val="00C009C3"/>
    <w:rsid w:val="00C00C28"/>
    <w:rsid w:val="00C01C82"/>
    <w:rsid w:val="00C02E94"/>
    <w:rsid w:val="00C10CFA"/>
    <w:rsid w:val="00C15895"/>
    <w:rsid w:val="00C17C63"/>
    <w:rsid w:val="00C203D9"/>
    <w:rsid w:val="00C207D4"/>
    <w:rsid w:val="00C24104"/>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6F3B"/>
    <w:rsid w:val="00C67642"/>
    <w:rsid w:val="00C71387"/>
    <w:rsid w:val="00C7275F"/>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22AB"/>
    <w:rsid w:val="00D33367"/>
    <w:rsid w:val="00D3523A"/>
    <w:rsid w:val="00D35A52"/>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1EA"/>
    <w:rsid w:val="00D756A6"/>
    <w:rsid w:val="00D763E2"/>
    <w:rsid w:val="00D771EB"/>
    <w:rsid w:val="00D80235"/>
    <w:rsid w:val="00D80C5D"/>
    <w:rsid w:val="00D820F9"/>
    <w:rsid w:val="00D85E0C"/>
    <w:rsid w:val="00D8698F"/>
    <w:rsid w:val="00D8718B"/>
    <w:rsid w:val="00D9161C"/>
    <w:rsid w:val="00D94B1A"/>
    <w:rsid w:val="00D96DBF"/>
    <w:rsid w:val="00D970E6"/>
    <w:rsid w:val="00D97D86"/>
    <w:rsid w:val="00DA06B7"/>
    <w:rsid w:val="00DA0B3D"/>
    <w:rsid w:val="00DA182E"/>
    <w:rsid w:val="00DA36C1"/>
    <w:rsid w:val="00DA3E10"/>
    <w:rsid w:val="00DA50E5"/>
    <w:rsid w:val="00DA798D"/>
    <w:rsid w:val="00DB29CE"/>
    <w:rsid w:val="00DC0837"/>
    <w:rsid w:val="00DC1507"/>
    <w:rsid w:val="00DC33DB"/>
    <w:rsid w:val="00DC61CF"/>
    <w:rsid w:val="00DD0705"/>
    <w:rsid w:val="00DD3D50"/>
    <w:rsid w:val="00DD6EBF"/>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1BB3"/>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27E69"/>
    <w:rsid w:val="00F30157"/>
    <w:rsid w:val="00F30777"/>
    <w:rsid w:val="00F30E90"/>
    <w:rsid w:val="00F31ABC"/>
    <w:rsid w:val="00F327FC"/>
    <w:rsid w:val="00F3340C"/>
    <w:rsid w:val="00F34AF2"/>
    <w:rsid w:val="00F35E07"/>
    <w:rsid w:val="00F42C85"/>
    <w:rsid w:val="00F47A26"/>
    <w:rsid w:val="00F47EEF"/>
    <w:rsid w:val="00F51013"/>
    <w:rsid w:val="00F530C6"/>
    <w:rsid w:val="00F54696"/>
    <w:rsid w:val="00F5523D"/>
    <w:rsid w:val="00F56638"/>
    <w:rsid w:val="00F6014D"/>
    <w:rsid w:val="00F60304"/>
    <w:rsid w:val="00F605FA"/>
    <w:rsid w:val="00F62004"/>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1989"/>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485205E"/>
    <w:rsid w:val="15A119FD"/>
    <w:rsid w:val="2E1E279D"/>
    <w:rsid w:val="2E3954D1"/>
    <w:rsid w:val="2EA555A0"/>
    <w:rsid w:val="395B2DFA"/>
    <w:rsid w:val="3A0410D5"/>
    <w:rsid w:val="46635CB4"/>
    <w:rsid w:val="49AB6BF2"/>
    <w:rsid w:val="541E08EB"/>
    <w:rsid w:val="5A8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58A7"/>
  <w15:docId w15:val="{35EE5CC5-67FD-4E9C-A643-A5363040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kern w:val="2"/>
      <w:sz w:val="32"/>
      <w:szCs w:val="24"/>
    </w:rPr>
  </w:style>
  <w:style w:type="paragraph" w:styleId="ab">
    <w:name w:val="List Paragraph"/>
    <w:basedOn w:val="a"/>
    <w:link w:val="Char4"/>
    <w:uiPriority w:val="34"/>
    <w:qFormat/>
    <w:pPr>
      <w:spacing w:line="240" w:lineRule="auto"/>
      <w:ind w:firstLineChars="200" w:firstLine="420"/>
    </w:pPr>
    <w:rPr>
      <w:rFonts w:eastAsia="宋体"/>
      <w:sz w:val="21"/>
      <w:szCs w:val="21"/>
    </w:rPr>
  </w:style>
  <w:style w:type="character" w:customStyle="1" w:styleId="Char4">
    <w:name w:val="列出段落 Char"/>
    <w:link w:val="ab"/>
    <w:uiPriority w:val="34"/>
    <w:qFormat/>
    <w:locked/>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2224</Words>
  <Characters>135</Characters>
  <Application>Microsoft Office Word</Application>
  <DocSecurity>0</DocSecurity>
  <Lines>1</Lines>
  <Paragraphs>4</Paragraphs>
  <ScaleCrop>false</ScaleCrop>
  <Company>神州网信技术有限公司</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章欣</cp:lastModifiedBy>
  <cp:revision>87</cp:revision>
  <cp:lastPrinted>2025-04-30T08:03:00Z</cp:lastPrinted>
  <dcterms:created xsi:type="dcterms:W3CDTF">2025-06-30T00:15:00Z</dcterms:created>
  <dcterms:modified xsi:type="dcterms:W3CDTF">2025-07-30T10:27:00Z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