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4918A">
      <w:pPr>
        <w:rPr>
          <w:rFonts w:hint="default" w:ascii="Times New Roman" w:hAnsi="Times New Roman" w:eastAsia="宋体" w:cs="Times New Roman"/>
          <w:sz w:val="24"/>
          <w:szCs w:val="28"/>
        </w:rPr>
      </w:pPr>
      <w:r>
        <w:rPr>
          <w:rFonts w:hint="default" w:ascii="Times New Roman" w:hAnsi="Times New Roman" w:eastAsia="宋体" w:cs="Times New Roman"/>
          <w:sz w:val="24"/>
          <w:szCs w:val="28"/>
        </w:rPr>
        <w:t>证</w:t>
      </w:r>
      <w:r>
        <w:rPr>
          <w:rFonts w:hint="default" w:ascii="Times New Roman" w:hAnsi="Times New Roman" w:eastAsia="宋体" w:cs="Times New Roman"/>
          <w:sz w:val="24"/>
          <w:szCs w:val="28"/>
        </w:rPr>
        <w:t>券代码：601126                                   证券简称：四方股份</w:t>
      </w:r>
    </w:p>
    <w:p w14:paraId="6C5C4AF6">
      <w:pPr>
        <w:spacing w:before="312" w:beforeLines="100"/>
        <w:jc w:val="center"/>
        <w:rPr>
          <w:rFonts w:hint="default" w:ascii="Times New Roman" w:hAnsi="Times New Roman" w:eastAsia="宋体" w:cs="Times New Roman"/>
          <w:sz w:val="28"/>
          <w:szCs w:val="28"/>
        </w:rPr>
      </w:pPr>
      <w:r>
        <w:rPr>
          <w:rFonts w:hint="default" w:ascii="Times New Roman" w:hAnsi="Times New Roman" w:eastAsia="宋体" w:cs="Times New Roman"/>
          <w:b/>
          <w:bCs/>
          <w:sz w:val="32"/>
          <w:szCs w:val="32"/>
        </w:rPr>
        <w:t>北京四方继保自动化股份有限公司</w:t>
      </w:r>
    </w:p>
    <w:p w14:paraId="29C2C44E">
      <w:pPr>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投资者关系活动记录表</w:t>
      </w:r>
    </w:p>
    <w:p w14:paraId="76CC62EC">
      <w:pPr>
        <w:spacing w:after="156" w:afterLines="50"/>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（2025年7月）</w:t>
      </w:r>
    </w:p>
    <w:p w14:paraId="6C649B77">
      <w:pPr>
        <w:spacing w:before="156" w:beforeLines="50" w:after="156" w:afterLines="50" w:line="300" w:lineRule="auto"/>
        <w:ind w:firstLine="480" w:firstLineChars="200"/>
        <w:rPr>
          <w:rFonts w:ascii="Times New Roman" w:hAnsi="Times New Roman" w:eastAsia="宋体" w:cs="Times New Roman"/>
          <w:sz w:val="24"/>
          <w:szCs w:val="24"/>
        </w:rPr>
      </w:pPr>
      <w:bookmarkStart w:id="0" w:name="_GoBack"/>
      <w:bookmarkEnd w:id="0"/>
      <w:r>
        <w:rPr>
          <w:rFonts w:ascii="Times New Roman" w:hAnsi="Times New Roman" w:eastAsia="宋体" w:cs="Times New Roman"/>
          <w:sz w:val="24"/>
          <w:szCs w:val="24"/>
        </w:rPr>
        <w:t>北京四方继保自动化股份有限公司于近期与投资者、券商分析师等就公司生产经营情况进行交流，现将投资者关系活动的主要情况汇总发布如下：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14:paraId="5032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7962B836">
            <w:pPr>
              <w:spacing w:before="156" w:beforeLines="50" w:after="156" w:afterLines="50" w:line="300" w:lineRule="auto"/>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投资者关系活动类别</w:t>
            </w:r>
          </w:p>
        </w:tc>
        <w:tc>
          <w:tcPr>
            <w:tcW w:w="6741" w:type="dxa"/>
            <w:vAlign w:val="center"/>
          </w:tcPr>
          <w:p w14:paraId="1E57B922">
            <w:pPr>
              <w:spacing w:before="156" w:beforeLines="50" w:after="156" w:afterLines="50" w:line="300" w:lineRule="auto"/>
              <w:rPr>
                <w:rFonts w:ascii="Times New Roman" w:hAnsi="Times New Roman" w:eastAsia="宋体" w:cs="Times New Roman"/>
                <w:color w:val="auto"/>
                <w:sz w:val="24"/>
                <w:szCs w:val="24"/>
              </w:rPr>
            </w:pP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 xml:space="preserve">特定对象调研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 xml:space="preserve">分析师会议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 xml:space="preserve">媒体采访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 xml:space="preserve">业绩解读会 </w:t>
            </w: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 xml:space="preserve">券商策略会  </w:t>
            </w: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 xml:space="preserve">路演活动  </w:t>
            </w: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 xml:space="preserve">现场参观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其他</w:t>
            </w:r>
          </w:p>
        </w:tc>
      </w:tr>
      <w:tr w14:paraId="691F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55" w:type="dxa"/>
            <w:vAlign w:val="center"/>
          </w:tcPr>
          <w:p w14:paraId="4446E35A">
            <w:pPr>
              <w:spacing w:before="156" w:beforeLines="50" w:after="156" w:afterLines="50" w:line="30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参与机构</w:t>
            </w:r>
          </w:p>
        </w:tc>
        <w:tc>
          <w:tcPr>
            <w:tcW w:w="6741" w:type="dxa"/>
            <w:vAlign w:val="center"/>
          </w:tcPr>
          <w:p w14:paraId="467AE5A2">
            <w:pPr>
              <w:spacing w:before="156" w:beforeLines="50" w:after="156" w:afterLines="50" w:line="30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中邮证券、华西证券、国泰海通证券、天风证券、长江证券、中信证券、易方达基金、中邮基金、中欧基金、鹏华基金、汇添富等15+家机构/券商</w:t>
            </w:r>
          </w:p>
        </w:tc>
      </w:tr>
      <w:tr w14:paraId="5C49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79B059C1">
            <w:pPr>
              <w:spacing w:before="156" w:beforeLines="50" w:after="156" w:afterLines="50" w:line="30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地点</w:t>
            </w:r>
          </w:p>
        </w:tc>
        <w:tc>
          <w:tcPr>
            <w:tcW w:w="6741" w:type="dxa"/>
            <w:vAlign w:val="center"/>
          </w:tcPr>
          <w:p w14:paraId="6A1B1184">
            <w:pPr>
              <w:spacing w:before="156" w:beforeLines="50" w:after="156" w:afterLines="50" w:line="30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策略会现场、公司会议室等</w:t>
            </w:r>
          </w:p>
        </w:tc>
      </w:tr>
      <w:tr w14:paraId="10E8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55" w:type="dxa"/>
            <w:vAlign w:val="center"/>
          </w:tcPr>
          <w:p w14:paraId="689556E2">
            <w:pPr>
              <w:spacing w:before="156" w:beforeLines="50" w:after="156" w:afterLines="50" w:line="30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上市公司接待人员</w:t>
            </w:r>
          </w:p>
        </w:tc>
        <w:tc>
          <w:tcPr>
            <w:tcW w:w="6741" w:type="dxa"/>
            <w:vAlign w:val="center"/>
          </w:tcPr>
          <w:p w14:paraId="6D06DE09">
            <w:pPr>
              <w:spacing w:before="156" w:beforeLines="50" w:after="156" w:afterLines="50" w:line="30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董事会秘书、证券事务代表</w:t>
            </w:r>
          </w:p>
        </w:tc>
      </w:tr>
      <w:tr w14:paraId="4EE1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59FF8249">
            <w:pPr>
              <w:spacing w:before="156" w:beforeLines="50" w:after="156" w:afterLines="50" w:line="30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投资者关系活动主要内容介绍</w:t>
            </w:r>
          </w:p>
        </w:tc>
        <w:tc>
          <w:tcPr>
            <w:tcW w:w="6741" w:type="dxa"/>
            <w:vAlign w:val="center"/>
          </w:tcPr>
          <w:p w14:paraId="7B51A2A9">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Q1：</w:t>
            </w:r>
            <w:r>
              <w:rPr>
                <w:rFonts w:hint="default" w:ascii="Times New Roman" w:hAnsi="Times New Roman" w:eastAsia="宋体" w:cs="Times New Roman"/>
                <w:b/>
                <w:color w:val="auto"/>
                <w:sz w:val="24"/>
                <w:szCs w:val="24"/>
              </w:rPr>
              <w:t>公司2025年上半年经营情况如何？</w:t>
            </w:r>
          </w:p>
          <w:p w14:paraId="091EC357">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A：</w:t>
            </w:r>
            <w:r>
              <w:rPr>
                <w:rFonts w:hint="default" w:ascii="Times New Roman" w:hAnsi="Times New Roman" w:eastAsia="宋体" w:cs="Times New Roman"/>
                <w:color w:val="auto"/>
                <w:sz w:val="24"/>
                <w:szCs w:val="24"/>
              </w:rPr>
              <w:t>公司上半年经营情况将在半年报上披露，简要介绍下目前各个业务板块情况：</w:t>
            </w:r>
          </w:p>
          <w:p w14:paraId="2DA17340">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电网业务：得益于</w:t>
            </w:r>
            <w:r>
              <w:rPr>
                <w:rFonts w:hint="default" w:ascii="Times New Roman" w:hAnsi="Times New Roman" w:eastAsia="宋体" w:cs="Times New Roman"/>
                <w:color w:val="auto"/>
                <w:sz w:val="24"/>
                <w:szCs w:val="24"/>
                <w:lang w:val="en-US" w:eastAsia="zh-CN"/>
              </w:rPr>
              <w:t>主网</w:t>
            </w:r>
            <w:r>
              <w:rPr>
                <w:rFonts w:hint="default" w:ascii="Times New Roman" w:hAnsi="Times New Roman" w:eastAsia="宋体" w:cs="Times New Roman"/>
                <w:color w:val="auto"/>
                <w:sz w:val="24"/>
                <w:szCs w:val="24"/>
              </w:rPr>
              <w:t>二次</w:t>
            </w:r>
            <w:r>
              <w:rPr>
                <w:rFonts w:hint="default" w:ascii="Times New Roman" w:hAnsi="Times New Roman" w:eastAsia="宋体" w:cs="Times New Roman"/>
                <w:color w:val="auto"/>
                <w:sz w:val="24"/>
                <w:szCs w:val="24"/>
                <w:lang w:val="en-US" w:eastAsia="zh-CN"/>
              </w:rPr>
              <w:t>设备</w:t>
            </w:r>
            <w:r>
              <w:rPr>
                <w:rFonts w:hint="default" w:ascii="Times New Roman" w:hAnsi="Times New Roman" w:eastAsia="宋体" w:cs="Times New Roman"/>
                <w:color w:val="auto"/>
                <w:sz w:val="24"/>
                <w:szCs w:val="24"/>
              </w:rPr>
              <w:t>集招规模同比</w:t>
            </w:r>
            <w:r>
              <w:rPr>
                <w:rFonts w:hint="default" w:ascii="Times New Roman" w:hAnsi="Times New Roman" w:eastAsia="宋体" w:cs="Times New Roman"/>
                <w:color w:val="auto"/>
                <w:sz w:val="24"/>
                <w:szCs w:val="24"/>
                <w:lang w:val="en-US" w:eastAsia="zh-CN"/>
              </w:rPr>
              <w:t>有较大</w:t>
            </w:r>
            <w:r>
              <w:rPr>
                <w:rFonts w:hint="default" w:ascii="Times New Roman" w:hAnsi="Times New Roman" w:eastAsia="宋体" w:cs="Times New Roman"/>
                <w:color w:val="auto"/>
                <w:sz w:val="24"/>
                <w:szCs w:val="24"/>
              </w:rPr>
              <w:t>增长，公司上半年</w:t>
            </w:r>
            <w:r>
              <w:rPr>
                <w:rFonts w:hint="default" w:ascii="Times New Roman" w:hAnsi="Times New Roman" w:eastAsia="宋体" w:cs="Times New Roman"/>
                <w:color w:val="auto"/>
                <w:sz w:val="24"/>
                <w:szCs w:val="24"/>
                <w:lang w:val="en-US" w:eastAsia="zh-CN"/>
              </w:rPr>
              <w:t>二次</w:t>
            </w:r>
            <w:r>
              <w:rPr>
                <w:rFonts w:hint="default" w:ascii="Times New Roman" w:hAnsi="Times New Roman" w:eastAsia="宋体" w:cs="Times New Roman"/>
                <w:color w:val="auto"/>
                <w:sz w:val="24"/>
                <w:szCs w:val="24"/>
              </w:rPr>
              <w:t>中标</w:t>
            </w:r>
            <w:r>
              <w:rPr>
                <w:rFonts w:hint="default" w:ascii="Times New Roman" w:hAnsi="Times New Roman" w:eastAsia="宋体" w:cs="Times New Roman"/>
                <w:color w:val="auto"/>
                <w:sz w:val="24"/>
                <w:szCs w:val="24"/>
                <w:lang w:val="en-US" w:eastAsia="zh-CN"/>
              </w:rPr>
              <w:t>数量同比增长</w:t>
            </w:r>
            <w:r>
              <w:rPr>
                <w:rFonts w:hint="default" w:ascii="Times New Roman" w:hAnsi="Times New Roman" w:eastAsia="宋体" w:cs="Times New Roman"/>
                <w:color w:val="auto"/>
                <w:sz w:val="24"/>
                <w:szCs w:val="24"/>
              </w:rPr>
              <w:t>。</w:t>
            </w:r>
          </w:p>
          <w:p w14:paraId="1CE09F53">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网外业务：公司持续巩固在发电领域的技术与解决方案优势，通过丰富产品品类进行市场渗透，进一步加大市场开拓力度，保持稳健增长。</w:t>
            </w:r>
            <w:r>
              <w:rPr>
                <w:rFonts w:hint="default" w:ascii="Times New Roman" w:hAnsi="Times New Roman" w:eastAsia="宋体" w:cs="Times New Roman"/>
                <w:color w:val="auto"/>
                <w:sz w:val="24"/>
                <w:szCs w:val="24"/>
                <w:lang w:bidi="ar"/>
              </w:rPr>
              <w:t>新能源</w:t>
            </w:r>
            <w:r>
              <w:rPr>
                <w:rFonts w:hint="eastAsia" w:ascii="Times New Roman" w:hAnsi="Times New Roman" w:eastAsia="宋体" w:cs="Times New Roman"/>
                <w:color w:val="auto"/>
                <w:sz w:val="24"/>
                <w:szCs w:val="24"/>
                <w:lang w:val="en-US" w:eastAsia="zh-CN" w:bidi="ar"/>
              </w:rPr>
              <w:t>领域中</w:t>
            </w:r>
            <w:r>
              <w:rPr>
                <w:rFonts w:hint="default" w:ascii="Times New Roman" w:hAnsi="Times New Roman" w:eastAsia="宋体" w:cs="Times New Roman"/>
                <w:color w:val="auto"/>
                <w:sz w:val="24"/>
                <w:szCs w:val="24"/>
                <w:lang w:bidi="ar"/>
              </w:rPr>
              <w:t>调相机、宽频振荡等新解决方案及产品的市场需求持续增长</w:t>
            </w:r>
            <w:r>
              <w:rPr>
                <w:rFonts w:hint="eastAsia" w:ascii="Times New Roman" w:hAnsi="Times New Roman" w:eastAsia="宋体" w:cs="Times New Roman"/>
                <w:color w:val="auto"/>
                <w:sz w:val="24"/>
                <w:szCs w:val="24"/>
                <w:lang w:eastAsia="zh-CN" w:bidi="ar"/>
              </w:rPr>
              <w:t>。</w:t>
            </w:r>
            <w:r>
              <w:rPr>
                <w:rFonts w:hint="eastAsia" w:ascii="Times New Roman" w:hAnsi="Times New Roman" w:eastAsia="宋体" w:cs="Times New Roman"/>
                <w:color w:val="auto"/>
                <w:sz w:val="24"/>
                <w:szCs w:val="24"/>
                <w:lang w:val="en-US" w:eastAsia="zh-CN" w:bidi="ar"/>
              </w:rPr>
              <w:t>同时</w:t>
            </w:r>
            <w:r>
              <w:rPr>
                <w:rFonts w:hint="default" w:ascii="Times New Roman" w:hAnsi="Times New Roman" w:eastAsia="宋体" w:cs="Times New Roman"/>
                <w:color w:val="auto"/>
                <w:sz w:val="24"/>
                <w:szCs w:val="24"/>
                <w:lang w:bidi="ar"/>
              </w:rPr>
              <w:t>，公司不断提升一二次融合设备、储能系统等产品面向新能源领域的市场渗透，以实现相关业务领域的持续增长</w:t>
            </w:r>
            <w:r>
              <w:rPr>
                <w:rFonts w:hint="eastAsia" w:ascii="Times New Roman" w:hAnsi="Times New Roman" w:eastAsia="宋体" w:cs="Times New Roman"/>
                <w:color w:val="auto"/>
                <w:sz w:val="24"/>
                <w:szCs w:val="24"/>
                <w:lang w:eastAsia="zh-CN" w:bidi="ar"/>
              </w:rPr>
              <w:t>。</w:t>
            </w:r>
            <w:r>
              <w:rPr>
                <w:rFonts w:hint="default" w:ascii="Times New Roman" w:hAnsi="Times New Roman" w:eastAsia="宋体" w:cs="Times New Roman"/>
                <w:color w:val="auto"/>
                <w:sz w:val="24"/>
                <w:szCs w:val="24"/>
              </w:rPr>
              <w:t>在工业用电业务方面，电能替代、绿色低碳以及能效优化等需求的持续增长，公司进一步加强了与用电客户的沟通，持续拓展数据中心、绿电直连等新的细分市场。</w:t>
            </w:r>
          </w:p>
          <w:p w14:paraId="300AE840">
            <w:pPr>
              <w:spacing w:line="360" w:lineRule="auto"/>
              <w:rPr>
                <w:rFonts w:hint="default" w:ascii="Times New Roman" w:hAnsi="Times New Roman" w:eastAsia="宋体" w:cs="Times New Roman"/>
                <w:color w:val="auto"/>
                <w:sz w:val="24"/>
                <w:szCs w:val="24"/>
              </w:rPr>
            </w:pPr>
          </w:p>
          <w:p w14:paraId="64E5CFB8">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Q2：公司2025年上半年国际业务进展如何？下半年展望？</w:t>
            </w:r>
          </w:p>
          <w:p w14:paraId="7D5B505A">
            <w:pPr>
              <w:spacing w:line="360" w:lineRule="auto"/>
              <w:rPr>
                <w:rStyle w:val="12"/>
                <w:rFonts w:hint="default" w:ascii="Times New Roman" w:hAnsi="Times New Roman" w:eastAsia="宋体" w:cs="Times New Roman"/>
                <w:b w:val="0"/>
                <w:color w:val="auto"/>
                <w:sz w:val="24"/>
                <w:szCs w:val="24"/>
                <w:shd w:val="clear" w:color="auto" w:fill="FFFFFF"/>
              </w:rPr>
            </w:pPr>
            <w:r>
              <w:rPr>
                <w:rFonts w:hint="default" w:ascii="Times New Roman" w:hAnsi="Times New Roman" w:eastAsia="宋体" w:cs="Times New Roman"/>
                <w:b/>
                <w:bCs/>
                <w:color w:val="auto"/>
                <w:sz w:val="24"/>
                <w:szCs w:val="24"/>
              </w:rPr>
              <w:t>A：</w:t>
            </w:r>
            <w:r>
              <w:rPr>
                <w:rFonts w:hint="default" w:ascii="Times New Roman" w:hAnsi="Times New Roman" w:eastAsia="宋体" w:cs="Times New Roman"/>
                <w:color w:val="auto"/>
                <w:sz w:val="24"/>
                <w:szCs w:val="24"/>
              </w:rPr>
              <w:t>公司始终将推进国际化发展战略作为重要发展方向，通过加强海外本地化策略，提升国际业务的本地化市场及服务能力，产品方面除二次系统外，加强电力电子、一二次融合、储能等产品的海外市场拓展，持续深耕东南亚、中东、非洲等市场，积极关注欧洲市场机会。上半年，公司海外业务表现良好，在SVG、储能业务等方面均取得突破，中标多个项目。如公司参与的老挝首个光伏+储能项目成功投运，公司为其提供了5MW/10MWh储能系统、储能系统集成解决方案及全部配套设施。</w:t>
            </w:r>
          </w:p>
          <w:p w14:paraId="56CDD7B2">
            <w:pPr>
              <w:spacing w:line="360" w:lineRule="auto"/>
              <w:rPr>
                <w:rFonts w:hint="default" w:ascii="Times New Roman" w:hAnsi="Times New Roman" w:eastAsia="宋体" w:cs="Times New Roman"/>
                <w:color w:val="auto"/>
                <w:sz w:val="24"/>
                <w:szCs w:val="24"/>
              </w:rPr>
            </w:pPr>
          </w:p>
          <w:p w14:paraId="507A6F2C">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Q3：国网配网集采模式以及产品价格对公司的配网业务的影响有多大？</w:t>
            </w:r>
          </w:p>
          <w:p w14:paraId="06E190A3">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A：</w:t>
            </w:r>
            <w:r>
              <w:rPr>
                <w:rFonts w:hint="default" w:ascii="Times New Roman" w:hAnsi="Times New Roman" w:eastAsia="宋体" w:cs="Times New Roman"/>
                <w:color w:val="auto"/>
                <w:sz w:val="24"/>
                <w:szCs w:val="24"/>
              </w:rPr>
              <w:t>公司配网业务占比不高，且主要集中在南网区域，在国网的业务占比相对较小。关于价格问题受招标模式变化带来的短期效应等多重因素的影响，长期来看公司仍会关注产品质量、技术创新，实现配网业务的高质量发展。</w:t>
            </w:r>
          </w:p>
          <w:p w14:paraId="7850BF8D">
            <w:pPr>
              <w:spacing w:line="360" w:lineRule="auto"/>
              <w:rPr>
                <w:rFonts w:hint="default" w:ascii="Times New Roman" w:hAnsi="Times New Roman" w:eastAsia="宋体" w:cs="Times New Roman"/>
                <w:color w:val="auto"/>
                <w:sz w:val="24"/>
                <w:szCs w:val="24"/>
              </w:rPr>
            </w:pPr>
          </w:p>
          <w:p w14:paraId="48ED7119">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Q4：公司对投资并购是如何考虑的，有没有什么布局？</w:t>
            </w:r>
          </w:p>
          <w:p w14:paraId="12AA61B1">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A：</w:t>
            </w:r>
            <w:r>
              <w:rPr>
                <w:rFonts w:hint="default" w:ascii="Times New Roman" w:hAnsi="Times New Roman" w:eastAsia="宋体" w:cs="Times New Roman"/>
                <w:color w:val="auto"/>
                <w:sz w:val="24"/>
                <w:szCs w:val="24"/>
              </w:rPr>
              <w:t>现在市场鼓励采用投资并购等方式促进上市公司高质量发展，公司也积极拥抱，秉持稳健与前瞻并重的原则，保持开放且积极的对外合作态度，期望通过整合各方资源，实现优势互补，开辟新的业务赛道。一方面，我们积极与上下游建立深度协同合作关系，通过资源共享与优势互补，巩固公司在行业内的核心地位。另一方面，公司密切关注新技术趋势和市场动态，尤其是人工智能、机器人等前沿领域，积极探索其与公司业务的融合点，以期开拓新的增长空间。同时积极布局新兴领域，培育新的利润增长点，以实现公司的可持续发展。</w:t>
            </w:r>
          </w:p>
          <w:p w14:paraId="216FB2A1">
            <w:pPr>
              <w:spacing w:line="360" w:lineRule="auto"/>
              <w:rPr>
                <w:rFonts w:hint="default" w:ascii="Times New Roman" w:hAnsi="Times New Roman" w:eastAsia="宋体" w:cs="Times New Roman"/>
                <w:color w:val="auto"/>
                <w:sz w:val="24"/>
                <w:szCs w:val="24"/>
              </w:rPr>
            </w:pPr>
          </w:p>
          <w:p w14:paraId="4FF4F386">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Q5：雅下水电工程开工建设对公司业务的影响？</w:t>
            </w:r>
          </w:p>
          <w:p w14:paraId="2C241017">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A：</w:t>
            </w:r>
            <w:r>
              <w:rPr>
                <w:rFonts w:hint="default" w:ascii="Times New Roman" w:hAnsi="Times New Roman" w:eastAsia="宋体" w:cs="Times New Roman"/>
                <w:color w:val="auto"/>
                <w:sz w:val="24"/>
                <w:szCs w:val="24"/>
              </w:rPr>
              <w:t>公司长期深耕能源电力领域，为电力的发、输、配、用、储等环节提供继电保护、自动化与控制系统、电力电子、一二次融合、智慧物联等产品及解决方案，同时积极拓展其他工业自动化、智能化领域。凭借卓越的技术实力和可靠的工程质量，公司先后参与了1000kV特高压工程、三峡工程、西电东送、青藏铁路、白鹤滩水电站等国家重点示范工程的建设，积极服务国家能源战略。在水电站工程领域，公司参与了三峡工程、白鹤滩水电站等项目的建设，积累了丰富的工程经验。在区域服务方面，公司在西藏设有销售中心，服务覆盖川渝藏区域，具备在高原地区开展业务的成熟能力与实践经验。雅下水电工程作为国家重大能源战略项目，具有极其重要的战略意义和广阔的发展前景，并带动规模性的配套产业链建设。</w:t>
            </w:r>
            <w:r>
              <w:rPr>
                <w:rFonts w:hint="eastAsia" w:ascii="Times New Roman" w:hAnsi="Times New Roman" w:eastAsia="宋体" w:cs="Times New Roman"/>
                <w:color w:val="auto"/>
                <w:sz w:val="24"/>
                <w:szCs w:val="24"/>
                <w:lang w:val="en-US" w:eastAsia="zh-CN"/>
              </w:rPr>
              <w:t>目前，</w:t>
            </w:r>
            <w:r>
              <w:rPr>
                <w:rFonts w:hint="default" w:ascii="Times New Roman" w:hAnsi="Times New Roman" w:eastAsia="宋体" w:cs="Times New Roman"/>
                <w:color w:val="auto"/>
                <w:sz w:val="24"/>
                <w:szCs w:val="24"/>
                <w:lang w:val="en-US" w:eastAsia="zh-CN"/>
              </w:rPr>
              <w:t>公司</w:t>
            </w:r>
            <w:r>
              <w:rPr>
                <w:rFonts w:hint="eastAsia" w:ascii="Times New Roman" w:hAnsi="Times New Roman" w:eastAsia="宋体" w:cs="Times New Roman"/>
                <w:color w:val="auto"/>
                <w:sz w:val="24"/>
                <w:szCs w:val="24"/>
                <w:lang w:val="en-US" w:eastAsia="zh-CN"/>
              </w:rPr>
              <w:t>已</w:t>
            </w:r>
            <w:r>
              <w:rPr>
                <w:rFonts w:hint="default" w:ascii="Times New Roman" w:hAnsi="Times New Roman" w:eastAsia="宋体" w:cs="Times New Roman"/>
                <w:color w:val="auto"/>
                <w:sz w:val="24"/>
                <w:szCs w:val="24"/>
                <w:lang w:val="en-US" w:eastAsia="zh-CN"/>
              </w:rPr>
              <w:t>中标华能雅江公司JX水电站继电器保护系统设备</w:t>
            </w:r>
            <w:r>
              <w:rPr>
                <w:rFonts w:hint="eastAsia" w:ascii="Times New Roman" w:hAnsi="Times New Roman" w:eastAsia="宋体" w:cs="Times New Roman"/>
                <w:color w:val="auto"/>
                <w:sz w:val="24"/>
                <w:szCs w:val="24"/>
                <w:lang w:val="en-US" w:eastAsia="zh-CN"/>
              </w:rPr>
              <w:t>标包</w:t>
            </w:r>
            <w:r>
              <w:rPr>
                <w:rFonts w:hint="default" w:ascii="Times New Roman" w:hAnsi="Times New Roman" w:eastAsia="宋体" w:cs="Times New Roman"/>
                <w:color w:val="auto"/>
                <w:sz w:val="24"/>
                <w:szCs w:val="24"/>
                <w:lang w:val="en-US" w:eastAsia="zh-CN"/>
              </w:rPr>
              <w:t>。未来，</w:t>
            </w:r>
            <w:r>
              <w:rPr>
                <w:rFonts w:hint="default" w:ascii="Times New Roman" w:hAnsi="Times New Roman" w:eastAsia="宋体" w:cs="Times New Roman"/>
                <w:color w:val="auto"/>
                <w:sz w:val="24"/>
                <w:szCs w:val="24"/>
              </w:rPr>
              <w:t>公司将</w:t>
            </w:r>
            <w:r>
              <w:rPr>
                <w:rFonts w:hint="eastAsia" w:ascii="Times New Roman" w:hAnsi="Times New Roman" w:eastAsia="宋体" w:cs="Times New Roman"/>
                <w:color w:val="auto"/>
                <w:sz w:val="24"/>
                <w:szCs w:val="24"/>
                <w:lang w:val="en-US" w:eastAsia="zh-CN"/>
              </w:rPr>
              <w:t>持续</w:t>
            </w:r>
            <w:r>
              <w:rPr>
                <w:rFonts w:hint="default" w:ascii="Times New Roman" w:hAnsi="Times New Roman" w:eastAsia="宋体" w:cs="Times New Roman"/>
                <w:color w:val="auto"/>
                <w:sz w:val="24"/>
                <w:szCs w:val="24"/>
              </w:rPr>
              <w:t>密切关注工程配套电网及能源技术服务的招标动态，依托技术优势积极争取参与</w:t>
            </w:r>
            <w:r>
              <w:rPr>
                <w:rFonts w:hint="eastAsia" w:ascii="Times New Roman" w:hAnsi="Times New Roman" w:eastAsia="宋体" w:cs="Times New Roman"/>
                <w:color w:val="auto"/>
                <w:sz w:val="24"/>
                <w:szCs w:val="24"/>
                <w:lang w:val="en-US" w:eastAsia="zh-CN"/>
              </w:rPr>
              <w:t>更多</w:t>
            </w:r>
            <w:r>
              <w:rPr>
                <w:rFonts w:hint="default" w:ascii="Times New Roman" w:hAnsi="Times New Roman" w:eastAsia="宋体" w:cs="Times New Roman"/>
                <w:color w:val="auto"/>
                <w:sz w:val="24"/>
                <w:szCs w:val="24"/>
              </w:rPr>
              <w:t>工程建设。</w:t>
            </w:r>
          </w:p>
          <w:p w14:paraId="3F91F4B5">
            <w:pPr>
              <w:spacing w:line="360" w:lineRule="auto"/>
              <w:rPr>
                <w:rFonts w:hint="default" w:ascii="Times New Roman" w:hAnsi="Times New Roman" w:eastAsia="宋体" w:cs="Times New Roman"/>
                <w:color w:val="auto"/>
                <w:sz w:val="24"/>
                <w:szCs w:val="24"/>
              </w:rPr>
            </w:pPr>
          </w:p>
          <w:p w14:paraId="446B295F">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Q6：公司近期推出多项科技成果通过鉴定，能简单介绍一下吗？</w:t>
            </w:r>
          </w:p>
          <w:p w14:paraId="0E3AD0D6">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A：</w:t>
            </w:r>
            <w:r>
              <w:rPr>
                <w:rFonts w:hint="default" w:ascii="Times New Roman" w:hAnsi="Times New Roman" w:eastAsia="宋体" w:cs="Times New Roman"/>
                <w:color w:val="auto"/>
                <w:sz w:val="24"/>
                <w:szCs w:val="24"/>
              </w:rPr>
              <w:t>公司近期通过鉴定的科技成果分别是：</w:t>
            </w:r>
            <w:r>
              <w:rPr>
                <w:rFonts w:hint="default" w:ascii="Times New Roman" w:hAnsi="Times New Roman" w:eastAsia="宋体" w:cs="Times New Roman"/>
                <w:b/>
                <w:bCs/>
                <w:color w:val="auto"/>
                <w:sz w:val="24"/>
                <w:szCs w:val="24"/>
              </w:rPr>
              <w:t>1.“高精度行波测距技术研究及应用”，</w:t>
            </w:r>
            <w:r>
              <w:rPr>
                <w:rFonts w:hint="default" w:ascii="Times New Roman" w:hAnsi="Times New Roman" w:eastAsia="宋体" w:cs="Times New Roman"/>
                <w:color w:val="auto"/>
                <w:sz w:val="24"/>
                <w:szCs w:val="24"/>
              </w:rPr>
              <w:t>实现了行波的精确标定和波速度的在线校正，突破了高精度对时同步等关键技术，满足了电网高精度故障定位的迫切需求，全面提升了故障测距的准确率和精确度，对降低运维成本、减少停电损失和保障电力系统稳定等有着重要意义。</w:t>
            </w:r>
            <w:r>
              <w:rPr>
                <w:rFonts w:hint="default" w:ascii="Times New Roman" w:hAnsi="Times New Roman" w:eastAsia="宋体" w:cs="Times New Roman"/>
                <w:b/>
                <w:bCs/>
                <w:color w:val="auto"/>
                <w:sz w:val="24"/>
                <w:szCs w:val="24"/>
              </w:rPr>
              <w:t>2.“集成全网分功能的自主可控智能录波器研制及应用”，</w:t>
            </w:r>
            <w:r>
              <w:rPr>
                <w:rFonts w:hint="default" w:ascii="Times New Roman" w:hAnsi="Times New Roman" w:eastAsia="宋体" w:cs="Times New Roman"/>
                <w:color w:val="auto"/>
                <w:sz w:val="24"/>
                <w:szCs w:val="24"/>
              </w:rPr>
              <w:t>完成高并发数据采集、异常精准感知、高效远程运维、全面安全防护等技术攻关，成功研制集成全网分功能的自主可控智能录波器系列产品，具备 “高安全、高可靠、易运维” 特性，为电网安全运行和高效运维提供数智化支撑。</w:t>
            </w:r>
            <w:r>
              <w:rPr>
                <w:rFonts w:hint="default" w:ascii="Times New Roman" w:hAnsi="Times New Roman" w:eastAsia="宋体" w:cs="Times New Roman"/>
                <w:b/>
                <w:bCs/>
                <w:color w:val="auto"/>
                <w:sz w:val="24"/>
                <w:szCs w:val="24"/>
              </w:rPr>
              <w:t>3.“自主可控轨道交通直流保护装置研制及应用”，</w:t>
            </w:r>
            <w:r>
              <w:rPr>
                <w:rFonts w:hint="default" w:ascii="Times New Roman" w:hAnsi="Times New Roman" w:eastAsia="宋体" w:cs="Times New Roman"/>
                <w:color w:val="auto"/>
                <w:sz w:val="24"/>
                <w:szCs w:val="24"/>
              </w:rPr>
              <w:t>融合多项核心技术，包括缓存一致性虚拟数据总线、变量聚类优化编译全流程实时纠错、动态拓扑双端故障测距，以及三级安全防护无线运维技术，全面提升了保护装置的速动性、可靠性、易用性及安全性。</w:t>
            </w:r>
            <w:r>
              <w:rPr>
                <w:rFonts w:hint="default" w:ascii="Times New Roman" w:hAnsi="Times New Roman" w:eastAsia="宋体" w:cs="Times New Roman"/>
                <w:b/>
                <w:bCs/>
                <w:color w:val="auto"/>
                <w:sz w:val="24"/>
                <w:szCs w:val="24"/>
              </w:rPr>
              <w:t>4.“融合AI的二次设备运维管控智能化研究及应用”，</w:t>
            </w:r>
            <w:r>
              <w:rPr>
                <w:rFonts w:hint="default" w:ascii="Times New Roman" w:hAnsi="Times New Roman" w:eastAsia="宋体" w:cs="Times New Roman"/>
                <w:color w:val="auto"/>
                <w:sz w:val="24"/>
                <w:szCs w:val="24"/>
              </w:rPr>
              <w:t>研究融合AI的二次设备运维管控智能化技术，通过多编码模型级联语义建模、自然语言融合专家知识的定值建模、多模态协同学习的电网故障智能分析、二次运维主站镜像保真测试和一二次系统智能自适应协同控制，为优化二次运维模式提供技术支撑手段，有效缓解现场运维压力，全面提升运维管控技术水平与效能。</w:t>
            </w:r>
            <w:r>
              <w:rPr>
                <w:rFonts w:hint="default" w:ascii="Times New Roman" w:hAnsi="Times New Roman" w:eastAsia="宋体" w:cs="Times New Roman"/>
                <w:b/>
                <w:bCs/>
                <w:color w:val="auto"/>
                <w:sz w:val="24"/>
                <w:szCs w:val="24"/>
              </w:rPr>
              <w:t>5.“基于分层协同机制的电力系统宽频振荡智能监测溯源技术及应用”，</w:t>
            </w:r>
            <w:r>
              <w:rPr>
                <w:rFonts w:hint="default" w:ascii="Times New Roman" w:hAnsi="Times New Roman" w:eastAsia="宋体" w:cs="Times New Roman"/>
                <w:color w:val="auto"/>
                <w:sz w:val="24"/>
                <w:szCs w:val="24"/>
              </w:rPr>
              <w:t>聚焦新型电力系统下多模式振荡交织凸显等问题，研制了“采集高效-感知灵敏-诊断可信-分层协同”的宽频监测与分析系统，在宽频振荡监测架构、宽频振荡识别与风险预警、振荡溯源与智能诊断、宽频振荡协同分析等4个方面取得关键技术突破。该项技术已在多个电网调控中心、电厂及新能源场站成功应用，系统运行稳定可靠，显著提升了调度侧对广域电网振荡事件的监测分析能力和厂站侧对宽频振荡的实时监测和本地响应能力，为电网安全稳定运行提供了有力支撑。</w:t>
            </w:r>
            <w:r>
              <w:rPr>
                <w:rFonts w:hint="default" w:ascii="Times New Roman" w:hAnsi="Times New Roman" w:eastAsia="宋体" w:cs="Times New Roman"/>
                <w:b/>
                <w:bCs/>
                <w:color w:val="auto"/>
                <w:sz w:val="24"/>
                <w:szCs w:val="24"/>
              </w:rPr>
              <w:t>6.“新能源高渗透率下构网型SVG主动支撑和安全稳定运行关键技术及应用”，</w:t>
            </w:r>
            <w:r>
              <w:rPr>
                <w:rFonts w:hint="default" w:ascii="Times New Roman" w:hAnsi="Times New Roman" w:eastAsia="宋体" w:cs="Times New Roman"/>
                <w:color w:val="auto"/>
                <w:sz w:val="24"/>
                <w:szCs w:val="24"/>
              </w:rPr>
              <w:t>以双高电力系统存在低惯性、欠阻尼等安全稳定问题为导向，提出了参数动态调整、快速响应控制、附加阻尼振荡抑制和超级电容系统柔性重构等关键技术，实现了构网SVG在多场景下的主动支撑能力、对电网变化的快速响应能力和对宽频振荡的有效抑制能力，并提升了设备整体运行安全性与使用寿命。构网型SVG产品及相关技术成果已在多个省区电网实现工程应用，经济和社会效益显著。</w:t>
            </w:r>
            <w:r>
              <w:rPr>
                <w:rFonts w:hint="default" w:ascii="Times New Roman" w:hAnsi="Times New Roman" w:eastAsia="宋体" w:cs="Times New Roman"/>
                <w:color w:val="auto"/>
                <w:sz w:val="24"/>
                <w:szCs w:val="24"/>
                <w:shd w:val="clear" w:color="auto" w:fill="FFFFFF"/>
              </w:rPr>
              <w:t>经鉴定，上述技术成果均处于国际领先水平，成果创新性突出，具有良好的社会、经济效益和推广应用前景。</w:t>
            </w:r>
          </w:p>
        </w:tc>
      </w:tr>
      <w:tr w14:paraId="33B6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599D047E">
            <w:pPr>
              <w:spacing w:before="156" w:beforeLines="50" w:after="156" w:afterLines="50" w:line="30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时间</w:t>
            </w:r>
          </w:p>
        </w:tc>
        <w:tc>
          <w:tcPr>
            <w:tcW w:w="6741" w:type="dxa"/>
            <w:vAlign w:val="center"/>
          </w:tcPr>
          <w:p w14:paraId="5463F22A">
            <w:pPr>
              <w:spacing w:before="156" w:beforeLines="50" w:after="156" w:afterLines="50" w:line="30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2025年7月1日——2025年7月31日</w:t>
            </w:r>
          </w:p>
        </w:tc>
      </w:tr>
    </w:tbl>
    <w:p w14:paraId="42731ADF">
      <w:pPr>
        <w:spacing w:before="156" w:beforeLines="50" w:after="156" w:afterLines="50" w:line="300" w:lineRule="auto"/>
        <w:ind w:firstLine="480" w:firstLineChars="200"/>
        <w:rPr>
          <w:rFonts w:ascii="Times New Roman" w:hAnsi="Times New Roman" w:eastAsia="宋体" w:cs="Times New Roman"/>
          <w:sz w:val="24"/>
          <w:szCs w:val="24"/>
        </w:rPr>
      </w:pPr>
      <w:r>
        <w:rPr>
          <w:rFonts w:hint="default" w:ascii="Times New Roman" w:hAnsi="Times New Roman" w:eastAsia="宋体" w:cs="Times New Roman"/>
          <w:color w:val="auto"/>
          <w:sz w:val="24"/>
          <w:szCs w:val="24"/>
        </w:rPr>
        <w:t>特此发布。敬请广大投资者注意投资风险，理性</w:t>
      </w:r>
      <w:r>
        <w:rPr>
          <w:rFonts w:ascii="Times New Roman" w:hAnsi="Times New Roman" w:eastAsia="宋体" w:cs="Times New Roman"/>
          <w:color w:val="auto"/>
          <w:sz w:val="24"/>
          <w:szCs w:val="24"/>
        </w:rPr>
        <w:t>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B1"/>
    <w:rsid w:val="00003A3E"/>
    <w:rsid w:val="00030D8E"/>
    <w:rsid w:val="0004504C"/>
    <w:rsid w:val="00073B14"/>
    <w:rsid w:val="000754C7"/>
    <w:rsid w:val="0008270A"/>
    <w:rsid w:val="000858FF"/>
    <w:rsid w:val="00092E1F"/>
    <w:rsid w:val="00094DAA"/>
    <w:rsid w:val="000A0B27"/>
    <w:rsid w:val="000A7E02"/>
    <w:rsid w:val="000B49BB"/>
    <w:rsid w:val="000C344A"/>
    <w:rsid w:val="000C5723"/>
    <w:rsid w:val="000E2A90"/>
    <w:rsid w:val="000E4F30"/>
    <w:rsid w:val="000F0516"/>
    <w:rsid w:val="000F1971"/>
    <w:rsid w:val="000F340B"/>
    <w:rsid w:val="000F3F8A"/>
    <w:rsid w:val="00105239"/>
    <w:rsid w:val="0011479E"/>
    <w:rsid w:val="0012401E"/>
    <w:rsid w:val="00150C02"/>
    <w:rsid w:val="001572B1"/>
    <w:rsid w:val="00161711"/>
    <w:rsid w:val="00162F87"/>
    <w:rsid w:val="00164332"/>
    <w:rsid w:val="00167C02"/>
    <w:rsid w:val="00170230"/>
    <w:rsid w:val="0017261E"/>
    <w:rsid w:val="00173A8B"/>
    <w:rsid w:val="001801D3"/>
    <w:rsid w:val="00181B5D"/>
    <w:rsid w:val="001851F9"/>
    <w:rsid w:val="00186E49"/>
    <w:rsid w:val="00192255"/>
    <w:rsid w:val="001A5771"/>
    <w:rsid w:val="001A62F9"/>
    <w:rsid w:val="001B589D"/>
    <w:rsid w:val="001B74B0"/>
    <w:rsid w:val="001C0B6C"/>
    <w:rsid w:val="001D1079"/>
    <w:rsid w:val="001D33DA"/>
    <w:rsid w:val="001D657B"/>
    <w:rsid w:val="001E217C"/>
    <w:rsid w:val="001E28B7"/>
    <w:rsid w:val="001F2F71"/>
    <w:rsid w:val="001F688E"/>
    <w:rsid w:val="00206A69"/>
    <w:rsid w:val="00210ACF"/>
    <w:rsid w:val="00210C33"/>
    <w:rsid w:val="00213DA1"/>
    <w:rsid w:val="00215A01"/>
    <w:rsid w:val="0021641F"/>
    <w:rsid w:val="00224D32"/>
    <w:rsid w:val="00225136"/>
    <w:rsid w:val="0022732E"/>
    <w:rsid w:val="002435FD"/>
    <w:rsid w:val="00250C47"/>
    <w:rsid w:val="00252AB7"/>
    <w:rsid w:val="00252C29"/>
    <w:rsid w:val="00254569"/>
    <w:rsid w:val="00256A9A"/>
    <w:rsid w:val="00265DD5"/>
    <w:rsid w:val="00282FB7"/>
    <w:rsid w:val="00290432"/>
    <w:rsid w:val="002963A0"/>
    <w:rsid w:val="002A436A"/>
    <w:rsid w:val="002A4375"/>
    <w:rsid w:val="002B0CCD"/>
    <w:rsid w:val="002B1550"/>
    <w:rsid w:val="002C5CC5"/>
    <w:rsid w:val="002C640A"/>
    <w:rsid w:val="002C7341"/>
    <w:rsid w:val="002D1EB5"/>
    <w:rsid w:val="002D3DBE"/>
    <w:rsid w:val="002D4490"/>
    <w:rsid w:val="002D4A05"/>
    <w:rsid w:val="002D5590"/>
    <w:rsid w:val="002D59B7"/>
    <w:rsid w:val="002D6B52"/>
    <w:rsid w:val="002D7201"/>
    <w:rsid w:val="002D7F4C"/>
    <w:rsid w:val="002E4751"/>
    <w:rsid w:val="003042E3"/>
    <w:rsid w:val="00307CB5"/>
    <w:rsid w:val="003144EE"/>
    <w:rsid w:val="00325176"/>
    <w:rsid w:val="00330698"/>
    <w:rsid w:val="00345C04"/>
    <w:rsid w:val="003478EC"/>
    <w:rsid w:val="003713BC"/>
    <w:rsid w:val="00383462"/>
    <w:rsid w:val="003871A9"/>
    <w:rsid w:val="00390403"/>
    <w:rsid w:val="00391BC1"/>
    <w:rsid w:val="003A0823"/>
    <w:rsid w:val="003A72C4"/>
    <w:rsid w:val="003A7C03"/>
    <w:rsid w:val="003B000A"/>
    <w:rsid w:val="003B098F"/>
    <w:rsid w:val="003B4456"/>
    <w:rsid w:val="003C1992"/>
    <w:rsid w:val="003C2D49"/>
    <w:rsid w:val="003C574F"/>
    <w:rsid w:val="003D3603"/>
    <w:rsid w:val="003D5F3C"/>
    <w:rsid w:val="003D6C9F"/>
    <w:rsid w:val="003E38FC"/>
    <w:rsid w:val="003E429A"/>
    <w:rsid w:val="003E5358"/>
    <w:rsid w:val="003E5B0D"/>
    <w:rsid w:val="003E5E1D"/>
    <w:rsid w:val="003F1E1E"/>
    <w:rsid w:val="003F7890"/>
    <w:rsid w:val="004006A3"/>
    <w:rsid w:val="00401AD3"/>
    <w:rsid w:val="00405B05"/>
    <w:rsid w:val="00406A4A"/>
    <w:rsid w:val="00412C70"/>
    <w:rsid w:val="004131B0"/>
    <w:rsid w:val="00422846"/>
    <w:rsid w:val="00436F5E"/>
    <w:rsid w:val="00470637"/>
    <w:rsid w:val="004735AA"/>
    <w:rsid w:val="0047685D"/>
    <w:rsid w:val="00477CEB"/>
    <w:rsid w:val="00481C00"/>
    <w:rsid w:val="00483C85"/>
    <w:rsid w:val="004972B2"/>
    <w:rsid w:val="004A4F63"/>
    <w:rsid w:val="004A5BFC"/>
    <w:rsid w:val="004A65E7"/>
    <w:rsid w:val="004C62BA"/>
    <w:rsid w:val="004C7D68"/>
    <w:rsid w:val="004E15F7"/>
    <w:rsid w:val="004E651F"/>
    <w:rsid w:val="004F2587"/>
    <w:rsid w:val="00500099"/>
    <w:rsid w:val="005018B8"/>
    <w:rsid w:val="00502CFB"/>
    <w:rsid w:val="005052CE"/>
    <w:rsid w:val="00506DB8"/>
    <w:rsid w:val="0052119A"/>
    <w:rsid w:val="00521FE9"/>
    <w:rsid w:val="00522C10"/>
    <w:rsid w:val="0053049B"/>
    <w:rsid w:val="0053276D"/>
    <w:rsid w:val="0054311A"/>
    <w:rsid w:val="00543B93"/>
    <w:rsid w:val="00544832"/>
    <w:rsid w:val="00550318"/>
    <w:rsid w:val="00563C64"/>
    <w:rsid w:val="00581DC0"/>
    <w:rsid w:val="00590932"/>
    <w:rsid w:val="00592C63"/>
    <w:rsid w:val="00594077"/>
    <w:rsid w:val="00597302"/>
    <w:rsid w:val="005A6927"/>
    <w:rsid w:val="005B3EEB"/>
    <w:rsid w:val="005B4CA9"/>
    <w:rsid w:val="005B7046"/>
    <w:rsid w:val="005C2B90"/>
    <w:rsid w:val="005C395F"/>
    <w:rsid w:val="005D1AE6"/>
    <w:rsid w:val="005D31F5"/>
    <w:rsid w:val="005E4598"/>
    <w:rsid w:val="005F12CF"/>
    <w:rsid w:val="005F3FB8"/>
    <w:rsid w:val="00601767"/>
    <w:rsid w:val="00610261"/>
    <w:rsid w:val="00610D5C"/>
    <w:rsid w:val="00612F3A"/>
    <w:rsid w:val="0061510E"/>
    <w:rsid w:val="00632FB1"/>
    <w:rsid w:val="006432C2"/>
    <w:rsid w:val="0064762F"/>
    <w:rsid w:val="00670D81"/>
    <w:rsid w:val="0068077C"/>
    <w:rsid w:val="0068212A"/>
    <w:rsid w:val="00686819"/>
    <w:rsid w:val="006A1FE1"/>
    <w:rsid w:val="006B030B"/>
    <w:rsid w:val="006B5E5C"/>
    <w:rsid w:val="006C752F"/>
    <w:rsid w:val="006D3564"/>
    <w:rsid w:val="006D7F0B"/>
    <w:rsid w:val="006E0C67"/>
    <w:rsid w:val="006E2F47"/>
    <w:rsid w:val="006F580F"/>
    <w:rsid w:val="0070391F"/>
    <w:rsid w:val="007048DC"/>
    <w:rsid w:val="00705CDD"/>
    <w:rsid w:val="00705FA8"/>
    <w:rsid w:val="0070685E"/>
    <w:rsid w:val="00711674"/>
    <w:rsid w:val="00716495"/>
    <w:rsid w:val="00720BFF"/>
    <w:rsid w:val="00733DD3"/>
    <w:rsid w:val="00737585"/>
    <w:rsid w:val="00744BC8"/>
    <w:rsid w:val="007450D1"/>
    <w:rsid w:val="00746B4F"/>
    <w:rsid w:val="00747117"/>
    <w:rsid w:val="00750B86"/>
    <w:rsid w:val="007542BA"/>
    <w:rsid w:val="00761151"/>
    <w:rsid w:val="00764B40"/>
    <w:rsid w:val="007701C6"/>
    <w:rsid w:val="00773F4C"/>
    <w:rsid w:val="007826FB"/>
    <w:rsid w:val="00784025"/>
    <w:rsid w:val="0079322F"/>
    <w:rsid w:val="00793795"/>
    <w:rsid w:val="00794348"/>
    <w:rsid w:val="00795E2E"/>
    <w:rsid w:val="00797FE5"/>
    <w:rsid w:val="007C453F"/>
    <w:rsid w:val="007C75E2"/>
    <w:rsid w:val="007D03A4"/>
    <w:rsid w:val="007D2E29"/>
    <w:rsid w:val="007E6B57"/>
    <w:rsid w:val="007F139C"/>
    <w:rsid w:val="007F2B99"/>
    <w:rsid w:val="00801FD8"/>
    <w:rsid w:val="0080541B"/>
    <w:rsid w:val="00806F6F"/>
    <w:rsid w:val="00814FDA"/>
    <w:rsid w:val="0081609F"/>
    <w:rsid w:val="008160BF"/>
    <w:rsid w:val="00821CBC"/>
    <w:rsid w:val="008404D7"/>
    <w:rsid w:val="00856D88"/>
    <w:rsid w:val="00867E65"/>
    <w:rsid w:val="00873614"/>
    <w:rsid w:val="00881E8C"/>
    <w:rsid w:val="00882E60"/>
    <w:rsid w:val="00887A4B"/>
    <w:rsid w:val="00894A83"/>
    <w:rsid w:val="00895254"/>
    <w:rsid w:val="008972E2"/>
    <w:rsid w:val="008973B5"/>
    <w:rsid w:val="008A5000"/>
    <w:rsid w:val="008A5480"/>
    <w:rsid w:val="008A5E76"/>
    <w:rsid w:val="008C79DE"/>
    <w:rsid w:val="008D2AAC"/>
    <w:rsid w:val="008D51F7"/>
    <w:rsid w:val="008E2738"/>
    <w:rsid w:val="008E6DBD"/>
    <w:rsid w:val="008E7B0E"/>
    <w:rsid w:val="00904D7A"/>
    <w:rsid w:val="00906AE3"/>
    <w:rsid w:val="009074DD"/>
    <w:rsid w:val="00915448"/>
    <w:rsid w:val="00917D4C"/>
    <w:rsid w:val="00920338"/>
    <w:rsid w:val="00924791"/>
    <w:rsid w:val="00944FF3"/>
    <w:rsid w:val="009528F6"/>
    <w:rsid w:val="00955DB9"/>
    <w:rsid w:val="00961284"/>
    <w:rsid w:val="00964965"/>
    <w:rsid w:val="0097014F"/>
    <w:rsid w:val="0099536A"/>
    <w:rsid w:val="00995851"/>
    <w:rsid w:val="00995BB8"/>
    <w:rsid w:val="009A3819"/>
    <w:rsid w:val="009A446D"/>
    <w:rsid w:val="009A5236"/>
    <w:rsid w:val="009A53B4"/>
    <w:rsid w:val="009A5FE0"/>
    <w:rsid w:val="009A602A"/>
    <w:rsid w:val="009A7F7F"/>
    <w:rsid w:val="009B0CA8"/>
    <w:rsid w:val="009B781F"/>
    <w:rsid w:val="009C2972"/>
    <w:rsid w:val="009C560E"/>
    <w:rsid w:val="009D2020"/>
    <w:rsid w:val="009D7E19"/>
    <w:rsid w:val="009E4899"/>
    <w:rsid w:val="009F4BF6"/>
    <w:rsid w:val="009F7638"/>
    <w:rsid w:val="00A00EFA"/>
    <w:rsid w:val="00A025C8"/>
    <w:rsid w:val="00A05FA4"/>
    <w:rsid w:val="00A06B97"/>
    <w:rsid w:val="00A13043"/>
    <w:rsid w:val="00A175BA"/>
    <w:rsid w:val="00A20863"/>
    <w:rsid w:val="00A209AA"/>
    <w:rsid w:val="00A20DE0"/>
    <w:rsid w:val="00A33BAF"/>
    <w:rsid w:val="00A36AE9"/>
    <w:rsid w:val="00A413BA"/>
    <w:rsid w:val="00A56163"/>
    <w:rsid w:val="00A62B5D"/>
    <w:rsid w:val="00A63871"/>
    <w:rsid w:val="00A82BBA"/>
    <w:rsid w:val="00A857FA"/>
    <w:rsid w:val="00A900F6"/>
    <w:rsid w:val="00A90A58"/>
    <w:rsid w:val="00AA0FC3"/>
    <w:rsid w:val="00AA30BB"/>
    <w:rsid w:val="00AA7F89"/>
    <w:rsid w:val="00AB0C39"/>
    <w:rsid w:val="00AB4DC0"/>
    <w:rsid w:val="00AC0C6F"/>
    <w:rsid w:val="00AC4159"/>
    <w:rsid w:val="00AC5E4E"/>
    <w:rsid w:val="00AC6111"/>
    <w:rsid w:val="00AE3E16"/>
    <w:rsid w:val="00AE56DF"/>
    <w:rsid w:val="00AF23F6"/>
    <w:rsid w:val="00B015BA"/>
    <w:rsid w:val="00B12798"/>
    <w:rsid w:val="00B14E98"/>
    <w:rsid w:val="00B1604F"/>
    <w:rsid w:val="00B1690D"/>
    <w:rsid w:val="00B174DD"/>
    <w:rsid w:val="00B2544D"/>
    <w:rsid w:val="00B25643"/>
    <w:rsid w:val="00B30734"/>
    <w:rsid w:val="00B31F44"/>
    <w:rsid w:val="00B41ACE"/>
    <w:rsid w:val="00B42564"/>
    <w:rsid w:val="00B44777"/>
    <w:rsid w:val="00B53F66"/>
    <w:rsid w:val="00B54444"/>
    <w:rsid w:val="00B54987"/>
    <w:rsid w:val="00B55413"/>
    <w:rsid w:val="00B56BD3"/>
    <w:rsid w:val="00B5747E"/>
    <w:rsid w:val="00B6324E"/>
    <w:rsid w:val="00B654DF"/>
    <w:rsid w:val="00B66386"/>
    <w:rsid w:val="00B66914"/>
    <w:rsid w:val="00B73C50"/>
    <w:rsid w:val="00B73E4C"/>
    <w:rsid w:val="00B74417"/>
    <w:rsid w:val="00B77978"/>
    <w:rsid w:val="00B8007B"/>
    <w:rsid w:val="00B84357"/>
    <w:rsid w:val="00B874F7"/>
    <w:rsid w:val="00B877C3"/>
    <w:rsid w:val="00B91FC1"/>
    <w:rsid w:val="00B95549"/>
    <w:rsid w:val="00BA64AF"/>
    <w:rsid w:val="00BD14B9"/>
    <w:rsid w:val="00BD2F25"/>
    <w:rsid w:val="00BE0B8B"/>
    <w:rsid w:val="00BE2622"/>
    <w:rsid w:val="00BF1F86"/>
    <w:rsid w:val="00C0077D"/>
    <w:rsid w:val="00C10139"/>
    <w:rsid w:val="00C11289"/>
    <w:rsid w:val="00C173E0"/>
    <w:rsid w:val="00C24390"/>
    <w:rsid w:val="00C31E80"/>
    <w:rsid w:val="00C33817"/>
    <w:rsid w:val="00C43F1C"/>
    <w:rsid w:val="00C43F58"/>
    <w:rsid w:val="00C705B1"/>
    <w:rsid w:val="00C70601"/>
    <w:rsid w:val="00C71E18"/>
    <w:rsid w:val="00C80465"/>
    <w:rsid w:val="00C8246A"/>
    <w:rsid w:val="00C95A0C"/>
    <w:rsid w:val="00CB69F1"/>
    <w:rsid w:val="00CB7389"/>
    <w:rsid w:val="00CC0F3A"/>
    <w:rsid w:val="00CC3088"/>
    <w:rsid w:val="00CC616A"/>
    <w:rsid w:val="00CC685E"/>
    <w:rsid w:val="00CD575E"/>
    <w:rsid w:val="00CD5DFE"/>
    <w:rsid w:val="00CD661E"/>
    <w:rsid w:val="00CE04F0"/>
    <w:rsid w:val="00CE2C0F"/>
    <w:rsid w:val="00CE34AD"/>
    <w:rsid w:val="00CF329A"/>
    <w:rsid w:val="00CF3A3A"/>
    <w:rsid w:val="00CF592E"/>
    <w:rsid w:val="00D048C2"/>
    <w:rsid w:val="00D05553"/>
    <w:rsid w:val="00D06460"/>
    <w:rsid w:val="00D06F7B"/>
    <w:rsid w:val="00D272B7"/>
    <w:rsid w:val="00D308CD"/>
    <w:rsid w:val="00D30C73"/>
    <w:rsid w:val="00D355A8"/>
    <w:rsid w:val="00D36D68"/>
    <w:rsid w:val="00D3763A"/>
    <w:rsid w:val="00D547B4"/>
    <w:rsid w:val="00D621C3"/>
    <w:rsid w:val="00D66BCF"/>
    <w:rsid w:val="00D74CBC"/>
    <w:rsid w:val="00D860EE"/>
    <w:rsid w:val="00DA4B0B"/>
    <w:rsid w:val="00DA6CF7"/>
    <w:rsid w:val="00DB0950"/>
    <w:rsid w:val="00DB6148"/>
    <w:rsid w:val="00DD0A0D"/>
    <w:rsid w:val="00DD3067"/>
    <w:rsid w:val="00DE49F7"/>
    <w:rsid w:val="00DE542F"/>
    <w:rsid w:val="00DE68D8"/>
    <w:rsid w:val="00DE7DE3"/>
    <w:rsid w:val="00DF04AE"/>
    <w:rsid w:val="00DF103E"/>
    <w:rsid w:val="00DF1640"/>
    <w:rsid w:val="00DF2DD2"/>
    <w:rsid w:val="00DF6944"/>
    <w:rsid w:val="00E00783"/>
    <w:rsid w:val="00E40424"/>
    <w:rsid w:val="00E43D20"/>
    <w:rsid w:val="00E470ED"/>
    <w:rsid w:val="00E56C5F"/>
    <w:rsid w:val="00E57EB9"/>
    <w:rsid w:val="00E711B5"/>
    <w:rsid w:val="00E7768A"/>
    <w:rsid w:val="00E825B8"/>
    <w:rsid w:val="00E903DE"/>
    <w:rsid w:val="00E9543C"/>
    <w:rsid w:val="00EA058C"/>
    <w:rsid w:val="00EA2E90"/>
    <w:rsid w:val="00EA3116"/>
    <w:rsid w:val="00EA4342"/>
    <w:rsid w:val="00EA5031"/>
    <w:rsid w:val="00EA7879"/>
    <w:rsid w:val="00EB5318"/>
    <w:rsid w:val="00EB536B"/>
    <w:rsid w:val="00ED27D4"/>
    <w:rsid w:val="00ED3800"/>
    <w:rsid w:val="00EE2058"/>
    <w:rsid w:val="00EE693B"/>
    <w:rsid w:val="00EF0D3F"/>
    <w:rsid w:val="00EF10F1"/>
    <w:rsid w:val="00EF21FE"/>
    <w:rsid w:val="00EF6BA0"/>
    <w:rsid w:val="00EF7EFB"/>
    <w:rsid w:val="00F017A3"/>
    <w:rsid w:val="00F047CE"/>
    <w:rsid w:val="00F13E15"/>
    <w:rsid w:val="00F23C67"/>
    <w:rsid w:val="00F2576F"/>
    <w:rsid w:val="00F26B12"/>
    <w:rsid w:val="00F31FEA"/>
    <w:rsid w:val="00F476E8"/>
    <w:rsid w:val="00F5713C"/>
    <w:rsid w:val="00F60647"/>
    <w:rsid w:val="00F704BF"/>
    <w:rsid w:val="00F713B1"/>
    <w:rsid w:val="00F71CD6"/>
    <w:rsid w:val="00F750BE"/>
    <w:rsid w:val="00F75388"/>
    <w:rsid w:val="00F80521"/>
    <w:rsid w:val="00F84D35"/>
    <w:rsid w:val="00F8633B"/>
    <w:rsid w:val="00F9266B"/>
    <w:rsid w:val="00F94756"/>
    <w:rsid w:val="00FA0894"/>
    <w:rsid w:val="00FA090B"/>
    <w:rsid w:val="00FA152D"/>
    <w:rsid w:val="00FA600B"/>
    <w:rsid w:val="00FA6733"/>
    <w:rsid w:val="00FC4BE5"/>
    <w:rsid w:val="00FC7FF4"/>
    <w:rsid w:val="00FD746D"/>
    <w:rsid w:val="00FE37E0"/>
    <w:rsid w:val="00FE5EAF"/>
    <w:rsid w:val="00FE76C8"/>
    <w:rsid w:val="00FE7EEE"/>
    <w:rsid w:val="00FF651C"/>
    <w:rsid w:val="014001AC"/>
    <w:rsid w:val="01E414FF"/>
    <w:rsid w:val="02331F5B"/>
    <w:rsid w:val="028B18FB"/>
    <w:rsid w:val="029E1CF3"/>
    <w:rsid w:val="02EE30B6"/>
    <w:rsid w:val="035E171E"/>
    <w:rsid w:val="03C33AB5"/>
    <w:rsid w:val="040A4E42"/>
    <w:rsid w:val="04411538"/>
    <w:rsid w:val="048615DD"/>
    <w:rsid w:val="060C5547"/>
    <w:rsid w:val="07283BBC"/>
    <w:rsid w:val="07660241"/>
    <w:rsid w:val="07ED3E37"/>
    <w:rsid w:val="083E4D1A"/>
    <w:rsid w:val="08DF3250"/>
    <w:rsid w:val="09B94F9F"/>
    <w:rsid w:val="09E75808"/>
    <w:rsid w:val="0A252635"/>
    <w:rsid w:val="0A8A693C"/>
    <w:rsid w:val="0B3800B6"/>
    <w:rsid w:val="0B952ADC"/>
    <w:rsid w:val="0BFBFAAA"/>
    <w:rsid w:val="0CC51EAD"/>
    <w:rsid w:val="0CDD71F7"/>
    <w:rsid w:val="0D8F2A9B"/>
    <w:rsid w:val="0DF76CF0"/>
    <w:rsid w:val="0E116281"/>
    <w:rsid w:val="0E9E6512"/>
    <w:rsid w:val="0EAA7385"/>
    <w:rsid w:val="0EB6471F"/>
    <w:rsid w:val="0F7C4064"/>
    <w:rsid w:val="0FEB3B29"/>
    <w:rsid w:val="104135F9"/>
    <w:rsid w:val="111807FE"/>
    <w:rsid w:val="116137C7"/>
    <w:rsid w:val="117E41D3"/>
    <w:rsid w:val="121216F1"/>
    <w:rsid w:val="1246139A"/>
    <w:rsid w:val="130C25E4"/>
    <w:rsid w:val="13FC4E78"/>
    <w:rsid w:val="13FF4C55"/>
    <w:rsid w:val="14757D15"/>
    <w:rsid w:val="147D4A90"/>
    <w:rsid w:val="1491212E"/>
    <w:rsid w:val="14A14FAE"/>
    <w:rsid w:val="15B80793"/>
    <w:rsid w:val="15D26F32"/>
    <w:rsid w:val="15E215CF"/>
    <w:rsid w:val="16227A29"/>
    <w:rsid w:val="16B201C8"/>
    <w:rsid w:val="16D36F75"/>
    <w:rsid w:val="183E3E7C"/>
    <w:rsid w:val="193463F1"/>
    <w:rsid w:val="19EE2754"/>
    <w:rsid w:val="19FA0EA4"/>
    <w:rsid w:val="1BB9498B"/>
    <w:rsid w:val="1DFB12EB"/>
    <w:rsid w:val="1E3BF0DA"/>
    <w:rsid w:val="1E420AD8"/>
    <w:rsid w:val="1E71154D"/>
    <w:rsid w:val="1E974C77"/>
    <w:rsid w:val="1F2C2D5F"/>
    <w:rsid w:val="1F8613E5"/>
    <w:rsid w:val="1FA92F69"/>
    <w:rsid w:val="1FC14756"/>
    <w:rsid w:val="20410B4E"/>
    <w:rsid w:val="212A0CF4"/>
    <w:rsid w:val="223631D9"/>
    <w:rsid w:val="22F10EAE"/>
    <w:rsid w:val="23FA1B4B"/>
    <w:rsid w:val="242B611F"/>
    <w:rsid w:val="24636D9B"/>
    <w:rsid w:val="24857EBF"/>
    <w:rsid w:val="26D07D0F"/>
    <w:rsid w:val="26E12642"/>
    <w:rsid w:val="27585E25"/>
    <w:rsid w:val="27EC7E96"/>
    <w:rsid w:val="28312838"/>
    <w:rsid w:val="2A500BB0"/>
    <w:rsid w:val="2A9A007E"/>
    <w:rsid w:val="2ABC4498"/>
    <w:rsid w:val="2B7F799F"/>
    <w:rsid w:val="2B9238D6"/>
    <w:rsid w:val="2BE850F4"/>
    <w:rsid w:val="2C8A69EB"/>
    <w:rsid w:val="2CDA0C05"/>
    <w:rsid w:val="2D261455"/>
    <w:rsid w:val="2D9318EA"/>
    <w:rsid w:val="2E292214"/>
    <w:rsid w:val="2EA27501"/>
    <w:rsid w:val="2EEE5640"/>
    <w:rsid w:val="2FAD43CD"/>
    <w:rsid w:val="30F5600E"/>
    <w:rsid w:val="3162469E"/>
    <w:rsid w:val="31D070A7"/>
    <w:rsid w:val="32567224"/>
    <w:rsid w:val="33353039"/>
    <w:rsid w:val="34867D43"/>
    <w:rsid w:val="34DF14AF"/>
    <w:rsid w:val="34FD149E"/>
    <w:rsid w:val="359027A9"/>
    <w:rsid w:val="35951B6D"/>
    <w:rsid w:val="359F22BA"/>
    <w:rsid w:val="35A31898"/>
    <w:rsid w:val="35D72DDF"/>
    <w:rsid w:val="36164E43"/>
    <w:rsid w:val="36EE48AF"/>
    <w:rsid w:val="36F40B16"/>
    <w:rsid w:val="3742355C"/>
    <w:rsid w:val="37E33064"/>
    <w:rsid w:val="38013404"/>
    <w:rsid w:val="3848400B"/>
    <w:rsid w:val="3982668F"/>
    <w:rsid w:val="39E92488"/>
    <w:rsid w:val="3AAB3F75"/>
    <w:rsid w:val="3AE315CD"/>
    <w:rsid w:val="3C6F3118"/>
    <w:rsid w:val="3C8039B1"/>
    <w:rsid w:val="3CE358B4"/>
    <w:rsid w:val="3CFD7A6F"/>
    <w:rsid w:val="3D017677"/>
    <w:rsid w:val="3D1D5DB9"/>
    <w:rsid w:val="3D9B33F2"/>
    <w:rsid w:val="3DE6F019"/>
    <w:rsid w:val="3E375EB7"/>
    <w:rsid w:val="3E8F6C46"/>
    <w:rsid w:val="3EED0D19"/>
    <w:rsid w:val="3F6105E1"/>
    <w:rsid w:val="3F7B6278"/>
    <w:rsid w:val="3F7FA137"/>
    <w:rsid w:val="3FBA6341"/>
    <w:rsid w:val="3FDF79FA"/>
    <w:rsid w:val="400E791C"/>
    <w:rsid w:val="402A2B77"/>
    <w:rsid w:val="40933B51"/>
    <w:rsid w:val="40BA6517"/>
    <w:rsid w:val="40C17CBA"/>
    <w:rsid w:val="40C94DC1"/>
    <w:rsid w:val="411422B9"/>
    <w:rsid w:val="42605623"/>
    <w:rsid w:val="42693F02"/>
    <w:rsid w:val="42695622"/>
    <w:rsid w:val="42980EEF"/>
    <w:rsid w:val="42A71DE3"/>
    <w:rsid w:val="42D73111"/>
    <w:rsid w:val="42E268CE"/>
    <w:rsid w:val="435B43F6"/>
    <w:rsid w:val="44615A3C"/>
    <w:rsid w:val="455D2936"/>
    <w:rsid w:val="47D046A0"/>
    <w:rsid w:val="4950607F"/>
    <w:rsid w:val="49E656D2"/>
    <w:rsid w:val="4A1D3A8C"/>
    <w:rsid w:val="4A3774D5"/>
    <w:rsid w:val="4A673C54"/>
    <w:rsid w:val="4AD12446"/>
    <w:rsid w:val="4ADD35DB"/>
    <w:rsid w:val="4B6E218B"/>
    <w:rsid w:val="4B83273C"/>
    <w:rsid w:val="4BE45B54"/>
    <w:rsid w:val="4BED4C7B"/>
    <w:rsid w:val="4CD60B0D"/>
    <w:rsid w:val="4D2A29AE"/>
    <w:rsid w:val="4D5C0978"/>
    <w:rsid w:val="4DFF6959"/>
    <w:rsid w:val="4E08517B"/>
    <w:rsid w:val="4E3A0E3B"/>
    <w:rsid w:val="4E4F2DA9"/>
    <w:rsid w:val="4FAFE429"/>
    <w:rsid w:val="4FC7696F"/>
    <w:rsid w:val="4FCE762F"/>
    <w:rsid w:val="4FE6773D"/>
    <w:rsid w:val="4FFBAF22"/>
    <w:rsid w:val="50112E5F"/>
    <w:rsid w:val="501E6ED7"/>
    <w:rsid w:val="50391857"/>
    <w:rsid w:val="510065DD"/>
    <w:rsid w:val="53964C3B"/>
    <w:rsid w:val="54372316"/>
    <w:rsid w:val="543F3687"/>
    <w:rsid w:val="54DA301B"/>
    <w:rsid w:val="555818F4"/>
    <w:rsid w:val="55F50ABA"/>
    <w:rsid w:val="564B02FA"/>
    <w:rsid w:val="56986138"/>
    <w:rsid w:val="56FF174F"/>
    <w:rsid w:val="57883DC5"/>
    <w:rsid w:val="57A203EE"/>
    <w:rsid w:val="57F124D9"/>
    <w:rsid w:val="582D6ECD"/>
    <w:rsid w:val="58433BC3"/>
    <w:rsid w:val="589D0BB5"/>
    <w:rsid w:val="58B8154B"/>
    <w:rsid w:val="5A3E7F6B"/>
    <w:rsid w:val="5BEE2A2D"/>
    <w:rsid w:val="5BFD4B61"/>
    <w:rsid w:val="5BFEEEB9"/>
    <w:rsid w:val="5C3B496D"/>
    <w:rsid w:val="5C835DA4"/>
    <w:rsid w:val="5C9E03A3"/>
    <w:rsid w:val="5CBC4D5E"/>
    <w:rsid w:val="5DA10786"/>
    <w:rsid w:val="5DBD47E8"/>
    <w:rsid w:val="5DC36436"/>
    <w:rsid w:val="5DD906CC"/>
    <w:rsid w:val="5E510478"/>
    <w:rsid w:val="5E5C6742"/>
    <w:rsid w:val="5E766837"/>
    <w:rsid w:val="5EEA09A8"/>
    <w:rsid w:val="5EF332DD"/>
    <w:rsid w:val="5FA267D3"/>
    <w:rsid w:val="5FB711F3"/>
    <w:rsid w:val="5FD34B2E"/>
    <w:rsid w:val="5FE8720C"/>
    <w:rsid w:val="604E1113"/>
    <w:rsid w:val="614B1509"/>
    <w:rsid w:val="61696FB2"/>
    <w:rsid w:val="62A414BE"/>
    <w:rsid w:val="62A72510"/>
    <w:rsid w:val="62F12D86"/>
    <w:rsid w:val="63A22E71"/>
    <w:rsid w:val="63DD3261"/>
    <w:rsid w:val="64075BDA"/>
    <w:rsid w:val="651F307E"/>
    <w:rsid w:val="65827169"/>
    <w:rsid w:val="65E240AB"/>
    <w:rsid w:val="66F703CC"/>
    <w:rsid w:val="68837508"/>
    <w:rsid w:val="68AD73E4"/>
    <w:rsid w:val="6A52203C"/>
    <w:rsid w:val="6AFF00F2"/>
    <w:rsid w:val="6B4E23EA"/>
    <w:rsid w:val="6B9D2F4E"/>
    <w:rsid w:val="6BA936A1"/>
    <w:rsid w:val="6BFB5EC7"/>
    <w:rsid w:val="6C4F1E88"/>
    <w:rsid w:val="6CFEC4DC"/>
    <w:rsid w:val="6D57537F"/>
    <w:rsid w:val="6DBE68FE"/>
    <w:rsid w:val="6EC82F51"/>
    <w:rsid w:val="6EE7ADAF"/>
    <w:rsid w:val="6F0118FB"/>
    <w:rsid w:val="6F1F51D8"/>
    <w:rsid w:val="6F2F2072"/>
    <w:rsid w:val="6FB6DD6C"/>
    <w:rsid w:val="70E77AE2"/>
    <w:rsid w:val="71164BAB"/>
    <w:rsid w:val="719F5F35"/>
    <w:rsid w:val="71B2527A"/>
    <w:rsid w:val="71F7E6A0"/>
    <w:rsid w:val="72BF6E30"/>
    <w:rsid w:val="72F86CBC"/>
    <w:rsid w:val="73571C35"/>
    <w:rsid w:val="736F14B1"/>
    <w:rsid w:val="736F2F6C"/>
    <w:rsid w:val="738E51DF"/>
    <w:rsid w:val="73A11102"/>
    <w:rsid w:val="73BFEAD0"/>
    <w:rsid w:val="73FB740F"/>
    <w:rsid w:val="741FC724"/>
    <w:rsid w:val="74546174"/>
    <w:rsid w:val="7479E77C"/>
    <w:rsid w:val="74FF42C9"/>
    <w:rsid w:val="757C7081"/>
    <w:rsid w:val="76420A34"/>
    <w:rsid w:val="76D96E05"/>
    <w:rsid w:val="76F16235"/>
    <w:rsid w:val="77204A34"/>
    <w:rsid w:val="77A4EA1F"/>
    <w:rsid w:val="77D238E5"/>
    <w:rsid w:val="77EE41A8"/>
    <w:rsid w:val="77FCD03E"/>
    <w:rsid w:val="77FFA9B4"/>
    <w:rsid w:val="787F133D"/>
    <w:rsid w:val="78EA00BA"/>
    <w:rsid w:val="79EE5AD5"/>
    <w:rsid w:val="7A2741E7"/>
    <w:rsid w:val="7A6390F1"/>
    <w:rsid w:val="7AF577F4"/>
    <w:rsid w:val="7B8228A1"/>
    <w:rsid w:val="7BB3A749"/>
    <w:rsid w:val="7BD858DD"/>
    <w:rsid w:val="7BDF910D"/>
    <w:rsid w:val="7C0B5CB2"/>
    <w:rsid w:val="7C2A605D"/>
    <w:rsid w:val="7C776B7F"/>
    <w:rsid w:val="7CE612DD"/>
    <w:rsid w:val="7E283678"/>
    <w:rsid w:val="7EE54B20"/>
    <w:rsid w:val="7F3DFEC3"/>
    <w:rsid w:val="7F7211B1"/>
    <w:rsid w:val="7F8C710A"/>
    <w:rsid w:val="7FBD3767"/>
    <w:rsid w:val="7FDFEE12"/>
    <w:rsid w:val="7FF8DCFF"/>
    <w:rsid w:val="7FFB2D61"/>
    <w:rsid w:val="8F7F6C89"/>
    <w:rsid w:val="9D5B4DCC"/>
    <w:rsid w:val="9E5D5468"/>
    <w:rsid w:val="AECF8EB8"/>
    <w:rsid w:val="AFDB387C"/>
    <w:rsid w:val="BFFB478C"/>
    <w:rsid w:val="CFFA544B"/>
    <w:rsid w:val="D5CF1924"/>
    <w:rsid w:val="D7E1D983"/>
    <w:rsid w:val="DAB79E35"/>
    <w:rsid w:val="DBFF8918"/>
    <w:rsid w:val="DF5B7DBF"/>
    <w:rsid w:val="DFB7F630"/>
    <w:rsid w:val="DFF3FF19"/>
    <w:rsid w:val="EFD7603F"/>
    <w:rsid w:val="F2FD01AC"/>
    <w:rsid w:val="F5CC22F8"/>
    <w:rsid w:val="F6A1191E"/>
    <w:rsid w:val="F6AFAA41"/>
    <w:rsid w:val="F7E09A21"/>
    <w:rsid w:val="F9FBA920"/>
    <w:rsid w:val="FAF78A88"/>
    <w:rsid w:val="FBAB11D8"/>
    <w:rsid w:val="FBB79D8F"/>
    <w:rsid w:val="FBFFB937"/>
    <w:rsid w:val="FDCBB794"/>
    <w:rsid w:val="FEB20FE4"/>
    <w:rsid w:val="FEFD5DE1"/>
    <w:rsid w:val="FF7D41BC"/>
    <w:rsid w:val="FFBD98DC"/>
    <w:rsid w:val="FFD719EE"/>
    <w:rsid w:val="FFDF03EA"/>
    <w:rsid w:val="FFEFBEA3"/>
    <w:rsid w:val="FFF7A456"/>
    <w:rsid w:val="FFF93317"/>
    <w:rsid w:val="FFFEAC0E"/>
    <w:rsid w:val="FFFF2E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uiPriority w:val="99"/>
    <w:rPr>
      <w:sz w:val="21"/>
      <w:szCs w:val="21"/>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emailstyle15"/>
    <w:basedOn w:val="11"/>
    <w:qFormat/>
    <w:uiPriority w:val="0"/>
    <w:rPr>
      <w:rFonts w:hint="eastAsia" w:ascii="等线" w:hAnsi="等线" w:eastAsia="等线" w:cs="Times New Roman"/>
      <w:color w:val="auto"/>
      <w:sz w:val="21"/>
      <w:szCs w:val="22"/>
    </w:rPr>
  </w:style>
  <w:style w:type="character" w:customStyle="1" w:styleId="19">
    <w:name w:val="批注文字 字符"/>
    <w:basedOn w:val="11"/>
    <w:link w:val="3"/>
    <w:semiHidden/>
    <w:qFormat/>
    <w:uiPriority w:val="99"/>
    <w:rPr>
      <w:rFonts w:asciiTheme="minorHAnsi" w:hAnsiTheme="minorHAnsi" w:eastAsiaTheme="minorEastAsia" w:cstheme="minorBidi"/>
      <w:kern w:val="2"/>
      <w:sz w:val="21"/>
      <w:szCs w:val="22"/>
    </w:rPr>
  </w:style>
  <w:style w:type="character" w:customStyle="1" w:styleId="20">
    <w:name w:val="批注主题 字符"/>
    <w:basedOn w:val="19"/>
    <w:link w:val="8"/>
    <w:semiHidden/>
    <w:qFormat/>
    <w:uiPriority w:val="99"/>
    <w:rPr>
      <w:rFonts w:asciiTheme="minorHAnsi" w:hAnsiTheme="minorHAnsi" w:eastAsiaTheme="minorEastAsia" w:cstheme="minorBidi"/>
      <w:b/>
      <w:bCs/>
      <w:kern w:val="2"/>
      <w:sz w:val="21"/>
      <w:szCs w:val="22"/>
    </w:rPr>
  </w:style>
  <w:style w:type="character" w:customStyle="1" w:styleId="21">
    <w:name w:val="批注框文本 字符"/>
    <w:basedOn w:val="11"/>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4349D-2D2E-4E97-A4A3-18E5A0C7E23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2831</Words>
  <Characters>2966</Characters>
  <Lines>21</Lines>
  <Paragraphs>5</Paragraphs>
  <TotalTime>45</TotalTime>
  <ScaleCrop>false</ScaleCrop>
  <LinksUpToDate>false</LinksUpToDate>
  <CharactersWithSpaces>3016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2024-04-04T10:13:00Z</dcterms:created>
  <dc:creator>秦誉文</dc:creator>
  <cp:lastModifiedBy>Yu Fan</cp:lastModifiedBy>
  <dcterms:modified xsi:type="dcterms:W3CDTF">2025-08-01T08:49:01Z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eyJoZGlkIjoiOWNhZjVkOGM4MzRkZDQ2Y2IyZjIyODljYjcyOGJhYjciLCJ1c2VySWQiOiIyNTYzMDc2NDQifQ==</vt:lpwstr>
  </property>
  <property fmtid="{D5CDD505-2E9C-101B-9397-08002B2CF9AE}" pid="4" name="ICV">
    <vt:lpwstr>B52BA013761B46F4BB585B9FE29F8397_12</vt:lpwstr>
  </property>
</Properties>
</file>