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EE7E" w14:textId="77777777" w:rsidR="003767FE" w:rsidRDefault="00000000">
      <w:pPr>
        <w:spacing w:line="288" w:lineRule="auto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证券代码：6</w:t>
      </w:r>
      <w:r>
        <w:rPr>
          <w:rFonts w:ascii="宋体" w:eastAsia="宋体" w:hAnsi="宋体"/>
          <w:szCs w:val="21"/>
        </w:rPr>
        <w:t>03920</w:t>
      </w:r>
      <w:r>
        <w:rPr>
          <w:rFonts w:ascii="宋体" w:eastAsia="宋体" w:hAnsi="宋体" w:hint="eastAsia"/>
          <w:szCs w:val="21"/>
        </w:rPr>
        <w:t xml:space="preserve">                                             证券简称：世运电路</w:t>
      </w:r>
    </w:p>
    <w:p w14:paraId="14CC0F13" w14:textId="77777777" w:rsidR="003767FE" w:rsidRDefault="00000000">
      <w:pPr>
        <w:spacing w:after="120" w:line="360" w:lineRule="auto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广东世运电路科技股份有限公司</w:t>
      </w:r>
    </w:p>
    <w:p w14:paraId="736B0153" w14:textId="77777777" w:rsidR="003767FE" w:rsidRDefault="00000000">
      <w:pPr>
        <w:spacing w:after="120" w:line="360" w:lineRule="auto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投资者关系活动记录表</w:t>
      </w:r>
    </w:p>
    <w:p w14:paraId="7335BCD7" w14:textId="435B8D90" w:rsidR="003767FE" w:rsidRPr="00591A4F" w:rsidRDefault="00000000" w:rsidP="00591A4F">
      <w:pPr>
        <w:spacing w:after="120" w:line="360" w:lineRule="auto"/>
        <w:jc w:val="right"/>
        <w:rPr>
          <w:rFonts w:ascii="宋体" w:eastAsia="宋体" w:hAnsi="宋体" w:hint="eastAsia"/>
          <w:szCs w:val="21"/>
        </w:rPr>
      </w:pPr>
      <w:r w:rsidRPr="00591A4F">
        <w:rPr>
          <w:rFonts w:ascii="宋体" w:eastAsia="宋体" w:hAnsi="宋体" w:hint="eastAsia"/>
          <w:szCs w:val="21"/>
        </w:rPr>
        <w:t>编号：2025-</w:t>
      </w:r>
      <w:r w:rsidR="00391D63">
        <w:rPr>
          <w:rFonts w:ascii="宋体" w:eastAsia="宋体" w:hAnsi="宋体" w:hint="eastAsia"/>
          <w:szCs w:val="21"/>
        </w:rPr>
        <w:t>03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298"/>
        <w:gridCol w:w="6998"/>
      </w:tblGrid>
      <w:tr w:rsidR="003767FE" w14:paraId="4867935B" w14:textId="77777777">
        <w:trPr>
          <w:trHeight w:val="920"/>
        </w:trPr>
        <w:tc>
          <w:tcPr>
            <w:tcW w:w="1298" w:type="dxa"/>
            <w:vAlign w:val="center"/>
          </w:tcPr>
          <w:p w14:paraId="6B1EBA8C" w14:textId="77777777" w:rsidR="003767FE" w:rsidRDefault="00000000">
            <w:pPr>
              <w:spacing w:line="288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投资者关系活动类别</w:t>
            </w:r>
          </w:p>
        </w:tc>
        <w:tc>
          <w:tcPr>
            <w:tcW w:w="6998" w:type="dxa"/>
            <w:vAlign w:val="center"/>
          </w:tcPr>
          <w:p w14:paraId="14E76E32" w14:textId="77777777" w:rsidR="003767FE" w:rsidRDefault="00000000">
            <w:pPr>
              <w:spacing w:line="288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☑特定对象调研 □分析师会议 □媒体采访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业绩说明会</w:t>
            </w:r>
          </w:p>
          <w:p w14:paraId="0D7B25D8" w14:textId="77777777" w:rsidR="003767FE" w:rsidRDefault="00000000">
            <w:pPr>
              <w:spacing w:line="288" w:lineRule="auto"/>
              <w:rPr>
                <w:rFonts w:ascii="宋体" w:eastAsia="宋体" w:hAnsi="宋体" w:cs="宋体" w:hint="eastAsia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□新闻发布会 □路演活动 ☑现场参观 □其他</w:t>
            </w:r>
          </w:p>
        </w:tc>
      </w:tr>
      <w:tr w:rsidR="003767FE" w14:paraId="363E76BC" w14:textId="77777777">
        <w:trPr>
          <w:trHeight w:val="844"/>
        </w:trPr>
        <w:tc>
          <w:tcPr>
            <w:tcW w:w="1298" w:type="dxa"/>
            <w:vAlign w:val="center"/>
          </w:tcPr>
          <w:p w14:paraId="488CD343" w14:textId="77777777" w:rsidR="003767FE" w:rsidRDefault="00000000">
            <w:pPr>
              <w:spacing w:line="288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参与单位名称与人数</w:t>
            </w:r>
          </w:p>
        </w:tc>
        <w:tc>
          <w:tcPr>
            <w:tcW w:w="6998" w:type="dxa"/>
            <w:vAlign w:val="center"/>
          </w:tcPr>
          <w:p w14:paraId="5D919CEF" w14:textId="77777777" w:rsidR="003767FE" w:rsidRDefault="00000000">
            <w:pPr>
              <w:spacing w:line="288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华泰证券、广东上市公司协会、江门市证券业及上市公司协会、天弘基金、嘉实基金等机构代表29人</w:t>
            </w:r>
          </w:p>
        </w:tc>
      </w:tr>
      <w:tr w:rsidR="003767FE" w14:paraId="02CDD3B5" w14:textId="77777777">
        <w:trPr>
          <w:trHeight w:val="670"/>
        </w:trPr>
        <w:tc>
          <w:tcPr>
            <w:tcW w:w="1298" w:type="dxa"/>
            <w:vAlign w:val="center"/>
          </w:tcPr>
          <w:p w14:paraId="155DD215" w14:textId="77777777" w:rsidR="003767FE" w:rsidRDefault="00000000">
            <w:pPr>
              <w:spacing w:line="288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6998" w:type="dxa"/>
            <w:vAlign w:val="center"/>
          </w:tcPr>
          <w:p w14:paraId="4B51238E" w14:textId="77777777" w:rsidR="003767FE" w:rsidRDefault="00000000">
            <w:pPr>
              <w:spacing w:line="288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Cs w:val="21"/>
              </w:rPr>
              <w:t>2025年8月1日10:30</w:t>
            </w:r>
            <w:r>
              <w:rPr>
                <w:rFonts w:ascii="宋体" w:eastAsia="宋体" w:hAnsi="宋体"/>
                <w:szCs w:val="21"/>
              </w:rPr>
              <w:t>—</w:t>
            </w:r>
            <w:r>
              <w:rPr>
                <w:rFonts w:ascii="宋体" w:eastAsia="宋体" w:hAnsi="宋体" w:hint="eastAsia"/>
                <w:szCs w:val="21"/>
              </w:rPr>
              <w:t>12:00</w:t>
            </w:r>
          </w:p>
        </w:tc>
      </w:tr>
      <w:tr w:rsidR="003767FE" w14:paraId="6356F7F5" w14:textId="77777777">
        <w:trPr>
          <w:trHeight w:val="312"/>
        </w:trPr>
        <w:tc>
          <w:tcPr>
            <w:tcW w:w="1298" w:type="dxa"/>
            <w:vAlign w:val="center"/>
          </w:tcPr>
          <w:p w14:paraId="2D3F876B" w14:textId="77777777" w:rsidR="003767FE" w:rsidRDefault="00000000">
            <w:pPr>
              <w:spacing w:line="288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地点</w:t>
            </w:r>
          </w:p>
        </w:tc>
        <w:tc>
          <w:tcPr>
            <w:tcW w:w="6998" w:type="dxa"/>
            <w:vAlign w:val="center"/>
          </w:tcPr>
          <w:p w14:paraId="793AE458" w14:textId="77777777" w:rsidR="003767FE" w:rsidRDefault="00000000">
            <w:pPr>
              <w:spacing w:line="288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广东省鹤山市世运电路公司</w:t>
            </w:r>
          </w:p>
        </w:tc>
      </w:tr>
      <w:tr w:rsidR="003767FE" w14:paraId="28CF9F69" w14:textId="77777777">
        <w:trPr>
          <w:trHeight w:val="349"/>
        </w:trPr>
        <w:tc>
          <w:tcPr>
            <w:tcW w:w="1298" w:type="dxa"/>
            <w:vAlign w:val="center"/>
          </w:tcPr>
          <w:p w14:paraId="1A7352BD" w14:textId="77777777" w:rsidR="003767FE" w:rsidRDefault="00000000">
            <w:pPr>
              <w:spacing w:line="288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形式</w:t>
            </w:r>
          </w:p>
        </w:tc>
        <w:tc>
          <w:tcPr>
            <w:tcW w:w="6998" w:type="dxa"/>
            <w:vAlign w:val="center"/>
          </w:tcPr>
          <w:p w14:paraId="5539E33E" w14:textId="77777777" w:rsidR="003767FE" w:rsidRDefault="00000000">
            <w:pPr>
              <w:spacing w:line="288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现场会议</w:t>
            </w:r>
          </w:p>
        </w:tc>
      </w:tr>
      <w:tr w:rsidR="003767FE" w14:paraId="176F3321" w14:textId="77777777">
        <w:trPr>
          <w:trHeight w:val="1220"/>
        </w:trPr>
        <w:tc>
          <w:tcPr>
            <w:tcW w:w="1298" w:type="dxa"/>
            <w:vAlign w:val="center"/>
          </w:tcPr>
          <w:p w14:paraId="40234979" w14:textId="77777777" w:rsidR="003767FE" w:rsidRDefault="00000000">
            <w:pPr>
              <w:spacing w:line="288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上市公司接待人员姓名</w:t>
            </w:r>
          </w:p>
        </w:tc>
        <w:tc>
          <w:tcPr>
            <w:tcW w:w="6998" w:type="dxa"/>
            <w:vAlign w:val="center"/>
          </w:tcPr>
          <w:p w14:paraId="24C687FE" w14:textId="77777777" w:rsidR="003767FE" w:rsidRDefault="00000000">
            <w:pPr>
              <w:spacing w:line="288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创始人、副董事长、总经理：佘英杰先生</w:t>
            </w:r>
          </w:p>
          <w:p w14:paraId="6F5BD75D" w14:textId="77777777" w:rsidR="003767FE" w:rsidRDefault="00000000">
            <w:pPr>
              <w:spacing w:line="288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董事会秘书：尹嘉亮先生</w:t>
            </w:r>
          </w:p>
          <w:p w14:paraId="3161FE8D" w14:textId="3904221C" w:rsidR="003767FE" w:rsidRDefault="00591A4F">
            <w:pPr>
              <w:spacing w:line="288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业务项目中心</w:t>
            </w:r>
            <w:r w:rsidR="00000000">
              <w:rPr>
                <w:rFonts w:ascii="宋体" w:eastAsia="宋体" w:hAnsi="宋体" w:hint="eastAsia"/>
                <w:szCs w:val="21"/>
              </w:rPr>
              <w:t>副总裁：刘艳女士</w:t>
            </w:r>
          </w:p>
        </w:tc>
      </w:tr>
      <w:tr w:rsidR="003767FE" w14:paraId="03297EB1" w14:textId="77777777">
        <w:tc>
          <w:tcPr>
            <w:tcW w:w="1298" w:type="dxa"/>
            <w:vAlign w:val="center"/>
          </w:tcPr>
          <w:p w14:paraId="20092C8B" w14:textId="77777777" w:rsidR="003767FE" w:rsidRDefault="00000000">
            <w:pPr>
              <w:spacing w:line="288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投资者关系活动主要内容介绍</w:t>
            </w:r>
          </w:p>
        </w:tc>
        <w:tc>
          <w:tcPr>
            <w:tcW w:w="6998" w:type="dxa"/>
          </w:tcPr>
          <w:p w14:paraId="1AFE82C7" w14:textId="77777777" w:rsidR="003767FE" w:rsidRDefault="0000000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（一）经营介绍</w:t>
            </w:r>
          </w:p>
          <w:p w14:paraId="30EBBB33" w14:textId="77777777" w:rsidR="003767FE" w:rsidRDefault="0000000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1、董事会秘书尹嘉亮先生对公司的成立与发展、规模、产品、业务布局、客户群体、公司产能、总体的经营业绩情况做了简单介绍。</w:t>
            </w:r>
          </w:p>
          <w:p w14:paraId="5E796220" w14:textId="6AF5184D" w:rsidR="003767FE" w:rsidRDefault="0000000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 w:rsidR="00591A4F">
              <w:rPr>
                <w:rFonts w:ascii="宋体" w:eastAsia="宋体" w:hAnsi="宋体" w:hint="eastAsia"/>
                <w:szCs w:val="21"/>
              </w:rPr>
              <w:t>业务项目</w:t>
            </w:r>
            <w:r w:rsidR="00591A4F" w:rsidRPr="00591A4F">
              <w:rPr>
                <w:rFonts w:ascii="宋体" w:eastAsia="宋体" w:hAnsi="宋体" w:hint="eastAsia"/>
                <w:szCs w:val="21"/>
              </w:rPr>
              <w:t>中心</w:t>
            </w:r>
            <w:r w:rsidRPr="00591A4F">
              <w:rPr>
                <w:rFonts w:ascii="宋体" w:eastAsia="宋体" w:hAnsi="宋体" w:hint="eastAsia"/>
                <w:szCs w:val="21"/>
              </w:rPr>
              <w:t>副总裁刘艳</w:t>
            </w:r>
            <w:r>
              <w:rPr>
                <w:rFonts w:ascii="宋体" w:eastAsia="宋体" w:hAnsi="宋体" w:hint="eastAsia"/>
                <w:szCs w:val="21"/>
              </w:rPr>
              <w:t>女士介绍了市场拓展情况。</w:t>
            </w:r>
          </w:p>
          <w:p w14:paraId="7AC9C613" w14:textId="77777777" w:rsidR="003767FE" w:rsidRDefault="0000000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（二）互动交流</w:t>
            </w:r>
          </w:p>
          <w:p w14:paraId="29C0D019" w14:textId="77777777" w:rsidR="003767FE" w:rsidRDefault="00000000">
            <w:pPr>
              <w:spacing w:line="360" w:lineRule="auto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Q1：在汽车领域的高端化应用中，若PCB板向高端方向发展，后续是由算力领域表现好的公司还是汽车领域深耕的公司来引领？</w:t>
            </w:r>
          </w:p>
          <w:p w14:paraId="64FC1909" w14:textId="77777777" w:rsidR="003767FE" w:rsidRDefault="0000000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A1：</w:t>
            </w:r>
            <w:r>
              <w:rPr>
                <w:rFonts w:ascii="宋体" w:eastAsia="宋体" w:hAnsi="宋体" w:cs="宋体" w:hint="eastAsia"/>
                <w:szCs w:val="21"/>
              </w:rPr>
              <w:t>数据累积对于PCB高端化发展至关重要，我们在汽车板长期生产过程中积累了大量基础数据。从客户需求来看，其更倾向于在汽车板供应链内PCB供应商，依托芯片创新带动产业链技术升级。一方面是因为车载板有成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熟的体系，该体系能保障产品创新所需的质量稳定性，且经过多年汽车工业沉淀的体系能力，远超单一工艺的作用。目前的趋势是，客户会倾向于在汽车供应链中选择创新能力跟得上的企业，共同实现产品迭代。</w:t>
            </w:r>
          </w:p>
          <w:p w14:paraId="365952D3" w14:textId="77777777" w:rsidR="003767FE" w:rsidRDefault="00000000">
            <w:pPr>
              <w:spacing w:beforeLines="50" w:before="156"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Q2：请介绍公司与T公司合作的业务以及未来合作的发展展望？</w:t>
            </w:r>
          </w:p>
          <w:p w14:paraId="1BCB395A" w14:textId="77777777" w:rsidR="003767FE" w:rsidRDefault="00000000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A2：</w:t>
            </w:r>
            <w:r>
              <w:rPr>
                <w:rFonts w:ascii="宋体" w:eastAsia="宋体" w:hAnsi="宋体" w:cs="宋体" w:hint="eastAsia"/>
                <w:szCs w:val="21"/>
              </w:rPr>
              <w:t>新能源车业务方面，2025年T客户因应市场需求变化，汽车车型迭代计划加快，预计会带动销量增长，同时汽车智能化提升下单车价值量会增加，公司和T客户合作已有十多年，双方在新产品、新技术紧密合作，未来随着T客户新产品陆续投放，公司在新产品的供应会有一定的优先权。销量增长、单车价值量提升和份额提升会共同驱动公司在T客户汽车业务增长。储能业务方面，随着上海储能工厂在2025年的投产，T客户储能业务保持快速增长态势，带动公司储能业务增长；人形机器人业务方面，T客户在持续迭代推进产品，公司持续配合客户开发，后续随着人形机器人量产预计公司将同步实现增长；Dojo业务方面，T客户产品由Dojo1向Dojo2迭代，未来在专业处理场景中对Dojo2产品的需求量大，后续随着Dojo2放量也会为公司贡献更多业绩。T客户作为公司重要客户，其在新能源汽车、自动驾驶、储能、人形机器人等领域发展全球领先。当前虽然国际局势复杂，但是上述行业在全球的发展和需求的确定性还是比较高的，预计长期来看，公司订单仍会保持增长。未来T客户新产品持续推出，无人驾驶开始试运行，人形机器人即将进行批量化的部署。Dojo算力服务器开始扩大布局，这些领域对公司PCB的需求都会持续增长。</w:t>
            </w:r>
          </w:p>
          <w:p w14:paraId="5E63FD39" w14:textId="77777777" w:rsidR="003767FE" w:rsidRDefault="00000000">
            <w:pPr>
              <w:spacing w:beforeLines="50" w:before="156"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Q3：算力服务器相关的业务情况？</w:t>
            </w:r>
          </w:p>
          <w:p w14:paraId="3CF65125" w14:textId="745454AD" w:rsidR="003767FE" w:rsidRDefault="00000000">
            <w:pPr>
              <w:pStyle w:val="ab"/>
              <w:widowControl/>
              <w:spacing w:beforeAutospacing="0" w:afterAutospacing="0" w:line="360" w:lineRule="auto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</w:rPr>
              <w:t>A3：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算力作为公司近年重点发展的板块，已积累了较为丰富的客户群，除了T客户的Dojo和FSD产品，还包括N客户、欧洲算力中心的部分核心客户。当前，公司已经通过直接或者间接的方式，进入到该批核心客户的供应链体系内，已经实现量产供应。同时，公司也在积极布局国内算力客户，包括AIPC、服务器、交换机等，预计将助力公司算力业务的进一步发展。</w:t>
            </w:r>
          </w:p>
          <w:p w14:paraId="5093BF53" w14:textId="77777777" w:rsidR="003767FE" w:rsidRDefault="00000000">
            <w:pPr>
              <w:spacing w:beforeLines="50" w:before="156"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Q4：泰国工厂目前的具体情况？</w:t>
            </w:r>
          </w:p>
          <w:p w14:paraId="4F1FA68C" w14:textId="77777777" w:rsidR="003767FE" w:rsidRDefault="00000000">
            <w:pPr>
              <w:spacing w:line="360" w:lineRule="auto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lastRenderedPageBreak/>
              <w:t>A4：</w:t>
            </w:r>
            <w:r>
              <w:rPr>
                <w:rFonts w:ascii="宋体" w:eastAsia="宋体" w:hAnsi="宋体" w:cs="宋体" w:hint="eastAsia"/>
                <w:szCs w:val="21"/>
              </w:rPr>
              <w:t>泰国工厂一期的产能规划约100万平方米/年，主要包括高多层和中高阶的HDI产品。今年6月，公司泰国工厂一期厂房已经封顶，公司后续会依据客户的沟通情况合理安排产能规划。</w:t>
            </w:r>
          </w:p>
          <w:p w14:paraId="0C452912" w14:textId="77777777" w:rsidR="003767FE" w:rsidRDefault="00000000">
            <w:pPr>
              <w:spacing w:beforeLines="50" w:before="156"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Q5：外部环境对公司运营有什么影响？比如美国对等关税对公司的海外业务有何影响？公司如何应对？</w:t>
            </w:r>
          </w:p>
          <w:p w14:paraId="544553B5" w14:textId="329701B0" w:rsidR="003767FE" w:rsidRDefault="00000000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A5：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一直以来公司对美直接出口PCB产品的份额极低，根据和客户签订的贸易条款，进口关税由客户承担，预期美国政府此轮对等关税政策对我司后续直接影响有限。此外，PCB在终端销售产品中的成本占比较低，对关税敏感度不明显，预计后续关税会由消费者、品牌终端客户和供应链企业共同承担。鉴于目前加征关税事项，公司将密切关注相关事态发展，并与客户和行业协会保持沟通。同时，公司将继续以新能源汽车和AI+应用作为国内市场持续拓展着力点，技术同源发展其他新质生产力科技产业，努力抓住国内市场的发展机遇，走国内市场、海外市场双轮驱动的市场路线。</w:t>
            </w:r>
          </w:p>
          <w:p w14:paraId="02A91B21" w14:textId="77777777" w:rsidR="003767FE" w:rsidRDefault="00000000">
            <w:pPr>
              <w:spacing w:beforeLines="50" w:before="156"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Q6：公司未来的收入、盈利增长点有哪些？</w:t>
            </w:r>
          </w:p>
          <w:p w14:paraId="2C826255" w14:textId="1FA7C16A" w:rsidR="003767FE" w:rsidRDefault="00000000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A6：</w:t>
            </w:r>
            <w:r>
              <w:rPr>
                <w:rFonts w:ascii="宋体" w:eastAsia="宋体" w:hAnsi="宋体" w:cs="宋体" w:hint="eastAsia"/>
                <w:szCs w:val="21"/>
              </w:rPr>
              <w:t>目前国内产业升级不断推动AI+应用、智能驾驶、人形机器人、低空经济等产业发展，为PCB行业和公司带来较大机会。公司产品能力领先，客户资源丰富，对未来盈利增长有信心。同时公司也会积极通过多种方式，实现公司的产业链整合和产业扩张，推动公司盈利可持续增长。</w:t>
            </w:r>
          </w:p>
          <w:p w14:paraId="21032A34" w14:textId="77777777" w:rsidR="003767FE" w:rsidRDefault="00000000">
            <w:pPr>
              <w:spacing w:beforeLines="50" w:before="156"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Q7：公司在AI等新兴领域的发展战略？</w:t>
            </w:r>
          </w:p>
          <w:p w14:paraId="1176D6C6" w14:textId="77777777" w:rsidR="003767FE" w:rsidRDefault="00000000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A7：</w:t>
            </w:r>
            <w:r>
              <w:rPr>
                <w:rFonts w:ascii="宋体" w:eastAsia="宋体" w:hAnsi="宋体" w:cs="宋体" w:hint="eastAsia"/>
                <w:szCs w:val="21"/>
              </w:rPr>
              <w:t>人工智能是未来长期发展的趋势，服务器、人形机器人、AI眼镜、飞行汽车都属于人工智能端的应用，未来公司战略方向是围绕人工智能+应用来做相关产品的布局。从产品贡献来看，人形机器人和算力相关的产品对公司未来的业绩贡献相对更大，但是公司也会根据产业爆发的优先级来安排在产品资源上的投入。</w:t>
            </w:r>
          </w:p>
          <w:p w14:paraId="171A2128" w14:textId="77777777" w:rsidR="003767FE" w:rsidRDefault="00000000">
            <w:pPr>
              <w:spacing w:beforeLines="50" w:before="156"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Q8：公司后续对于不同客户和领域的投入和部署？</w:t>
            </w:r>
          </w:p>
          <w:p w14:paraId="6076A9FC" w14:textId="77777777" w:rsidR="003767FE" w:rsidRDefault="00000000">
            <w:pPr>
              <w:pStyle w:val="ab"/>
              <w:widowControl/>
              <w:spacing w:beforeAutospacing="0" w:afterAutospacing="0" w:line="36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</w:rPr>
              <w:lastRenderedPageBreak/>
              <w:t>A8：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目前公司汽车应用领域收入约占总收入一半，作为下游贡献度最高的板块，体现了公司在电动车领域技术和产品的优势，公司将持续深入发展、保持优势。同时，公司致力于该领域的国内市场、国外市场共同发展，不会依赖单一客户。目前，除了T客户，公司拥有大量汽车客户储备。对于电动车，车企选择技术路径后，会将同一技术路径上的企业加入供应链，提升产品响应速度，减少犯错概率。公司在国内开拓的造车新势力企业，其技术路径与公司发展的海外客户有共通性。基于此，国内车企也会选择公司的产品。未来汽车电动化、智能化产品会是公司首要发展的板块，同时也会加大人工智能+应用的布局。在人形机器人领域，公司进入时间较早，客户储备也很丰富，客户产品也有望率先放量，人形机器人后续也是公司战略发展的重点之一。在算力领域，T客户的产品未来也会放量，一部分算力客户技术路径选择会与T客户相同，公司能够凭借丰富的研发、生产经验服务新客户。长期来看，公司产品结构会逐步从四层、六层，八层向更高层去发展，同时提升HDI产品比例，应用领域上，公司汽车、机器人、算力相关PCB产品会持续向不同客户去移植和复制。</w:t>
            </w:r>
          </w:p>
          <w:p w14:paraId="43641A10" w14:textId="77777777" w:rsidR="003767FE" w:rsidRDefault="00000000">
            <w:pPr>
              <w:spacing w:beforeLines="50" w:before="156"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Q9：国资入主后对公司的影响？</w:t>
            </w:r>
          </w:p>
          <w:p w14:paraId="7248B8C4" w14:textId="77777777" w:rsidR="003767FE" w:rsidRDefault="00000000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A9：</w:t>
            </w:r>
            <w:r>
              <w:rPr>
                <w:rFonts w:ascii="宋体" w:eastAsia="宋体" w:hAnsi="宋体" w:cs="宋体" w:hint="eastAsia"/>
                <w:szCs w:val="21"/>
              </w:rPr>
              <w:t>顺控集团的经营方式是市场化的投资，入主世运电路是“加入”而不是“接管”，不干涉原经营团队的正常经营，“加入”世运电路的主要目的是互利共赢，为世运电路带来更多的赋能。关于顺控集团的赋能，一方面是充足的资金支持，优化公司股东结构，增强公司的金融信用和资金实力，加快公司的产业布局，提高公司抗风险能力，与股东优势资源协同发展，提升公司综合盈利能力；另一方面是国内市场开拓支持，依托顺控集团在顺德地区的深耕，支持公司优化客户结构，在新能源汽车、智能家电产业和机器人制造等优势产业实现良好协同发展，为公司开拓新的市场增长空间。大股东入主后制定一系列国内客户拓展的规划，目前已依靠在电子信息产业的资源禀赋，协助公司对接新能源车企和互联网头部客户等，后续也会结合自身资源禀赋赋能上市公司。顺德当地拥有高端制造业产业集群，与PCB业务密切关联，控股股东会依靠在顺德乃至佛山的产业链优势，为公司导入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高端制造、人形机器人等新兴产业客户。</w:t>
            </w:r>
          </w:p>
          <w:p w14:paraId="6AE5390D" w14:textId="77777777" w:rsidR="003767FE" w:rsidRDefault="00000000">
            <w:pPr>
              <w:spacing w:beforeLines="50" w:before="156"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Q10：公司目前产能如何？</w:t>
            </w:r>
          </w:p>
          <w:p w14:paraId="76CA9FAE" w14:textId="77777777" w:rsidR="003767FE" w:rsidRDefault="00000000">
            <w:pPr>
              <w:spacing w:line="360" w:lineRule="auto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A10：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目前PCB行业景气度持续，公司订单饱满，生产运营正常。公司目前年产能已经超过500万平方米，中短期的产能增长主要来源于定增募投项目以及泰国项目。</w:t>
            </w:r>
          </w:p>
          <w:p w14:paraId="565CCF12" w14:textId="77777777" w:rsidR="003767FE" w:rsidRDefault="00000000">
            <w:pPr>
              <w:spacing w:beforeLines="50" w:before="156"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Q11：公司未来业务转内销的机会如何？前景如何看待？</w:t>
            </w:r>
          </w:p>
          <w:p w14:paraId="4180BEEE" w14:textId="77777777" w:rsidR="003767FE" w:rsidRDefault="0000000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A11：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公司未来业务转内销的前景广阔，一是国资支持，公司控股股东会结合自身资源禀赋赋能上市公司，顺德当地拥有高端制造业产业集群，与PCB业务密切关联，控股股东会依靠在顺德和佛山的产业链优势，为公司导入高端制造、人形机器人等新兴产业客户，培育内需增长极。二是近年来公司在国内新能源车市场业务进展迅速，凭借在新能源车多年积累的优势，实现了客户和产品导入，很多国内客户在智驾和人形机器人PCB方案会选择公司产品。目前国内客户业务实现了较高增长，公司与小鹏汽车、吉利极氪、广汽集团等新能源车企的合作进一步加深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3767FE" w14:paraId="744B9EAD" w14:textId="77777777">
        <w:trPr>
          <w:trHeight w:val="1569"/>
        </w:trPr>
        <w:tc>
          <w:tcPr>
            <w:tcW w:w="1298" w:type="dxa"/>
            <w:vAlign w:val="center"/>
          </w:tcPr>
          <w:p w14:paraId="69EDF1B0" w14:textId="77777777" w:rsidR="003767FE" w:rsidRDefault="00000000">
            <w:pPr>
              <w:spacing w:beforeLines="50" w:before="156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关于本次活动是否涉及应披露重大信息的说明</w:t>
            </w:r>
          </w:p>
        </w:tc>
        <w:tc>
          <w:tcPr>
            <w:tcW w:w="6998" w:type="dxa"/>
            <w:vAlign w:val="center"/>
          </w:tcPr>
          <w:p w14:paraId="685DDF47" w14:textId="77777777" w:rsidR="003767FE" w:rsidRDefault="00000000">
            <w:pPr>
              <w:spacing w:beforeLines="50" w:before="156"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接待交流过程中，公司接待人员严格按照有关制度要求，没有出现未公开重大信息泄露等情况。</w:t>
            </w:r>
          </w:p>
        </w:tc>
      </w:tr>
      <w:tr w:rsidR="003767FE" w14:paraId="1E020D60" w14:textId="77777777">
        <w:trPr>
          <w:trHeight w:val="1890"/>
        </w:trPr>
        <w:tc>
          <w:tcPr>
            <w:tcW w:w="1298" w:type="dxa"/>
            <w:vAlign w:val="center"/>
          </w:tcPr>
          <w:p w14:paraId="141344AB" w14:textId="77777777" w:rsidR="003767FE" w:rsidRDefault="00000000">
            <w:pPr>
              <w:spacing w:beforeLines="50" w:before="156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活动过程中所使用的演示文稿、提供文档等附件（如有）</w:t>
            </w:r>
          </w:p>
        </w:tc>
        <w:tc>
          <w:tcPr>
            <w:tcW w:w="6998" w:type="dxa"/>
            <w:vAlign w:val="center"/>
          </w:tcPr>
          <w:p w14:paraId="423E044D" w14:textId="77777777" w:rsidR="003767FE" w:rsidRDefault="003767FE">
            <w:pPr>
              <w:spacing w:line="288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037CFF1" w14:textId="77777777" w:rsidR="003767FE" w:rsidRPr="00591A4F" w:rsidRDefault="00000000">
            <w:pPr>
              <w:rPr>
                <w:rFonts w:ascii="宋体" w:eastAsia="宋体" w:hAnsi="宋体" w:hint="eastAsia"/>
                <w:szCs w:val="21"/>
              </w:rPr>
            </w:pPr>
            <w:r w:rsidRPr="00591A4F">
              <w:rPr>
                <w:rFonts w:ascii="宋体" w:eastAsia="宋体" w:hAnsi="宋体" w:hint="eastAsia"/>
                <w:szCs w:val="21"/>
              </w:rPr>
              <w:t>不适用</w:t>
            </w:r>
          </w:p>
          <w:p w14:paraId="583145D0" w14:textId="77777777" w:rsidR="003767FE" w:rsidRDefault="003767F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55020AA" w14:textId="77777777" w:rsidR="003767FE" w:rsidRDefault="003767F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6BFC74BE" w14:textId="77777777" w:rsidR="003767FE" w:rsidRDefault="003767FE">
      <w:pPr>
        <w:spacing w:line="288" w:lineRule="auto"/>
        <w:rPr>
          <w:rFonts w:ascii="宋体" w:eastAsia="宋体" w:hAnsi="宋体" w:hint="eastAsia"/>
          <w:sz w:val="24"/>
          <w:szCs w:val="24"/>
        </w:rPr>
      </w:pPr>
    </w:p>
    <w:sectPr w:rsidR="003767F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24F45" w14:textId="77777777" w:rsidR="00B845A0" w:rsidRDefault="00B845A0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5FD04E1" w14:textId="77777777" w:rsidR="00B845A0" w:rsidRDefault="00B845A0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"/>
    </w:sdtPr>
    <w:sdtEndPr>
      <w:rPr>
        <w:rFonts w:ascii="Times New Roman" w:hAnsi="Times New Roman" w:cs="Times New Roman"/>
        <w:sz w:val="13"/>
        <w:szCs w:val="13"/>
      </w:rPr>
    </w:sdtEndPr>
    <w:sdtContent>
      <w:p w14:paraId="150D5B59" w14:textId="77777777" w:rsidR="003767FE" w:rsidRDefault="00000000">
        <w:pPr>
          <w:pStyle w:val="a7"/>
          <w:jc w:val="center"/>
          <w:rPr>
            <w:rFonts w:ascii="Times New Roman" w:hAnsi="Times New Roman" w:cs="Times New Roman"/>
            <w:sz w:val="13"/>
            <w:szCs w:val="13"/>
          </w:rPr>
        </w:pPr>
        <w:r>
          <w:rPr>
            <w:rFonts w:ascii="Times New Roman" w:hAnsi="Times New Roman" w:cs="Times New Roman"/>
            <w:sz w:val="13"/>
            <w:szCs w:val="13"/>
          </w:rPr>
          <w:fldChar w:fldCharType="begin"/>
        </w:r>
        <w:r>
          <w:rPr>
            <w:rFonts w:ascii="Times New Roman" w:hAnsi="Times New Roman" w:cs="Times New Roman" w:hint="eastAsia"/>
            <w:sz w:val="13"/>
            <w:szCs w:val="13"/>
          </w:rPr>
          <w:instrText>PAGE   \* MERGEFORMAT</w:instrText>
        </w:r>
        <w:r>
          <w:rPr>
            <w:rFonts w:ascii="Times New Roman" w:hAnsi="Times New Roman" w:cs="Times New Roman"/>
            <w:sz w:val="13"/>
            <w:szCs w:val="13"/>
          </w:rPr>
          <w:fldChar w:fldCharType="separate"/>
        </w:r>
        <w:r>
          <w:rPr>
            <w:rFonts w:ascii="Times New Roman" w:hAnsi="Times New Roman" w:cs="Times New Roman" w:hint="eastAsia"/>
            <w:sz w:val="13"/>
            <w:szCs w:val="13"/>
            <w:lang w:val="zh-CN"/>
          </w:rPr>
          <w:t>2</w:t>
        </w:r>
        <w:r>
          <w:rPr>
            <w:rFonts w:ascii="Times New Roman" w:hAnsi="Times New Roman" w:cs="Times New Roman"/>
            <w:sz w:val="13"/>
            <w:szCs w:val="13"/>
          </w:rPr>
          <w:fldChar w:fldCharType="end"/>
        </w:r>
      </w:p>
    </w:sdtContent>
  </w:sdt>
  <w:p w14:paraId="3C762612" w14:textId="77777777" w:rsidR="003767FE" w:rsidRDefault="003767FE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D8499" w14:textId="77777777" w:rsidR="00B845A0" w:rsidRDefault="00B845A0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3AEF7EF7" w14:textId="77777777" w:rsidR="00B845A0" w:rsidRDefault="00B845A0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BB1E" w14:textId="77777777" w:rsidR="003767FE" w:rsidRDefault="00000000">
    <w:pPr>
      <w:pStyle w:val="a9"/>
      <w:jc w:val="right"/>
      <w:rPr>
        <w:rFonts w:ascii="宋体" w:eastAsia="宋体" w:hAnsi="宋体"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-149225</wp:posOffset>
          </wp:positionV>
          <wp:extent cx="714375" cy="287655"/>
          <wp:effectExtent l="0" t="0" r="0" b="0"/>
          <wp:wrapNone/>
          <wp:docPr id="33810360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103605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534" cy="292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eastAsia="宋体" w:hAnsi="宋体" w:hint="eastAsia"/>
      </w:rPr>
      <w:t>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63"/>
    <w:rsid w:val="000320FC"/>
    <w:rsid w:val="000673B5"/>
    <w:rsid w:val="000A532D"/>
    <w:rsid w:val="001F1A75"/>
    <w:rsid w:val="002442C4"/>
    <w:rsid w:val="003767FE"/>
    <w:rsid w:val="00391D63"/>
    <w:rsid w:val="00432693"/>
    <w:rsid w:val="00491DA5"/>
    <w:rsid w:val="00515E65"/>
    <w:rsid w:val="00523271"/>
    <w:rsid w:val="0055153B"/>
    <w:rsid w:val="00555648"/>
    <w:rsid w:val="00591A4F"/>
    <w:rsid w:val="005A6597"/>
    <w:rsid w:val="005F5519"/>
    <w:rsid w:val="005F742C"/>
    <w:rsid w:val="006E4863"/>
    <w:rsid w:val="00765A8B"/>
    <w:rsid w:val="008444BB"/>
    <w:rsid w:val="00875C31"/>
    <w:rsid w:val="009A1970"/>
    <w:rsid w:val="00A74788"/>
    <w:rsid w:val="00B845A0"/>
    <w:rsid w:val="00C206EF"/>
    <w:rsid w:val="00CA466E"/>
    <w:rsid w:val="00CA617D"/>
    <w:rsid w:val="00CE1E58"/>
    <w:rsid w:val="00D774ED"/>
    <w:rsid w:val="00DA0FDB"/>
    <w:rsid w:val="00DA5BD1"/>
    <w:rsid w:val="00E23192"/>
    <w:rsid w:val="00E37113"/>
    <w:rsid w:val="00F40E4C"/>
    <w:rsid w:val="00F968B1"/>
    <w:rsid w:val="00FA592C"/>
    <w:rsid w:val="4A202B33"/>
    <w:rsid w:val="7FA37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B5590"/>
  <w15:docId w15:val="{0158004F-CF5C-4CBE-A8D7-681A62DC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pPr>
      <w:spacing w:after="160" w:line="278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Revision"/>
    <w:hidden/>
    <w:uiPriority w:val="99"/>
    <w:unhideWhenUsed/>
    <w:rsid w:val="00591A4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BC4A-8A4F-45E9-B6DF-6A258560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1757</Words>
  <Characters>1810</Characters>
  <Application>Microsoft Office Word</Application>
  <DocSecurity>0</DocSecurity>
  <Lines>78</Lines>
  <Paragraphs>51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jht jht</cp:lastModifiedBy>
  <cp:revision>8</cp:revision>
  <dcterms:created xsi:type="dcterms:W3CDTF">2025-08-02T11:26:00Z</dcterms:created>
  <dcterms:modified xsi:type="dcterms:W3CDTF">2025-08-04T01:29:00Z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CF4F3BD0D33D4A4FC9A68D68CE2F750F_43</vt:lpwstr>
  </property>
  <property fmtid="{D5CDD505-2E9C-101B-9397-08002B2CF9AE}" pid="4" name="KSOTemplateDocerSaveRecord">
    <vt:lpwstr>eyJoZGlkIjoiMTljM2MxODAxMjU2Y2NiY2NlMTllNDgzYjRiMzFmNDYiLCJ1c2VySWQiOiI2NzYwNzYyNDYifQ==</vt:lpwstr>
  </property>
</Properties>
</file>