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664C">
      <w:pPr>
        <w:spacing w:after="100" w:afterAutospacing="1"/>
        <w:rPr>
          <w:b/>
          <w:sz w:val="40"/>
          <w:szCs w:val="36"/>
        </w:rPr>
      </w:pPr>
      <w:r>
        <w:rPr>
          <w:rFonts w:hint="eastAsia"/>
          <w:b/>
          <w:sz w:val="24"/>
          <w:szCs w:val="36"/>
        </w:rPr>
        <w:t>证券简称：今世缘</w:t>
      </w:r>
      <w:r>
        <w:rPr>
          <w:rFonts w:hint="eastAsia"/>
          <w:b/>
          <w:sz w:val="24"/>
          <w:szCs w:val="36"/>
        </w:rPr>
        <w:t xml:space="preserve"> </w:t>
      </w:r>
      <w:r>
        <w:rPr>
          <w:b/>
          <w:sz w:val="24"/>
          <w:szCs w:val="36"/>
        </w:rPr>
        <w:t xml:space="preserve">                                                                                                   </w:t>
      </w:r>
      <w:r>
        <w:rPr>
          <w:rFonts w:hint="eastAsia"/>
          <w:b/>
          <w:sz w:val="24"/>
          <w:szCs w:val="36"/>
        </w:rPr>
        <w:t>证券代码：</w:t>
      </w:r>
      <w:r>
        <w:rPr>
          <w:rFonts w:hint="eastAsia"/>
          <w:b/>
          <w:sz w:val="24"/>
          <w:szCs w:val="36"/>
        </w:rPr>
        <w:t>603369</w:t>
      </w:r>
    </w:p>
    <w:p w:rsidR="00000000" w:rsidRDefault="00A1664C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江苏今世缘酒业股份有限公司</w:t>
      </w:r>
    </w:p>
    <w:p w:rsidR="00000000" w:rsidRDefault="00A1664C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投资者来访接待记录表</w:t>
      </w:r>
    </w:p>
    <w:tbl>
      <w:tblPr>
        <w:tblStyle w:val="a9"/>
        <w:tblW w:w="0" w:type="auto"/>
        <w:tblInd w:w="0" w:type="dxa"/>
        <w:tblLook w:val="0000" w:firstRow="0" w:lastRow="0" w:firstColumn="0" w:lastColumn="0" w:noHBand="0" w:noVBand="0"/>
      </w:tblPr>
      <w:tblGrid>
        <w:gridCol w:w="1392"/>
        <w:gridCol w:w="3417"/>
        <w:gridCol w:w="1140"/>
        <w:gridCol w:w="3395"/>
      </w:tblGrid>
      <w:tr w:rsidR="00000000">
        <w:trPr>
          <w:trHeight w:val="90"/>
        </w:trPr>
        <w:tc>
          <w:tcPr>
            <w:tcW w:w="1392" w:type="dxa"/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来访单位</w:t>
            </w:r>
          </w:p>
        </w:tc>
        <w:tc>
          <w:tcPr>
            <w:tcW w:w="7952" w:type="dxa"/>
            <w:gridSpan w:val="3"/>
            <w:vAlign w:val="center"/>
          </w:tcPr>
          <w:p w:rsidR="00000000" w:rsidRDefault="00A1664C" w:rsidP="00EF45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广发证券、易方达基金、博时基金、鹏华基金、平安基金、招商基金、广</w:t>
            </w:r>
            <w:proofErr w:type="gramStart"/>
            <w:r>
              <w:rPr>
                <w:rFonts w:hint="eastAsia"/>
                <w:sz w:val="28"/>
                <w:szCs w:val="28"/>
              </w:rPr>
              <w:t>发资管</w:t>
            </w:r>
            <w:proofErr w:type="gramEnd"/>
            <w:r>
              <w:rPr>
                <w:rFonts w:hint="eastAsia"/>
                <w:sz w:val="28"/>
                <w:szCs w:val="28"/>
              </w:rPr>
              <w:t>、诺安基金、摩根士丹利基金、安信基金、</w:t>
            </w:r>
            <w:proofErr w:type="gramStart"/>
            <w:r>
              <w:rPr>
                <w:rFonts w:hint="eastAsia"/>
                <w:sz w:val="28"/>
                <w:szCs w:val="28"/>
              </w:rPr>
              <w:t>创金合</w:t>
            </w:r>
            <w:proofErr w:type="gramEnd"/>
            <w:r>
              <w:rPr>
                <w:rFonts w:hint="eastAsia"/>
                <w:sz w:val="28"/>
                <w:szCs w:val="28"/>
              </w:rPr>
              <w:t>信基金、</w:t>
            </w:r>
            <w:proofErr w:type="gramStart"/>
            <w:r>
              <w:rPr>
                <w:rFonts w:hint="eastAsia"/>
                <w:sz w:val="28"/>
                <w:szCs w:val="28"/>
              </w:rPr>
              <w:t>信达澳亚基</w:t>
            </w:r>
            <w:proofErr w:type="gramEnd"/>
            <w:r>
              <w:rPr>
                <w:rFonts w:hint="eastAsia"/>
                <w:sz w:val="28"/>
                <w:szCs w:val="28"/>
              </w:rPr>
              <w:t>金、前海联合基金、宝盈基金、华西基金、世纪证券、海南宽行私募基金、晨曦资本、</w:t>
            </w: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</w:rPr>
              <w:t xml:space="preserve">INT72 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AG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North Rock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Polymer</w:t>
            </w:r>
            <w:r>
              <w:rPr>
                <w:rFonts w:hint="eastAsia"/>
                <w:sz w:val="28"/>
                <w:szCs w:val="28"/>
              </w:rPr>
              <w:t>、天风证券等</w:t>
            </w:r>
            <w:r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家机构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000000">
        <w:tc>
          <w:tcPr>
            <w:tcW w:w="1392" w:type="dxa"/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投资者类型</w:t>
            </w:r>
          </w:p>
        </w:tc>
        <w:tc>
          <w:tcPr>
            <w:tcW w:w="7952" w:type="dxa"/>
            <w:gridSpan w:val="3"/>
            <w:vAlign w:val="center"/>
          </w:tcPr>
          <w:p w:rsidR="00000000" w:rsidRDefault="00A1664C">
            <w:pPr>
              <w:ind w:firstLineChars="200" w:firstLine="5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sz w:val="28"/>
                <w:szCs w:val="28"/>
              </w:rPr>
              <w:t>机构投资者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sz w:val="28"/>
                <w:szCs w:val="28"/>
              </w:rPr>
              <w:t>证券公司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□媒体</w:t>
            </w:r>
          </w:p>
          <w:p w:rsidR="00000000" w:rsidRDefault="00A1664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□个人投资者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□其他</w:t>
            </w:r>
          </w:p>
        </w:tc>
      </w:tr>
      <w:tr w:rsidR="00000000">
        <w:tc>
          <w:tcPr>
            <w:tcW w:w="1392" w:type="dxa"/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会议形式</w:t>
            </w:r>
          </w:p>
        </w:tc>
        <w:tc>
          <w:tcPr>
            <w:tcW w:w="7952" w:type="dxa"/>
            <w:gridSpan w:val="3"/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路演、现场接待</w:t>
            </w:r>
          </w:p>
        </w:tc>
      </w:tr>
      <w:tr w:rsidR="00000000">
        <w:trPr>
          <w:trHeight w:val="320"/>
        </w:trPr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417" w:type="dxa"/>
            <w:tcBorders>
              <w:left w:val="single" w:sz="4" w:space="0" w:color="auto"/>
            </w:tcBorders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140" w:type="dxa"/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395" w:type="dxa"/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广东深圳、公司会议室</w:t>
            </w:r>
          </w:p>
        </w:tc>
      </w:tr>
      <w:tr w:rsidR="00000000">
        <w:trPr>
          <w:trHeight w:val="1091"/>
        </w:trPr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00000" w:rsidRDefault="00A166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上市公司出席人员</w:t>
            </w:r>
          </w:p>
        </w:tc>
        <w:tc>
          <w:tcPr>
            <w:tcW w:w="7952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A166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董事、副总经理、总会计师、董事会秘书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王卫东</w:t>
            </w:r>
          </w:p>
          <w:p w:rsidR="00000000" w:rsidRDefault="00A166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证券部副经理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徐青</w:t>
            </w:r>
          </w:p>
        </w:tc>
      </w:tr>
      <w:tr w:rsidR="00000000">
        <w:trPr>
          <w:trHeight w:val="1354"/>
        </w:trPr>
        <w:tc>
          <w:tcPr>
            <w:tcW w:w="9344" w:type="dxa"/>
            <w:gridSpan w:val="4"/>
            <w:vAlign w:val="center"/>
          </w:tcPr>
          <w:p w:rsidR="00000000" w:rsidRDefault="00A1664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投资者关系活动主要内容介绍：</w:t>
            </w:r>
          </w:p>
          <w:p w:rsidR="00000000" w:rsidRDefault="00A1664C">
            <w:pPr>
              <w:rPr>
                <w:rFonts w:ascii="宋体" w:hAnsi="宋体"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：如何看待禁酒令？对比</w:t>
            </w:r>
            <w:bookmarkStart w:id="0" w:name="OLE_LINK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2012-2014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bookmarkEnd w:id="0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的禁酒令有何区别？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回复：现行政策的方向其实多年前已基本确立</w:t>
            </w:r>
            <w:r>
              <w:rPr>
                <w:rFonts w:ascii="宋体" w:hAnsi="宋体" w:hint="eastAsia"/>
                <w:sz w:val="24"/>
                <w:szCs w:val="24"/>
              </w:rPr>
              <w:t>。以前强调的重点是规范公务经费支出，而今年的重点是</w:t>
            </w:r>
            <w:r>
              <w:rPr>
                <w:rFonts w:ascii="宋体" w:hAnsi="宋体" w:hint="eastAsia"/>
                <w:sz w:val="24"/>
                <w:szCs w:val="24"/>
              </w:rPr>
              <w:t>规范</w:t>
            </w:r>
            <w:r>
              <w:rPr>
                <w:rFonts w:ascii="宋体" w:hAnsi="宋体" w:hint="eastAsia"/>
                <w:sz w:val="24"/>
                <w:szCs w:val="24"/>
              </w:rPr>
              <w:t>相关人员的行为。相信一段时间后，可能影响公正执行公务的请吃与吃请会基本绝迹，没有违规的民间吃喝消费会回归，相关行业将适应并形成新的常态。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：那如何应对当前政策环境？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公司将保持战略定力，坚定既定的战略方向，但会在市场策略上做适度调整。例如：对于省外市场，原计划待“四开”和“对开”发展成熟后再投放淡雅国缘，鉴于当前的市场压力，消费结构可能下行，考虑到该价格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带可能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成为消费主力之一，我们或将提前投放“淡雅”，以缓解压力。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措施包括：为应对竞争适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度加大促销力度，可能导致实际成交价略有下行；高端产品持续投入资源，培育消费者信任，同时适度调整价格，提升产品性价比。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：政策对公司不同价格带产品的影响？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回复：五月下旬以来，消费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环境有了较大变化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。高端产品扫码率降幅较大，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价格带越高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受影响越显著。具体而言：“四开”及以上产品（尤其是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系）受影响最大，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且环比持续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下降，但同比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影响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小于环比。“对开”、“单开”及“淡雅”系列受影响较小，甚至保持一定增长。据营销部门反馈，营收总体下降，但市场份额仍在提升。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：如何看待江苏省内市场的发展空间？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回复：公司在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江苏省内市场仍有广阔空间，具体表现在产品和区域维度上都存在发展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均衡性。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：省外市场受政策影响程度如何？未来在省外的规划、重点区域及战略重心是否会收缩？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回复：目前省外市场也受政策影响，但影响比省内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稍好一些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。省外战略聚焦于江苏周边核心市场（如安徽、山东、上海、浙江）。浙江无本土强势白酒品牌，公司将重点提升产品竞争力。上海、浙江市场民间消费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占比较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高，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系产品表现较好。公司将坚持深耕已聚焦的重点市场，不会轻言放弃。尽管省外市场目前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也面临压力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，但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市占率和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营收仍在提升。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：未来不同价格带之间，资源投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放的重心是什么？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回复：公司仍将坚定不移地投入高端市场，但也会根据自身产品结构的特点平衡好多个价格带的资源配置。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：如何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做价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格与销量间的权衡选择？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回复：长短兼顾，短期注重市场份额保持并争取有所提升，长期则维护价格体系的稳定和品牌形象的提升。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：如何展望后续资本性支出情况？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回复：今年下半年到明年整体还需要投入约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亿元，技改扩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能工程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全部完成后，成品酒产能将达到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万吨，扩产需求基本完成。后期原酒存货会逐步增加，这一块也会增加一些资金占用。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：新渠道的开拓状况？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公司电商渠道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的增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速较为可观，原因包括网络端需求旺盛以及品牌力持续提升的共同驱动。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：经销商库存情况？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回复：截至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月末，经销商库存率约为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20%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，大约相当于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2.5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个月的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销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尚处于良性区间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：对行业实际好转节点的判断？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回复：预计行业实质性好转可能在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2026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年下半年出现。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2025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年四季度环比降幅或可改善，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尽管去年同期基数较低，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同比能否持平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难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判。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苏超对于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省内大众消费的影响？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回复：其对消费量的提升作用较难量化。主要价值在于品牌宣传曝光，且当初冠名合作的成本相对较低，性价比较高。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：省内分区域，受政策影响的大小会有区别吗？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回复：会有区别。主要原因是不同区域的产品结构不同，四开往上的影响会大一些，这类产品占比高的区域影响就会大一些。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：与洋河的竞争情况？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回复：去年双方促销力度都有提升，产品价格略有下滑。双方高层决策通常理性，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但中下层在市场竞争过程中难免会出现一些非理性行为，导致最终结果略逊于预期。整体而言，过去一年的竞争结果会让今年的行为更为理性。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考虑市场口味变化及价格带下探需求，公司未来是否会推出更低度白酒产品？</w:t>
            </w: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​​</w:t>
            </w:r>
          </w:p>
          <w:p w:rsidR="00000000" w:rsidRDefault="00A1664C">
            <w:pPr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/>
                <w:bCs/>
                <w:sz w:val="24"/>
                <w:szCs w:val="24"/>
              </w:rPr>
              <w:t>回复：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存在可能性。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公司前身——江苏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高沟酒厂曾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上世纪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90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年代尝试推出</w:t>
            </w:r>
            <w:r>
              <w:rPr>
                <w:rFonts w:ascii="宋体" w:hAnsi="宋体"/>
                <w:bCs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度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高沟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特曲，但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彼时被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认为该度数导致口感过于寡淡未获成功。公司一直在寻求能够保证产品口感和质量稳定的降度措施，主要是口感要保证低而不淡，酒体装瓶后要能够越陈越好（白酒通常是不标保质期的）。公司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40-42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度为主的酒度已经体现了我们在降度方面的成就，将来更低的酒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度需要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新的技术突破作为支撑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：公司</w:t>
            </w:r>
            <w:r>
              <w:rPr>
                <w:rFonts w:ascii="宋体" w:hAnsi="宋体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月、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月的终端动销情况如何？是否会在费用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端采取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控制措施？</w:t>
            </w: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​​</w:t>
            </w:r>
          </w:p>
          <w:p w:rsidR="00000000" w:rsidRDefault="00A1664C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/>
                <w:bCs/>
                <w:sz w:val="24"/>
                <w:szCs w:val="24"/>
              </w:rPr>
              <w:t>回复：</w:t>
            </w: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/>
                <w:b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月及</w:t>
            </w:r>
            <w:r>
              <w:rPr>
                <w:rFonts w:ascii="宋体" w:hAnsi="宋体"/>
                <w:b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月终端动销增速环比</w:t>
            </w:r>
            <w:r>
              <w:rPr>
                <w:rFonts w:ascii="宋体" w:hAnsi="宋体"/>
                <w:b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月、</w:t>
            </w:r>
            <w:r>
              <w:rPr>
                <w:rFonts w:ascii="宋体" w:hAnsi="宋体"/>
                <w:b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现下滑，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主要是受政策因素和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季节性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影响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，去年也是这种情况，只是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今年的斜率更陡一些。目前公司除了对下半年的宣传活动有些调整外，还没有对费用预算做大的调整。</w:t>
            </w:r>
          </w:p>
          <w:p w:rsidR="00000000" w:rsidRDefault="00A1664C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季报部分大区毛利率下降幅度较大，是否与费用分摊或产能投放有关？</w:t>
            </w: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​​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/>
                <w:bCs/>
                <w:sz w:val="24"/>
                <w:szCs w:val="24"/>
              </w:rPr>
              <w:t>回复：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毛利率波动并非源于费用分摊或产能问题。去年部分毛利率下降主要是由于几款主产品升级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导至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包装材料和原酒成本上涨。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000000" w:rsidRDefault="00A1664C">
            <w:pPr>
              <w:ind w:firstLineChars="200" w:firstLine="48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：升学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宴消费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能否提振</w:t>
            </w:r>
            <w:r>
              <w:rPr>
                <w:rFonts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月动销？当地升学宴用酒偏好何种系列？公司有何针对性支持政策？</w:t>
            </w: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​​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/>
                <w:bCs/>
                <w:sz w:val="24"/>
                <w:szCs w:val="24"/>
              </w:rPr>
              <w:t>回复：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已有家庭开始预订升学宴，对</w:t>
            </w:r>
            <w:r>
              <w:rPr>
                <w:rFonts w:ascii="宋体" w:hAnsi="宋体"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月动销的影响有待观察。在用酒选择上，升学宴用酒覆盖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全价格带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，经济条件较好的家庭倾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向选择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系列产品（甚至选择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V9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）。公司对此类消费场景的支持力度较大，且受禁酒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令影响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较小，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今年对此类场景的重视程度或将进一步提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升。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​​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：公司如何看待未来营收增速？“十五五”目标进展如何？分红政策是否有变？</w:t>
            </w: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​​</w:t>
            </w:r>
          </w:p>
          <w:p w:rsidR="00000000" w:rsidRDefault="00A1664C">
            <w:pPr>
              <w:ind w:firstLineChars="200" w:firstLine="480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/>
                <w:bCs/>
                <w:sz w:val="24"/>
                <w:szCs w:val="24"/>
              </w:rPr>
              <w:t>回复：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今年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初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提出的增速目标仅为经营计划，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并非业绩承诺，我们会尊重市场环境的变化。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长期来看，整个行业会新常态下实现稳健增长。</w:t>
            </w:r>
          </w:p>
          <w:p w:rsidR="00000000" w:rsidRDefault="00A1664C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十五五”目标尚未制定发布，将视后续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环境再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定。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分红方面，是需要股东大会讨论决定的事情，我个人比较支持更为积极的分红政策。</w:t>
            </w:r>
          </w:p>
          <w:p w:rsidR="00000000" w:rsidRDefault="00A1664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  <w:p w:rsidR="00000000" w:rsidRDefault="00A1664C">
            <w:pPr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：经销商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当前利润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状况如何？</w:t>
            </w: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​​</w:t>
            </w:r>
          </w:p>
          <w:p w:rsidR="00000000" w:rsidRDefault="00A1664C" w:rsidP="00F27D1C">
            <w:pPr>
              <w:ind w:firstLineChars="200" w:firstLine="48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​</w:t>
            </w:r>
            <w:r>
              <w:rPr>
                <w:rFonts w:ascii="宋体" w:hAnsi="宋体"/>
                <w:bCs/>
                <w:sz w:val="24"/>
                <w:szCs w:val="24"/>
              </w:rPr>
              <w:t>回复：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上半年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经销商利润情况尚可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但下半年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有待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进一步观察。</w:t>
            </w:r>
            <w:bookmarkStart w:id="1" w:name="_GoBack"/>
            <w:bookmarkEnd w:id="1"/>
          </w:p>
        </w:tc>
      </w:tr>
    </w:tbl>
    <w:p w:rsidR="00A1664C" w:rsidRDefault="00A1664C">
      <w:pPr>
        <w:rPr>
          <w:sz w:val="28"/>
          <w:szCs w:val="28"/>
        </w:rPr>
      </w:pPr>
    </w:p>
    <w:sectPr w:rsidR="00A1664C">
      <w:headerReference w:type="default" r:id="rId6"/>
      <w:pgSz w:w="11906" w:h="16838"/>
      <w:pgMar w:top="1134" w:right="1134" w:bottom="1134" w:left="1418" w:header="62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4C" w:rsidRDefault="00A1664C">
      <w:r>
        <w:separator/>
      </w:r>
    </w:p>
  </w:endnote>
  <w:endnote w:type="continuationSeparator" w:id="0">
    <w:p w:rsidR="00A1664C" w:rsidRDefault="00A1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4C" w:rsidRDefault="00A1664C">
      <w:r>
        <w:separator/>
      </w:r>
    </w:p>
  </w:footnote>
  <w:footnote w:type="continuationSeparator" w:id="0">
    <w:p w:rsidR="00A1664C" w:rsidRDefault="00A1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1664C">
    <w:pPr>
      <w:pStyle w:val="a7"/>
      <w:pBdr>
        <w:bottom w:val="single" w:sz="6" w:space="0" w:color="auto"/>
      </w:pBdr>
      <w:jc w:val="left"/>
      <w:rPr>
        <w:b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NzVhZDIzYjE4NzlhNTE3YjNjMGQ3ODdhODQ1ZDkifQ=="/>
    <w:docVar w:name="KSO_WPS_MARK_KEY" w:val="736a3437-614c-4e0d-bf2c-b90b32abe985"/>
  </w:docVars>
  <w:rsids>
    <w:rsidRoot w:val="00001E47"/>
    <w:rsid w:val="00001E47"/>
    <w:rsid w:val="000031CD"/>
    <w:rsid w:val="00003536"/>
    <w:rsid w:val="00005AAF"/>
    <w:rsid w:val="00010607"/>
    <w:rsid w:val="000127AB"/>
    <w:rsid w:val="00012917"/>
    <w:rsid w:val="0001430D"/>
    <w:rsid w:val="00014C53"/>
    <w:rsid w:val="00015E85"/>
    <w:rsid w:val="00021963"/>
    <w:rsid w:val="00025AAD"/>
    <w:rsid w:val="00027FA3"/>
    <w:rsid w:val="000315C8"/>
    <w:rsid w:val="0004021B"/>
    <w:rsid w:val="000412CD"/>
    <w:rsid w:val="000464B8"/>
    <w:rsid w:val="000479CC"/>
    <w:rsid w:val="00054194"/>
    <w:rsid w:val="000555B4"/>
    <w:rsid w:val="000579BF"/>
    <w:rsid w:val="000679BB"/>
    <w:rsid w:val="00070A9D"/>
    <w:rsid w:val="00072106"/>
    <w:rsid w:val="000727FE"/>
    <w:rsid w:val="0007375C"/>
    <w:rsid w:val="00073BAF"/>
    <w:rsid w:val="00087770"/>
    <w:rsid w:val="00091ABB"/>
    <w:rsid w:val="0009484B"/>
    <w:rsid w:val="000A021A"/>
    <w:rsid w:val="000A0DB8"/>
    <w:rsid w:val="000A400B"/>
    <w:rsid w:val="000B1E34"/>
    <w:rsid w:val="000B375F"/>
    <w:rsid w:val="000B4F6B"/>
    <w:rsid w:val="000C53B1"/>
    <w:rsid w:val="000D189B"/>
    <w:rsid w:val="000E0598"/>
    <w:rsid w:val="000E10C6"/>
    <w:rsid w:val="000E1473"/>
    <w:rsid w:val="000F3ACE"/>
    <w:rsid w:val="000F53CD"/>
    <w:rsid w:val="0010446D"/>
    <w:rsid w:val="00106FB8"/>
    <w:rsid w:val="0011223F"/>
    <w:rsid w:val="001131A0"/>
    <w:rsid w:val="001137A7"/>
    <w:rsid w:val="001152FD"/>
    <w:rsid w:val="00115854"/>
    <w:rsid w:val="00117874"/>
    <w:rsid w:val="00120B42"/>
    <w:rsid w:val="00121D7A"/>
    <w:rsid w:val="00123308"/>
    <w:rsid w:val="00123AA2"/>
    <w:rsid w:val="00133985"/>
    <w:rsid w:val="001348B7"/>
    <w:rsid w:val="00140E63"/>
    <w:rsid w:val="001442C2"/>
    <w:rsid w:val="00146500"/>
    <w:rsid w:val="00152EF2"/>
    <w:rsid w:val="0015427F"/>
    <w:rsid w:val="00155DC1"/>
    <w:rsid w:val="0015678F"/>
    <w:rsid w:val="00156B7D"/>
    <w:rsid w:val="00156CB4"/>
    <w:rsid w:val="00162DF0"/>
    <w:rsid w:val="00163B57"/>
    <w:rsid w:val="00166D9D"/>
    <w:rsid w:val="001704CC"/>
    <w:rsid w:val="001728F1"/>
    <w:rsid w:val="00173BE1"/>
    <w:rsid w:val="00183378"/>
    <w:rsid w:val="0018383D"/>
    <w:rsid w:val="00185FDB"/>
    <w:rsid w:val="0018731C"/>
    <w:rsid w:val="00196723"/>
    <w:rsid w:val="001A687C"/>
    <w:rsid w:val="001B1F14"/>
    <w:rsid w:val="001B4284"/>
    <w:rsid w:val="001B5355"/>
    <w:rsid w:val="001C1E01"/>
    <w:rsid w:val="001C3C0F"/>
    <w:rsid w:val="001C60B6"/>
    <w:rsid w:val="001C7ED6"/>
    <w:rsid w:val="001D479F"/>
    <w:rsid w:val="001D47BA"/>
    <w:rsid w:val="001D5A88"/>
    <w:rsid w:val="001F16D4"/>
    <w:rsid w:val="001F50AE"/>
    <w:rsid w:val="001F6A7C"/>
    <w:rsid w:val="002054EA"/>
    <w:rsid w:val="0021764F"/>
    <w:rsid w:val="002223F7"/>
    <w:rsid w:val="00222554"/>
    <w:rsid w:val="00227640"/>
    <w:rsid w:val="00232777"/>
    <w:rsid w:val="00232AC1"/>
    <w:rsid w:val="00232C42"/>
    <w:rsid w:val="002355D2"/>
    <w:rsid w:val="002423DF"/>
    <w:rsid w:val="00247920"/>
    <w:rsid w:val="0024794A"/>
    <w:rsid w:val="00251DA6"/>
    <w:rsid w:val="00252BBF"/>
    <w:rsid w:val="002556A6"/>
    <w:rsid w:val="002600A5"/>
    <w:rsid w:val="00263C44"/>
    <w:rsid w:val="00263E0B"/>
    <w:rsid w:val="00265858"/>
    <w:rsid w:val="00267805"/>
    <w:rsid w:val="00275146"/>
    <w:rsid w:val="00275175"/>
    <w:rsid w:val="00276A76"/>
    <w:rsid w:val="00280C96"/>
    <w:rsid w:val="0029383A"/>
    <w:rsid w:val="002952B5"/>
    <w:rsid w:val="00296DF3"/>
    <w:rsid w:val="002A6D9D"/>
    <w:rsid w:val="002B34E1"/>
    <w:rsid w:val="002B6EDA"/>
    <w:rsid w:val="002C135D"/>
    <w:rsid w:val="002C45D7"/>
    <w:rsid w:val="002C476D"/>
    <w:rsid w:val="002D6362"/>
    <w:rsid w:val="002E0321"/>
    <w:rsid w:val="002E0554"/>
    <w:rsid w:val="002E4B90"/>
    <w:rsid w:val="002F1B80"/>
    <w:rsid w:val="003034AB"/>
    <w:rsid w:val="00304134"/>
    <w:rsid w:val="00304CB4"/>
    <w:rsid w:val="00307BA2"/>
    <w:rsid w:val="00313DA9"/>
    <w:rsid w:val="003177F8"/>
    <w:rsid w:val="0032028C"/>
    <w:rsid w:val="003203B6"/>
    <w:rsid w:val="003426CB"/>
    <w:rsid w:val="003441C0"/>
    <w:rsid w:val="00345E96"/>
    <w:rsid w:val="0034724D"/>
    <w:rsid w:val="003546FA"/>
    <w:rsid w:val="00355DE4"/>
    <w:rsid w:val="003600B9"/>
    <w:rsid w:val="00360813"/>
    <w:rsid w:val="00363E74"/>
    <w:rsid w:val="00366178"/>
    <w:rsid w:val="003708B9"/>
    <w:rsid w:val="00374856"/>
    <w:rsid w:val="003751FF"/>
    <w:rsid w:val="00383F08"/>
    <w:rsid w:val="00385A76"/>
    <w:rsid w:val="00387545"/>
    <w:rsid w:val="00393D89"/>
    <w:rsid w:val="00393F1F"/>
    <w:rsid w:val="0039489C"/>
    <w:rsid w:val="003949FF"/>
    <w:rsid w:val="00395ADC"/>
    <w:rsid w:val="003A5279"/>
    <w:rsid w:val="003A5A13"/>
    <w:rsid w:val="003A704E"/>
    <w:rsid w:val="003A78A4"/>
    <w:rsid w:val="003B151E"/>
    <w:rsid w:val="003B7E4A"/>
    <w:rsid w:val="003C0C4E"/>
    <w:rsid w:val="003D03E9"/>
    <w:rsid w:val="003D1ACF"/>
    <w:rsid w:val="003D296E"/>
    <w:rsid w:val="003D29AB"/>
    <w:rsid w:val="003E01C4"/>
    <w:rsid w:val="003E4154"/>
    <w:rsid w:val="003E6A22"/>
    <w:rsid w:val="003F037A"/>
    <w:rsid w:val="003F11AE"/>
    <w:rsid w:val="003F5CAD"/>
    <w:rsid w:val="003F7C73"/>
    <w:rsid w:val="004055EE"/>
    <w:rsid w:val="00407DA7"/>
    <w:rsid w:val="00410764"/>
    <w:rsid w:val="00412BDF"/>
    <w:rsid w:val="00430922"/>
    <w:rsid w:val="00433601"/>
    <w:rsid w:val="00435E30"/>
    <w:rsid w:val="0044191D"/>
    <w:rsid w:val="00444E79"/>
    <w:rsid w:val="00446378"/>
    <w:rsid w:val="0044711A"/>
    <w:rsid w:val="00461251"/>
    <w:rsid w:val="00464B63"/>
    <w:rsid w:val="00472507"/>
    <w:rsid w:val="00475951"/>
    <w:rsid w:val="0047739E"/>
    <w:rsid w:val="00477EFD"/>
    <w:rsid w:val="00491261"/>
    <w:rsid w:val="00491C8B"/>
    <w:rsid w:val="0049640A"/>
    <w:rsid w:val="004966B8"/>
    <w:rsid w:val="004B3D57"/>
    <w:rsid w:val="004C0306"/>
    <w:rsid w:val="004C1DFB"/>
    <w:rsid w:val="004C2CA2"/>
    <w:rsid w:val="004C5D7B"/>
    <w:rsid w:val="004C7C37"/>
    <w:rsid w:val="004D4393"/>
    <w:rsid w:val="004E255E"/>
    <w:rsid w:val="004E5960"/>
    <w:rsid w:val="004F1869"/>
    <w:rsid w:val="004F3890"/>
    <w:rsid w:val="004F5866"/>
    <w:rsid w:val="004F7517"/>
    <w:rsid w:val="00502E6D"/>
    <w:rsid w:val="00512D7F"/>
    <w:rsid w:val="005153B3"/>
    <w:rsid w:val="0052330C"/>
    <w:rsid w:val="005264E8"/>
    <w:rsid w:val="00535730"/>
    <w:rsid w:val="00536844"/>
    <w:rsid w:val="00536961"/>
    <w:rsid w:val="00537855"/>
    <w:rsid w:val="0054061C"/>
    <w:rsid w:val="00550A89"/>
    <w:rsid w:val="00551A52"/>
    <w:rsid w:val="00554EBB"/>
    <w:rsid w:val="00555CCC"/>
    <w:rsid w:val="0056113A"/>
    <w:rsid w:val="00563B3B"/>
    <w:rsid w:val="0057460F"/>
    <w:rsid w:val="005907A7"/>
    <w:rsid w:val="00594057"/>
    <w:rsid w:val="005A20C5"/>
    <w:rsid w:val="005A2E20"/>
    <w:rsid w:val="005A63BD"/>
    <w:rsid w:val="005A7A4F"/>
    <w:rsid w:val="005B512D"/>
    <w:rsid w:val="005B5645"/>
    <w:rsid w:val="005C0C66"/>
    <w:rsid w:val="005C11B8"/>
    <w:rsid w:val="005C3A25"/>
    <w:rsid w:val="005C3AB1"/>
    <w:rsid w:val="005C69CD"/>
    <w:rsid w:val="005D30FB"/>
    <w:rsid w:val="005D39CE"/>
    <w:rsid w:val="005D4670"/>
    <w:rsid w:val="005E42F1"/>
    <w:rsid w:val="005E6614"/>
    <w:rsid w:val="005E679C"/>
    <w:rsid w:val="005F5F1E"/>
    <w:rsid w:val="00600510"/>
    <w:rsid w:val="00600EF1"/>
    <w:rsid w:val="00601C6F"/>
    <w:rsid w:val="00601F23"/>
    <w:rsid w:val="00605A12"/>
    <w:rsid w:val="006061C3"/>
    <w:rsid w:val="0060642D"/>
    <w:rsid w:val="006071A3"/>
    <w:rsid w:val="00612846"/>
    <w:rsid w:val="00617E8F"/>
    <w:rsid w:val="00620295"/>
    <w:rsid w:val="00621976"/>
    <w:rsid w:val="00622ACD"/>
    <w:rsid w:val="00622E25"/>
    <w:rsid w:val="00624B4C"/>
    <w:rsid w:val="00626093"/>
    <w:rsid w:val="00636530"/>
    <w:rsid w:val="00640431"/>
    <w:rsid w:val="00644FBD"/>
    <w:rsid w:val="006473CB"/>
    <w:rsid w:val="0065393B"/>
    <w:rsid w:val="00661B39"/>
    <w:rsid w:val="00664379"/>
    <w:rsid w:val="00680BA2"/>
    <w:rsid w:val="00680F9F"/>
    <w:rsid w:val="00682313"/>
    <w:rsid w:val="00687257"/>
    <w:rsid w:val="006923CC"/>
    <w:rsid w:val="00693716"/>
    <w:rsid w:val="00696971"/>
    <w:rsid w:val="006A098B"/>
    <w:rsid w:val="006A2A98"/>
    <w:rsid w:val="006B0889"/>
    <w:rsid w:val="006B2519"/>
    <w:rsid w:val="006B4589"/>
    <w:rsid w:val="006C102A"/>
    <w:rsid w:val="006C6B42"/>
    <w:rsid w:val="006D0A3A"/>
    <w:rsid w:val="006D28D0"/>
    <w:rsid w:val="006E0786"/>
    <w:rsid w:val="006E0BBF"/>
    <w:rsid w:val="006E0F23"/>
    <w:rsid w:val="006E217E"/>
    <w:rsid w:val="006E2C10"/>
    <w:rsid w:val="006F295E"/>
    <w:rsid w:val="006F7DD7"/>
    <w:rsid w:val="00712C92"/>
    <w:rsid w:val="00721175"/>
    <w:rsid w:val="00721453"/>
    <w:rsid w:val="0072517A"/>
    <w:rsid w:val="00736B03"/>
    <w:rsid w:val="00737671"/>
    <w:rsid w:val="007400C4"/>
    <w:rsid w:val="00740DCE"/>
    <w:rsid w:val="007425D4"/>
    <w:rsid w:val="00746DD9"/>
    <w:rsid w:val="007508AE"/>
    <w:rsid w:val="00755113"/>
    <w:rsid w:val="00755C80"/>
    <w:rsid w:val="00755C91"/>
    <w:rsid w:val="007575ED"/>
    <w:rsid w:val="00773FA1"/>
    <w:rsid w:val="007772F0"/>
    <w:rsid w:val="00780940"/>
    <w:rsid w:val="00785952"/>
    <w:rsid w:val="00785B8E"/>
    <w:rsid w:val="0078611D"/>
    <w:rsid w:val="0078711C"/>
    <w:rsid w:val="00787449"/>
    <w:rsid w:val="00791CF2"/>
    <w:rsid w:val="00792C08"/>
    <w:rsid w:val="00793EF2"/>
    <w:rsid w:val="00793F80"/>
    <w:rsid w:val="00794FD4"/>
    <w:rsid w:val="00797E39"/>
    <w:rsid w:val="007A1004"/>
    <w:rsid w:val="007A25EB"/>
    <w:rsid w:val="007A3490"/>
    <w:rsid w:val="007A46CE"/>
    <w:rsid w:val="007A779E"/>
    <w:rsid w:val="007B0343"/>
    <w:rsid w:val="007C0F0A"/>
    <w:rsid w:val="007C2835"/>
    <w:rsid w:val="007D2DA3"/>
    <w:rsid w:val="007E387B"/>
    <w:rsid w:val="007E58DF"/>
    <w:rsid w:val="007E69CC"/>
    <w:rsid w:val="007E7ECE"/>
    <w:rsid w:val="007F0955"/>
    <w:rsid w:val="007F2E3B"/>
    <w:rsid w:val="007F4AF3"/>
    <w:rsid w:val="007F69AE"/>
    <w:rsid w:val="008003D3"/>
    <w:rsid w:val="008057CF"/>
    <w:rsid w:val="00805DA8"/>
    <w:rsid w:val="00806617"/>
    <w:rsid w:val="00807405"/>
    <w:rsid w:val="008103BB"/>
    <w:rsid w:val="00812DC5"/>
    <w:rsid w:val="00813AED"/>
    <w:rsid w:val="0081425D"/>
    <w:rsid w:val="00817B14"/>
    <w:rsid w:val="00822C26"/>
    <w:rsid w:val="0082736B"/>
    <w:rsid w:val="00834D76"/>
    <w:rsid w:val="0083750A"/>
    <w:rsid w:val="00837B15"/>
    <w:rsid w:val="0084289A"/>
    <w:rsid w:val="00843107"/>
    <w:rsid w:val="008466AD"/>
    <w:rsid w:val="00846B10"/>
    <w:rsid w:val="00850C8B"/>
    <w:rsid w:val="00852514"/>
    <w:rsid w:val="00860865"/>
    <w:rsid w:val="00863922"/>
    <w:rsid w:val="00863AFA"/>
    <w:rsid w:val="0086533E"/>
    <w:rsid w:val="00866195"/>
    <w:rsid w:val="0086662A"/>
    <w:rsid w:val="00867478"/>
    <w:rsid w:val="008756BC"/>
    <w:rsid w:val="00876F2E"/>
    <w:rsid w:val="00877FD6"/>
    <w:rsid w:val="00881ECD"/>
    <w:rsid w:val="00882455"/>
    <w:rsid w:val="00882612"/>
    <w:rsid w:val="00883E70"/>
    <w:rsid w:val="008847DD"/>
    <w:rsid w:val="00885D0A"/>
    <w:rsid w:val="00890444"/>
    <w:rsid w:val="00891F37"/>
    <w:rsid w:val="008936F9"/>
    <w:rsid w:val="00894FBE"/>
    <w:rsid w:val="008A1470"/>
    <w:rsid w:val="008A201D"/>
    <w:rsid w:val="008A63CE"/>
    <w:rsid w:val="008C0E08"/>
    <w:rsid w:val="008C0E87"/>
    <w:rsid w:val="008C1965"/>
    <w:rsid w:val="008C2C3F"/>
    <w:rsid w:val="008C30F2"/>
    <w:rsid w:val="008D01C5"/>
    <w:rsid w:val="008D1571"/>
    <w:rsid w:val="008D2DE4"/>
    <w:rsid w:val="008D72ED"/>
    <w:rsid w:val="008E61DA"/>
    <w:rsid w:val="008F7065"/>
    <w:rsid w:val="00900C8B"/>
    <w:rsid w:val="00902600"/>
    <w:rsid w:val="0090519C"/>
    <w:rsid w:val="009058C0"/>
    <w:rsid w:val="0090698B"/>
    <w:rsid w:val="00914827"/>
    <w:rsid w:val="00915175"/>
    <w:rsid w:val="00927583"/>
    <w:rsid w:val="0092759C"/>
    <w:rsid w:val="00937367"/>
    <w:rsid w:val="00937AE0"/>
    <w:rsid w:val="00950721"/>
    <w:rsid w:val="009528C7"/>
    <w:rsid w:val="009638D1"/>
    <w:rsid w:val="009663E5"/>
    <w:rsid w:val="00966CAE"/>
    <w:rsid w:val="00971917"/>
    <w:rsid w:val="00975EAE"/>
    <w:rsid w:val="009764B2"/>
    <w:rsid w:val="009770A7"/>
    <w:rsid w:val="009778DF"/>
    <w:rsid w:val="009779D5"/>
    <w:rsid w:val="009801A7"/>
    <w:rsid w:val="00981AB5"/>
    <w:rsid w:val="0098487C"/>
    <w:rsid w:val="009848B5"/>
    <w:rsid w:val="00984AA9"/>
    <w:rsid w:val="0099133A"/>
    <w:rsid w:val="0099278D"/>
    <w:rsid w:val="0099581C"/>
    <w:rsid w:val="0099763A"/>
    <w:rsid w:val="009A00E6"/>
    <w:rsid w:val="009A3826"/>
    <w:rsid w:val="009A48A6"/>
    <w:rsid w:val="009A570C"/>
    <w:rsid w:val="009B12A8"/>
    <w:rsid w:val="009B4AFC"/>
    <w:rsid w:val="009B66B2"/>
    <w:rsid w:val="009C06E7"/>
    <w:rsid w:val="009D3F1A"/>
    <w:rsid w:val="009D5562"/>
    <w:rsid w:val="009D671F"/>
    <w:rsid w:val="009E011A"/>
    <w:rsid w:val="009F2D69"/>
    <w:rsid w:val="009F35C0"/>
    <w:rsid w:val="009F50E6"/>
    <w:rsid w:val="009F664D"/>
    <w:rsid w:val="00A04F96"/>
    <w:rsid w:val="00A05BA3"/>
    <w:rsid w:val="00A0780E"/>
    <w:rsid w:val="00A1664C"/>
    <w:rsid w:val="00A21A3F"/>
    <w:rsid w:val="00A259CC"/>
    <w:rsid w:val="00A27498"/>
    <w:rsid w:val="00A27998"/>
    <w:rsid w:val="00A34C66"/>
    <w:rsid w:val="00A358A8"/>
    <w:rsid w:val="00A43B9B"/>
    <w:rsid w:val="00A464AD"/>
    <w:rsid w:val="00A47FB0"/>
    <w:rsid w:val="00A514F0"/>
    <w:rsid w:val="00A527ED"/>
    <w:rsid w:val="00A55118"/>
    <w:rsid w:val="00A568D4"/>
    <w:rsid w:val="00A57E30"/>
    <w:rsid w:val="00A65EC7"/>
    <w:rsid w:val="00A91217"/>
    <w:rsid w:val="00A924B9"/>
    <w:rsid w:val="00A924EC"/>
    <w:rsid w:val="00AA7A25"/>
    <w:rsid w:val="00AA7E3F"/>
    <w:rsid w:val="00AB1C4B"/>
    <w:rsid w:val="00AB1D7B"/>
    <w:rsid w:val="00AB2B4F"/>
    <w:rsid w:val="00AC45AA"/>
    <w:rsid w:val="00AD0213"/>
    <w:rsid w:val="00AD46C6"/>
    <w:rsid w:val="00AE2876"/>
    <w:rsid w:val="00AE29D9"/>
    <w:rsid w:val="00AF4997"/>
    <w:rsid w:val="00AF77DC"/>
    <w:rsid w:val="00B03CBF"/>
    <w:rsid w:val="00B0776F"/>
    <w:rsid w:val="00B119C6"/>
    <w:rsid w:val="00B149A8"/>
    <w:rsid w:val="00B1626E"/>
    <w:rsid w:val="00B167E0"/>
    <w:rsid w:val="00B17334"/>
    <w:rsid w:val="00B255D9"/>
    <w:rsid w:val="00B26358"/>
    <w:rsid w:val="00B26865"/>
    <w:rsid w:val="00B31E06"/>
    <w:rsid w:val="00B3560C"/>
    <w:rsid w:val="00B37F15"/>
    <w:rsid w:val="00B40026"/>
    <w:rsid w:val="00B43F22"/>
    <w:rsid w:val="00B44165"/>
    <w:rsid w:val="00B45C6F"/>
    <w:rsid w:val="00B4675F"/>
    <w:rsid w:val="00B520D3"/>
    <w:rsid w:val="00B52153"/>
    <w:rsid w:val="00B54FB3"/>
    <w:rsid w:val="00B612B0"/>
    <w:rsid w:val="00B64E71"/>
    <w:rsid w:val="00B65365"/>
    <w:rsid w:val="00B65D54"/>
    <w:rsid w:val="00B67785"/>
    <w:rsid w:val="00B75B37"/>
    <w:rsid w:val="00B83AA7"/>
    <w:rsid w:val="00B8649B"/>
    <w:rsid w:val="00B90184"/>
    <w:rsid w:val="00B935CD"/>
    <w:rsid w:val="00B970F5"/>
    <w:rsid w:val="00B97E3E"/>
    <w:rsid w:val="00BA2B3B"/>
    <w:rsid w:val="00BA5990"/>
    <w:rsid w:val="00BA7E4E"/>
    <w:rsid w:val="00BB127E"/>
    <w:rsid w:val="00BB5266"/>
    <w:rsid w:val="00BB6C2C"/>
    <w:rsid w:val="00BC3EFC"/>
    <w:rsid w:val="00BD592F"/>
    <w:rsid w:val="00BD606A"/>
    <w:rsid w:val="00BD77F5"/>
    <w:rsid w:val="00BE0B09"/>
    <w:rsid w:val="00BE35D1"/>
    <w:rsid w:val="00BE6404"/>
    <w:rsid w:val="00BF0754"/>
    <w:rsid w:val="00C007F2"/>
    <w:rsid w:val="00C036E9"/>
    <w:rsid w:val="00C047FC"/>
    <w:rsid w:val="00C050DD"/>
    <w:rsid w:val="00C10135"/>
    <w:rsid w:val="00C119F4"/>
    <w:rsid w:val="00C1311A"/>
    <w:rsid w:val="00C15E1F"/>
    <w:rsid w:val="00C24E3C"/>
    <w:rsid w:val="00C30BAD"/>
    <w:rsid w:val="00C35208"/>
    <w:rsid w:val="00C36E29"/>
    <w:rsid w:val="00C42CEB"/>
    <w:rsid w:val="00C432F6"/>
    <w:rsid w:val="00C456E0"/>
    <w:rsid w:val="00C54EF4"/>
    <w:rsid w:val="00C5590C"/>
    <w:rsid w:val="00C57B57"/>
    <w:rsid w:val="00C61479"/>
    <w:rsid w:val="00C61A0D"/>
    <w:rsid w:val="00C624E2"/>
    <w:rsid w:val="00C701AB"/>
    <w:rsid w:val="00C73EBE"/>
    <w:rsid w:val="00C80FC4"/>
    <w:rsid w:val="00C83999"/>
    <w:rsid w:val="00C91FF5"/>
    <w:rsid w:val="00C93ACB"/>
    <w:rsid w:val="00C9570C"/>
    <w:rsid w:val="00C961AC"/>
    <w:rsid w:val="00CA469C"/>
    <w:rsid w:val="00CA5567"/>
    <w:rsid w:val="00CB267E"/>
    <w:rsid w:val="00CB7C7D"/>
    <w:rsid w:val="00CC0562"/>
    <w:rsid w:val="00CC1E86"/>
    <w:rsid w:val="00CC4515"/>
    <w:rsid w:val="00CC4B29"/>
    <w:rsid w:val="00CD3E33"/>
    <w:rsid w:val="00CD441F"/>
    <w:rsid w:val="00CE06BD"/>
    <w:rsid w:val="00CE15C3"/>
    <w:rsid w:val="00CF06F0"/>
    <w:rsid w:val="00CF1D9B"/>
    <w:rsid w:val="00CF64F1"/>
    <w:rsid w:val="00CF67AA"/>
    <w:rsid w:val="00D00C91"/>
    <w:rsid w:val="00D07850"/>
    <w:rsid w:val="00D1178D"/>
    <w:rsid w:val="00D17BAE"/>
    <w:rsid w:val="00D17D1D"/>
    <w:rsid w:val="00D234B9"/>
    <w:rsid w:val="00D30AFE"/>
    <w:rsid w:val="00D374F7"/>
    <w:rsid w:val="00D47867"/>
    <w:rsid w:val="00D5302D"/>
    <w:rsid w:val="00D53F31"/>
    <w:rsid w:val="00D63B8C"/>
    <w:rsid w:val="00D66E6E"/>
    <w:rsid w:val="00D67E1D"/>
    <w:rsid w:val="00D72B99"/>
    <w:rsid w:val="00D747C0"/>
    <w:rsid w:val="00D76EAE"/>
    <w:rsid w:val="00D76F99"/>
    <w:rsid w:val="00D81E29"/>
    <w:rsid w:val="00D84AE5"/>
    <w:rsid w:val="00D86A74"/>
    <w:rsid w:val="00D9288F"/>
    <w:rsid w:val="00D92CA8"/>
    <w:rsid w:val="00DA225E"/>
    <w:rsid w:val="00DA6394"/>
    <w:rsid w:val="00DA70B8"/>
    <w:rsid w:val="00DB3637"/>
    <w:rsid w:val="00DB4B04"/>
    <w:rsid w:val="00DB7174"/>
    <w:rsid w:val="00DC1ACA"/>
    <w:rsid w:val="00DC4DE7"/>
    <w:rsid w:val="00DC6981"/>
    <w:rsid w:val="00DD2F3C"/>
    <w:rsid w:val="00DD5FBC"/>
    <w:rsid w:val="00DE36EE"/>
    <w:rsid w:val="00DE5DA5"/>
    <w:rsid w:val="00DF35DF"/>
    <w:rsid w:val="00DF3DF1"/>
    <w:rsid w:val="00DF57A1"/>
    <w:rsid w:val="00E033E7"/>
    <w:rsid w:val="00E141FA"/>
    <w:rsid w:val="00E15EE2"/>
    <w:rsid w:val="00E30A4D"/>
    <w:rsid w:val="00E335DD"/>
    <w:rsid w:val="00E405D6"/>
    <w:rsid w:val="00E44978"/>
    <w:rsid w:val="00E45486"/>
    <w:rsid w:val="00E470BA"/>
    <w:rsid w:val="00E50203"/>
    <w:rsid w:val="00E55730"/>
    <w:rsid w:val="00E55D91"/>
    <w:rsid w:val="00E572D1"/>
    <w:rsid w:val="00E607F6"/>
    <w:rsid w:val="00E6755A"/>
    <w:rsid w:val="00E7001D"/>
    <w:rsid w:val="00E73501"/>
    <w:rsid w:val="00E741E5"/>
    <w:rsid w:val="00E7773E"/>
    <w:rsid w:val="00E777B4"/>
    <w:rsid w:val="00E82521"/>
    <w:rsid w:val="00E87B05"/>
    <w:rsid w:val="00E916CD"/>
    <w:rsid w:val="00E91F1A"/>
    <w:rsid w:val="00E93EB0"/>
    <w:rsid w:val="00E94F5D"/>
    <w:rsid w:val="00EA4A3B"/>
    <w:rsid w:val="00EB1F61"/>
    <w:rsid w:val="00EB3A5F"/>
    <w:rsid w:val="00EB7916"/>
    <w:rsid w:val="00EC02AD"/>
    <w:rsid w:val="00EC1610"/>
    <w:rsid w:val="00EC3421"/>
    <w:rsid w:val="00EC5181"/>
    <w:rsid w:val="00ED0359"/>
    <w:rsid w:val="00ED4252"/>
    <w:rsid w:val="00EE1E57"/>
    <w:rsid w:val="00EE7A0C"/>
    <w:rsid w:val="00EF0003"/>
    <w:rsid w:val="00EF4506"/>
    <w:rsid w:val="00EF54C7"/>
    <w:rsid w:val="00EF6AF2"/>
    <w:rsid w:val="00F0563B"/>
    <w:rsid w:val="00F2187B"/>
    <w:rsid w:val="00F2306A"/>
    <w:rsid w:val="00F2579A"/>
    <w:rsid w:val="00F27D1C"/>
    <w:rsid w:val="00F31397"/>
    <w:rsid w:val="00F35378"/>
    <w:rsid w:val="00F37F73"/>
    <w:rsid w:val="00F4112E"/>
    <w:rsid w:val="00F52077"/>
    <w:rsid w:val="00F53D21"/>
    <w:rsid w:val="00F55CEA"/>
    <w:rsid w:val="00F64921"/>
    <w:rsid w:val="00F676AC"/>
    <w:rsid w:val="00F70355"/>
    <w:rsid w:val="00F70A97"/>
    <w:rsid w:val="00F7116D"/>
    <w:rsid w:val="00F724B0"/>
    <w:rsid w:val="00F73A38"/>
    <w:rsid w:val="00F74FB6"/>
    <w:rsid w:val="00F771D9"/>
    <w:rsid w:val="00F819EA"/>
    <w:rsid w:val="00F8240B"/>
    <w:rsid w:val="00F86573"/>
    <w:rsid w:val="00F9618B"/>
    <w:rsid w:val="00F9618D"/>
    <w:rsid w:val="00FA1829"/>
    <w:rsid w:val="00FA1E4A"/>
    <w:rsid w:val="00FA303B"/>
    <w:rsid w:val="00FB1AC9"/>
    <w:rsid w:val="00FB3398"/>
    <w:rsid w:val="00FB728D"/>
    <w:rsid w:val="00FC1352"/>
    <w:rsid w:val="00FD78AE"/>
    <w:rsid w:val="00FE52B6"/>
    <w:rsid w:val="00FF26D3"/>
    <w:rsid w:val="00FF30C5"/>
    <w:rsid w:val="00FF5FEA"/>
    <w:rsid w:val="01B4337D"/>
    <w:rsid w:val="0F776B38"/>
    <w:rsid w:val="180C036B"/>
    <w:rsid w:val="18E80CFA"/>
    <w:rsid w:val="1F075584"/>
    <w:rsid w:val="20907665"/>
    <w:rsid w:val="2187247F"/>
    <w:rsid w:val="22CB1AE8"/>
    <w:rsid w:val="23EE7A62"/>
    <w:rsid w:val="24692773"/>
    <w:rsid w:val="28340291"/>
    <w:rsid w:val="2BD1187D"/>
    <w:rsid w:val="2C714E0E"/>
    <w:rsid w:val="2E10449E"/>
    <w:rsid w:val="33DC4E9D"/>
    <w:rsid w:val="34FA0305"/>
    <w:rsid w:val="409F4E28"/>
    <w:rsid w:val="41590EE6"/>
    <w:rsid w:val="457572C5"/>
    <w:rsid w:val="45A85760"/>
    <w:rsid w:val="470A06E7"/>
    <w:rsid w:val="4A981A8C"/>
    <w:rsid w:val="52D80A22"/>
    <w:rsid w:val="57813604"/>
    <w:rsid w:val="57C02A97"/>
    <w:rsid w:val="5ADA30AE"/>
    <w:rsid w:val="70DB457D"/>
    <w:rsid w:val="76083306"/>
    <w:rsid w:val="79CE6073"/>
    <w:rsid w:val="7F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23F0B1"/>
  <w15:chartTrackingRefBased/>
  <w15:docId w15:val="{E61A3828-57F0-4A33-BED0-685839DA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wdm</dc:creator>
  <cp:keywords/>
  <cp:lastModifiedBy>pc-250512002</cp:lastModifiedBy>
  <cp:revision>3</cp:revision>
  <cp:lastPrinted>2025-05-29T00:47:00Z</cp:lastPrinted>
  <dcterms:created xsi:type="dcterms:W3CDTF">2025-08-05T07:59:00Z</dcterms:created>
  <dcterms:modified xsi:type="dcterms:W3CDTF">2025-08-05T07:59:00Z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54554FA729FE4547A1469F7D160229A2_13</vt:lpwstr>
  </property>
  <property fmtid="{D5CDD505-2E9C-101B-9397-08002B2CF9AE}" pid="4" name="KSOTemplateDocerSaveRecord">
    <vt:lpwstr>eyJoZGlkIjoiOWUzODE0MTVmNDEzZGY5NDdjNzIyZmY5MzMyNTRjNTUiLCJ1c2VySWQiOiIxNjc5Mjk5MzcyIn0=</vt:lpwstr>
  </property>
</Properties>
</file>