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杭州柯林电气股份有限公司</w:t>
      </w:r>
    </w:p>
    <w:p>
      <w:pPr>
        <w:jc w:val="center"/>
        <w:rPr>
          <w:sz w:val="28"/>
          <w:szCs w:val="28"/>
        </w:rPr>
      </w:pPr>
      <w:r>
        <w:rPr>
          <w:rFonts w:hint="eastAsia"/>
          <w:sz w:val="28"/>
          <w:szCs w:val="28"/>
        </w:rPr>
        <w:t>投资者关系活动记录表</w:t>
      </w:r>
    </w:p>
    <w:p>
      <w:pPr>
        <w:rPr>
          <w:rFonts w:hint="eastAsia" w:eastAsia="宋体"/>
          <w:lang w:val="en-US" w:eastAsia="zh-CN"/>
        </w:rPr>
      </w:pPr>
      <w:r>
        <w:rPr>
          <w:rFonts w:hint="eastAsia"/>
        </w:rPr>
        <w:t xml:space="preserve">证券简称：杭州柯林 </w:t>
      </w:r>
      <w:r>
        <w:t xml:space="preserve">           </w:t>
      </w:r>
      <w:r>
        <w:rPr>
          <w:rFonts w:hint="eastAsia"/>
        </w:rPr>
        <w:t xml:space="preserve">证券代码：688611 </w:t>
      </w:r>
      <w:r>
        <w:t xml:space="preserve">      </w:t>
      </w:r>
      <w:r>
        <w:rPr>
          <w:rFonts w:hint="eastAsia"/>
        </w:rPr>
        <w:t>编号：202</w:t>
      </w:r>
      <w:r>
        <w:rPr>
          <w:rFonts w:hint="eastAsia"/>
          <w:lang w:val="en-US" w:eastAsia="zh-CN"/>
        </w:rPr>
        <w:t>5</w:t>
      </w:r>
      <w:r>
        <w:rPr>
          <w:rFonts w:hint="eastAsia"/>
        </w:rPr>
        <w:t>-0</w:t>
      </w:r>
      <w:r>
        <w:rPr>
          <w:rFonts w:hint="eastAsia"/>
          <w:lang w:val="en-US" w:eastAsia="zh-CN"/>
        </w:rPr>
        <w:t>9</w:t>
      </w:r>
    </w:p>
    <w:tbl>
      <w:tblPr>
        <w:tblStyle w:val="4"/>
        <w:tblW w:w="8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5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6" w:type="dxa"/>
            <w:vAlign w:val="center"/>
          </w:tcPr>
          <w:p>
            <w:pPr>
              <w:jc w:val="center"/>
            </w:pPr>
            <w:r>
              <w:rPr>
                <w:rFonts w:hint="eastAsia"/>
              </w:rPr>
              <w:t>投资者关系活动</w:t>
            </w:r>
          </w:p>
          <w:p>
            <w:pPr>
              <w:jc w:val="center"/>
            </w:pPr>
            <w:r>
              <w:rPr>
                <w:rFonts w:hint="eastAsia"/>
              </w:rPr>
              <w:t>类别</w:t>
            </w:r>
          </w:p>
        </w:tc>
        <w:tc>
          <w:tcPr>
            <w:tcW w:w="5903" w:type="dxa"/>
            <w:vAlign w:val="top"/>
          </w:tcPr>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eastAsia"/>
                <w:b w:val="0"/>
                <w:bCs w:val="0"/>
                <w:lang w:val="en-US" w:eastAsia="zh-CN"/>
              </w:rPr>
              <w:t>☑</w:t>
            </w:r>
            <w:r>
              <w:rPr>
                <w:rFonts w:hint="eastAsia"/>
                <w:b w:val="0"/>
                <w:bCs w:val="0"/>
              </w:rPr>
              <w:t xml:space="preserve">特定对象调研 </w:t>
            </w:r>
            <w:r>
              <w:rPr>
                <w:b w:val="0"/>
                <w:bCs w:val="0"/>
              </w:rPr>
              <w:t xml:space="preserve">   </w:t>
            </w:r>
            <w:r>
              <w:rPr>
                <w:rFonts w:hint="eastAsia"/>
                <w:b w:val="0"/>
                <w:bCs w:val="0"/>
                <w:lang w:eastAsia="zh-CN"/>
              </w:rPr>
              <w:t>□</w:t>
            </w:r>
            <w:r>
              <w:rPr>
                <w:rFonts w:hint="eastAsia"/>
                <w:b w:val="0"/>
                <w:bCs w:val="0"/>
              </w:rPr>
              <w:t>分析师会议</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default"/>
                <w:b w:val="0"/>
                <w:bCs w:val="0"/>
                <w:lang w:val="en-US"/>
              </w:rPr>
              <w:t>□</w:t>
            </w:r>
            <w:r>
              <w:rPr>
                <w:rFonts w:hint="eastAsia"/>
                <w:b w:val="0"/>
                <w:bCs w:val="0"/>
              </w:rPr>
              <w:t xml:space="preserve">媒体采访 </w:t>
            </w:r>
            <w:r>
              <w:rPr>
                <w:b w:val="0"/>
                <w:bCs w:val="0"/>
              </w:rPr>
              <w:t xml:space="preserve">       </w:t>
            </w:r>
            <w:r>
              <w:rPr>
                <w:rFonts w:hint="eastAsia"/>
                <w:b w:val="0"/>
                <w:bCs w:val="0"/>
              </w:rPr>
              <w:t>□业绩说明会</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eastAsia"/>
                <w:b w:val="0"/>
                <w:bCs w:val="0"/>
              </w:rPr>
              <w:t xml:space="preserve">□新闻发布会 </w:t>
            </w:r>
            <w:r>
              <w:rPr>
                <w:b w:val="0"/>
                <w:bCs w:val="0"/>
              </w:rPr>
              <w:t xml:space="preserve">     </w:t>
            </w:r>
            <w:r>
              <w:rPr>
                <w:rFonts w:hint="eastAsia"/>
                <w:b w:val="0"/>
                <w:bCs w:val="0"/>
                <w:lang w:eastAsia="zh-CN"/>
              </w:rPr>
              <w:t>□</w:t>
            </w:r>
            <w:r>
              <w:rPr>
                <w:rFonts w:hint="eastAsia"/>
                <w:b w:val="0"/>
                <w:bCs w:val="0"/>
              </w:rPr>
              <w:t>路演活动</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b w:val="0"/>
                <w:bCs w:val="0"/>
              </w:rPr>
            </w:pPr>
            <w:r>
              <w:rPr>
                <w:rFonts w:hint="eastAsia"/>
                <w:b w:val="0"/>
                <w:bCs w:val="0"/>
                <w:lang w:eastAsia="zh-CN"/>
              </w:rPr>
              <w:t>□</w:t>
            </w:r>
            <w:r>
              <w:rPr>
                <w:rFonts w:hint="eastAsia"/>
                <w:b w:val="0"/>
                <w:bCs w:val="0"/>
              </w:rPr>
              <w:t>现场参观</w:t>
            </w:r>
            <w:r>
              <w:rPr>
                <w:rFonts w:hint="eastAsia"/>
                <w:b w:val="0"/>
                <w:bCs w:val="0"/>
                <w:lang w:val="en-US" w:eastAsia="zh-CN"/>
              </w:rPr>
              <w:t xml:space="preserve">   □</w:t>
            </w:r>
            <w:r>
              <w:rPr>
                <w:rFonts w:hint="eastAsia"/>
                <w:b w:val="0"/>
                <w:bCs w:val="0"/>
              </w:rPr>
              <w:t>其他（</w:t>
            </w:r>
            <w:r>
              <w:rPr>
                <w:rFonts w:hint="eastAsia"/>
                <w:b w:val="0"/>
                <w:bCs w:val="0"/>
                <w:u w:val="thick"/>
              </w:rPr>
              <w:t>请文字说明其他活动内容</w:t>
            </w:r>
            <w:r>
              <w:rPr>
                <w:rFonts w:hint="eastAsia"/>
                <w:b w:val="0"/>
                <w:bC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2286" w:type="dxa"/>
            <w:vAlign w:val="center"/>
          </w:tcPr>
          <w:p>
            <w:pPr>
              <w:jc w:val="center"/>
            </w:pPr>
            <w:r>
              <w:rPr>
                <w:rFonts w:hint="eastAsia"/>
              </w:rPr>
              <w:t>参与单位名称</w:t>
            </w:r>
          </w:p>
          <w:p>
            <w:pPr>
              <w:jc w:val="center"/>
            </w:pPr>
            <w:r>
              <w:rPr>
                <w:rFonts w:hint="eastAsia"/>
              </w:rPr>
              <w:t>（排名不分先后）</w:t>
            </w:r>
          </w:p>
        </w:tc>
        <w:tc>
          <w:tcPr>
            <w:tcW w:w="5903" w:type="dxa"/>
            <w:shd w:val="clear" w:color="auto" w:fill="auto"/>
            <w:vAlign w:val="center"/>
          </w:tcPr>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宋体" w:hAnsi="宋体" w:eastAsia="宋体" w:cs="宋体"/>
                <w:b w:val="0"/>
                <w:bCs w:val="0"/>
                <w:sz w:val="24"/>
                <w:szCs w:val="24"/>
                <w:lang w:val="en-US" w:eastAsia="zh-CN" w:bidi="ar-SA"/>
              </w:rPr>
            </w:pPr>
            <w:r>
              <w:rPr>
                <w:rFonts w:hint="eastAsia"/>
                <w:b w:val="0"/>
                <w:bCs w:val="0"/>
                <w:lang w:val="en-US" w:eastAsia="zh-CN"/>
              </w:rPr>
              <w:t>国泰海通证券、财通证券、方正证券、长城财富保险资管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2286" w:type="dxa"/>
            <w:vAlign w:val="center"/>
          </w:tcPr>
          <w:p>
            <w:pPr>
              <w:jc w:val="center"/>
            </w:pPr>
            <w:r>
              <w:rPr>
                <w:rFonts w:hint="eastAsia"/>
              </w:rPr>
              <w:t>时间</w:t>
            </w:r>
          </w:p>
        </w:tc>
        <w:tc>
          <w:tcPr>
            <w:tcW w:w="5903" w:type="dxa"/>
            <w:shd w:val="clear" w:color="auto" w:fill="auto"/>
            <w:vAlign w:val="center"/>
          </w:tcPr>
          <w:p>
            <w:pPr>
              <w:ind w:left="0" w:leftChars="0" w:firstLine="480" w:firstLineChars="200"/>
              <w:jc w:val="both"/>
              <w:rPr>
                <w:rFonts w:hint="default" w:ascii="宋体" w:hAnsi="宋体" w:eastAsia="宋体" w:cs="宋体"/>
                <w:b w:val="0"/>
                <w:bCs w:val="0"/>
                <w:sz w:val="24"/>
                <w:szCs w:val="24"/>
                <w:lang w:val="en-US" w:eastAsia="zh-CN" w:bidi="ar-SA"/>
              </w:rPr>
            </w:pPr>
            <w:r>
              <w:rPr>
                <w:rFonts w:hint="eastAsia"/>
                <w:b w:val="0"/>
                <w:bCs w:val="0"/>
              </w:rPr>
              <w:t>202</w:t>
            </w:r>
            <w:r>
              <w:rPr>
                <w:rFonts w:hint="eastAsia"/>
                <w:b w:val="0"/>
                <w:bCs w:val="0"/>
                <w:lang w:val="en-US" w:eastAsia="zh-CN"/>
              </w:rPr>
              <w:t>5</w:t>
            </w:r>
            <w:r>
              <w:rPr>
                <w:rFonts w:hint="eastAsia"/>
                <w:b w:val="0"/>
                <w:bCs w:val="0"/>
              </w:rPr>
              <w:t>年</w:t>
            </w:r>
            <w:r>
              <w:rPr>
                <w:rFonts w:hint="eastAsia"/>
                <w:b w:val="0"/>
                <w:bCs w:val="0"/>
                <w:lang w:val="en-US" w:eastAsia="zh-CN"/>
              </w:rPr>
              <w:t>8</w:t>
            </w:r>
            <w:r>
              <w:rPr>
                <w:rFonts w:hint="eastAsia"/>
                <w:b w:val="0"/>
                <w:bCs w:val="0"/>
              </w:rPr>
              <w:t>月</w:t>
            </w:r>
            <w:r>
              <w:rPr>
                <w:rFonts w:hint="eastAsia"/>
                <w:b w:val="0"/>
                <w:bCs w:val="0"/>
                <w:lang w:val="en-US" w:eastAsia="zh-CN"/>
              </w:rPr>
              <w:t>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6" w:type="dxa"/>
            <w:vAlign w:val="center"/>
          </w:tcPr>
          <w:p>
            <w:pPr>
              <w:jc w:val="center"/>
            </w:pPr>
            <w:r>
              <w:rPr>
                <w:rFonts w:hint="eastAsia"/>
              </w:rPr>
              <w:t>上市公司接待人员</w:t>
            </w:r>
          </w:p>
          <w:p>
            <w:pPr>
              <w:jc w:val="center"/>
            </w:pPr>
            <w:r>
              <w:rPr>
                <w:rFonts w:hint="eastAsia"/>
              </w:rPr>
              <w:t>姓名</w:t>
            </w:r>
          </w:p>
        </w:tc>
        <w:tc>
          <w:tcPr>
            <w:tcW w:w="5903" w:type="dxa"/>
            <w:shd w:val="clear" w:color="auto" w:fill="auto"/>
            <w:vAlign w:val="top"/>
          </w:tcPr>
          <w:p>
            <w:pPr>
              <w:keepNext w:val="0"/>
              <w:keepLines w:val="0"/>
              <w:pageBreakBefore w:val="0"/>
              <w:widowControl/>
              <w:kinsoku/>
              <w:wordWrap/>
              <w:overflowPunct/>
              <w:topLinePunct w:val="0"/>
              <w:autoSpaceDE/>
              <w:autoSpaceDN/>
              <w:bidi w:val="0"/>
              <w:adjustRightInd/>
              <w:snapToGrid/>
              <w:ind w:left="0" w:leftChars="0" w:firstLine="480" w:firstLineChars="200"/>
              <w:jc w:val="left"/>
              <w:textAlignment w:val="auto"/>
              <w:rPr>
                <w:rFonts w:hint="eastAsia"/>
                <w:b w:val="0"/>
                <w:bCs w:val="0"/>
              </w:rPr>
            </w:pPr>
            <w:r>
              <w:rPr>
                <w:rFonts w:hint="eastAsia"/>
                <w:b w:val="0"/>
                <w:bCs w:val="0"/>
              </w:rPr>
              <w:t>董事/副总/董秘：张艳萍</w:t>
            </w: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宋体" w:hAnsi="宋体" w:eastAsia="宋体" w:cs="宋体"/>
                <w:b w:val="0"/>
                <w:bCs w:val="0"/>
                <w:sz w:val="24"/>
                <w:szCs w:val="24"/>
                <w:lang w:val="en-US" w:eastAsia="zh-CN" w:bidi="ar-SA"/>
              </w:rPr>
            </w:pPr>
            <w:r>
              <w:rPr>
                <w:rFonts w:hint="eastAsia"/>
                <w:b w:val="0"/>
                <w:bCs w:val="0"/>
                <w:lang w:val="en-US" w:eastAsia="zh-CN"/>
              </w:rPr>
              <w:t>投关总监：潘文韬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1" w:hRule="atLeast"/>
        </w:trPr>
        <w:tc>
          <w:tcPr>
            <w:tcW w:w="2286" w:type="dxa"/>
            <w:vAlign w:val="center"/>
          </w:tcPr>
          <w:p>
            <w:pPr>
              <w:jc w:val="center"/>
            </w:pPr>
          </w:p>
          <w:p>
            <w:pPr>
              <w:jc w:val="center"/>
            </w:pPr>
          </w:p>
          <w:p>
            <w:pPr>
              <w:jc w:val="center"/>
            </w:pPr>
          </w:p>
          <w:p>
            <w:pPr>
              <w:jc w:val="center"/>
            </w:pPr>
            <w:r>
              <w:rPr>
                <w:rFonts w:hint="eastAsia"/>
              </w:rPr>
              <w:t>投资者关系活动主要内容介绍</w:t>
            </w:r>
          </w:p>
        </w:tc>
        <w:tc>
          <w:tcPr>
            <w:tcW w:w="5903"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eastAsia="宋体"/>
                <w:b w:val="0"/>
                <w:bCs w:val="0"/>
                <w:lang w:val="en-US" w:eastAsia="zh-CN"/>
              </w:rPr>
            </w:pPr>
            <w:r>
              <w:rPr>
                <w:rFonts w:hint="eastAsia"/>
                <w:b w:val="0"/>
                <w:bCs w:val="0"/>
              </w:rPr>
              <w:t>Q：公司</w:t>
            </w:r>
            <w:r>
              <w:rPr>
                <w:rFonts w:hint="eastAsia"/>
                <w:b w:val="0"/>
                <w:bCs w:val="0"/>
                <w:lang w:val="en-US" w:eastAsia="zh-CN"/>
              </w:rPr>
              <w:t>业务布局情况</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sz w:val="24"/>
              </w:rPr>
            </w:pPr>
            <w:r>
              <w:rPr>
                <w:rFonts w:hint="eastAsia"/>
                <w:b w:val="0"/>
                <w:bCs w:val="0"/>
              </w:rPr>
              <w:t>A：</w:t>
            </w:r>
            <w:r>
              <w:rPr>
                <w:rFonts w:hint="eastAsia" w:ascii="Times New Roman" w:hAnsi="Times New Roman" w:eastAsia="宋体" w:cs="Times New Roman"/>
                <w:b w:val="0"/>
                <w:bCs w:val="0"/>
                <w:sz w:val="24"/>
              </w:rPr>
              <w:t>杭州柯林是一家立足于新型电力系统，专业从事电网数字化智能感知产品、储能系统及钙钛矿光伏组件的研发、生产和销售，并提供电力相关技术服务及综合解决方案的国家高新技术企业。</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Times New Roman" w:hAnsi="Times New Roman" w:eastAsia="宋体" w:cs="Times New Roman"/>
                <w:b w:val="0"/>
                <w:bCs w:val="0"/>
                <w:sz w:val="24"/>
              </w:rPr>
            </w:pPr>
            <w:r>
              <w:rPr>
                <w:rFonts w:hint="eastAsia" w:ascii="Times New Roman" w:hAnsi="Times New Roman" w:eastAsia="宋体" w:cs="Times New Roman"/>
                <w:b w:val="0"/>
                <w:bCs w:val="0"/>
                <w:sz w:val="24"/>
              </w:rPr>
              <w:t>在国家大力推进“双碳”目标和构建新型能源体系的战略背景下，公司积极把握新能源发展和电网智能化改造的大趋势，致力于打造成为“兼具新型能源发电、电网输配检测和电力荷储管理的领先企业”。在上述发展战略引领下，公司一方面继续巩固和强化在电力装备智能监测产品与服务领域的竞争优势，另一方面积极拓展储能及高性能钙钛矿光伏组件业务，布局新能源产业链，通过加快产品品类延伸，最终发展成为涵盖“源、网、荷、储”全链条的综合解决方案提供商，以响应国家“双碳”目标并推动绿色低碳转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b w:val="0"/>
                <w:bCs w:val="0"/>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eastAsia="宋体"/>
                <w:b w:val="0"/>
                <w:bCs w:val="0"/>
                <w:lang w:val="en-US" w:eastAsia="zh-CN"/>
              </w:rPr>
            </w:pPr>
            <w:r>
              <w:rPr>
                <w:rFonts w:hint="eastAsia"/>
                <w:b w:val="0"/>
                <w:bCs w:val="0"/>
                <w:lang w:val="en-US" w:eastAsia="zh-CN"/>
              </w:rPr>
              <w:t>Q：公司电网数智感知业务的新产品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b w:val="0"/>
                <w:bCs w:val="0"/>
              </w:rPr>
              <w:t>A：</w:t>
            </w:r>
            <w:r>
              <w:rPr>
                <w:rFonts w:hint="eastAsia"/>
                <w:b w:val="0"/>
                <w:bCs w:val="0"/>
                <w:lang w:val="en-US" w:eastAsia="zh-CN"/>
              </w:rPr>
              <w:t>公司自主研发的KLJC-02/51型激光声谱乙炔快速检测装置，此前已顺利完成研发及挂网试运行。该产品于2024年8月由中国电力企业联合会组织开展新产品鉴定，经中国科学院和中国工程院两位院士领衔共22位行业权威专家鉴定为：整体性能达到国际领先水平。2024年12月，该产品被评为国内首台/套产品，填补了国内外电力设备油中乙炔分钟级在线快速诊断领域的技术空白。</w:t>
            </w:r>
            <w:r>
              <w:rPr>
                <w:rFonts w:hint="eastAsia" w:ascii="宋体" w:hAnsi="宋体" w:eastAsia="宋体" w:cs="宋体"/>
                <w:b w:val="0"/>
                <w:bCs w:val="0"/>
                <w:sz w:val="24"/>
                <w:szCs w:val="24"/>
                <w:lang w:val="en-US" w:eastAsia="zh-CN" w:bidi="ar-SA"/>
              </w:rPr>
              <w:t>公司紧跟行业发展趋势，针对市场需求不断</w:t>
            </w:r>
            <w:r>
              <w:rPr>
                <w:rFonts w:hint="default" w:ascii="宋体" w:hAnsi="宋体" w:eastAsia="宋体" w:cs="宋体"/>
                <w:b w:val="0"/>
                <w:bCs w:val="0"/>
                <w:sz w:val="24"/>
                <w:szCs w:val="24"/>
                <w:lang w:val="en-US" w:eastAsia="zh-CN" w:bidi="ar-SA"/>
              </w:rPr>
              <w:t>推陈出新，产品迭代</w:t>
            </w:r>
            <w:r>
              <w:rPr>
                <w:rFonts w:hint="eastAsia" w:ascii="宋体" w:hAnsi="宋体" w:eastAsia="宋体" w:cs="宋体"/>
                <w:b w:val="0"/>
                <w:bCs w:val="0"/>
                <w:sz w:val="24"/>
                <w:szCs w:val="24"/>
                <w:lang w:val="en-US" w:eastAsia="zh-CN" w:bidi="ar-SA"/>
              </w:rPr>
              <w:t>，有效解决电气设备健康状态的痛点。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eastAsia="宋体"/>
                <w:b w:val="0"/>
                <w:bCs w:val="0"/>
                <w:lang w:val="en-US" w:eastAsia="zh-CN"/>
              </w:rPr>
            </w:pPr>
            <w:r>
              <w:rPr>
                <w:rFonts w:hint="eastAsia"/>
                <w:b w:val="0"/>
                <w:bCs w:val="0"/>
              </w:rPr>
              <w:t>Q：</w:t>
            </w:r>
            <w:r>
              <w:rPr>
                <w:rFonts w:hint="eastAsia"/>
                <w:b w:val="0"/>
                <w:bCs w:val="0"/>
                <w:lang w:val="en-US" w:eastAsia="zh-CN"/>
              </w:rPr>
              <w:t>公司储能业务情况</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val="0"/>
                <w:sz w:val="24"/>
                <w:szCs w:val="24"/>
                <w:highlight w:val="none"/>
              </w:rPr>
            </w:pPr>
            <w:r>
              <w:rPr>
                <w:rFonts w:hint="eastAsia"/>
                <w:b w:val="0"/>
                <w:bCs w:val="0"/>
              </w:rPr>
              <w:t>A：</w:t>
            </w:r>
            <w:r>
              <w:rPr>
                <w:rFonts w:hint="eastAsia" w:ascii="宋体" w:hAnsi="宋体" w:cs="宋体"/>
                <w:b w:val="0"/>
                <w:bCs w:val="0"/>
                <w:sz w:val="24"/>
                <w:highlight w:val="none"/>
                <w:lang w:val="en-US" w:eastAsia="zh-CN"/>
              </w:rPr>
              <w:t xml:space="preserve"> </w:t>
            </w:r>
            <w:r>
              <w:rPr>
                <w:rFonts w:hint="eastAsia" w:ascii="宋体" w:hAnsi="宋体" w:eastAsia="宋体" w:cs="宋体"/>
                <w:b w:val="0"/>
                <w:bCs w:val="0"/>
                <w:sz w:val="24"/>
                <w:szCs w:val="24"/>
                <w:highlight w:val="none"/>
                <w:lang w:val="en-US" w:eastAsia="zh-CN"/>
              </w:rPr>
              <w:t xml:space="preserve"> </w:t>
            </w:r>
            <w:r>
              <w:rPr>
                <w:rFonts w:ascii="宋体" w:hAnsi="宋体" w:eastAsia="宋体" w:cs="宋体"/>
                <w:b w:val="0"/>
                <w:bCs w:val="0"/>
                <w:sz w:val="24"/>
                <w:szCs w:val="24"/>
                <w:highlight w:val="none"/>
              </w:rPr>
              <w:t>在国家推动“双碳”目标和新型能源体系建设的背景下，公司坚持以电</w:t>
            </w:r>
            <w:r>
              <w:rPr>
                <w:rFonts w:hint="eastAsia" w:ascii="宋体" w:hAnsi="宋体" w:eastAsia="宋体" w:cs="宋体"/>
                <w:b w:val="0"/>
                <w:bCs w:val="0"/>
                <w:sz w:val="24"/>
                <w:szCs w:val="24"/>
                <w:highlight w:val="none"/>
                <w:lang w:val="en-US" w:eastAsia="zh-CN"/>
              </w:rPr>
              <w:t>网</w:t>
            </w:r>
            <w:r>
              <w:rPr>
                <w:rFonts w:ascii="宋体" w:hAnsi="宋体" w:eastAsia="宋体" w:cs="宋体"/>
                <w:b w:val="0"/>
                <w:bCs w:val="0"/>
                <w:sz w:val="24"/>
                <w:szCs w:val="24"/>
                <w:highlight w:val="none"/>
              </w:rPr>
              <w:t>数字化智能感知为核心主业，同时，积极把握“碳中和”与能源转型带来的机遇，布局储能业务</w:t>
            </w:r>
            <w:r>
              <w:rPr>
                <w:rFonts w:hint="eastAsia" w:ascii="宋体" w:hAnsi="宋体" w:eastAsia="宋体" w:cs="宋体"/>
                <w:b w:val="0"/>
                <w:bCs w:val="0"/>
                <w:sz w:val="24"/>
                <w:szCs w:val="24"/>
                <w:highlight w:val="none"/>
                <w:lang w:eastAsia="zh-CN"/>
              </w:rPr>
              <w:t>实现</w:t>
            </w:r>
            <w:r>
              <w:rPr>
                <w:rFonts w:ascii="宋体" w:hAnsi="宋体" w:eastAsia="宋体" w:cs="宋体"/>
                <w:b w:val="0"/>
                <w:bCs w:val="0"/>
                <w:sz w:val="24"/>
                <w:szCs w:val="24"/>
                <w:highlight w:val="none"/>
              </w:rPr>
              <w:t>产品体系向新能源产业链延伸。</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b w:val="0"/>
                <w:bCs w:val="0"/>
                <w:lang w:val="en-US" w:eastAsia="zh-CN"/>
              </w:rPr>
            </w:pPr>
            <w:r>
              <w:rPr>
                <w:rFonts w:hint="eastAsia" w:ascii="宋体" w:hAnsi="宋体" w:eastAsia="宋体" w:cs="宋体"/>
                <w:b w:val="0"/>
                <w:bCs w:val="0"/>
                <w:sz w:val="24"/>
                <w:szCs w:val="24"/>
                <w:highlight w:val="none"/>
                <w:lang w:val="en-US" w:eastAsia="zh-CN"/>
              </w:rPr>
              <w:t>公司自2022年起开展储能系统产品研发工作，不断投入研发费用并积了二十余项储能相关专利，</w:t>
            </w:r>
            <w:r>
              <w:rPr>
                <w:rFonts w:hint="eastAsia"/>
                <w:b w:val="0"/>
                <w:bCs w:val="0"/>
                <w:lang w:val="en-US" w:eastAsia="zh-CN"/>
              </w:rPr>
              <w:t>公司于去年自建完成位于浙江省钱塘区的100兆瓦时电网侧储能电站，且成功交付给客户620兆瓦时的储能系统订单，凭借过往突出的项目交付效率与经验，公司有望进一步做大储能业务。</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b w:val="0"/>
                <w:bCs w:val="0"/>
                <w:lang w:val="en-US" w:eastAsia="zh-CN"/>
              </w:rPr>
            </w:pPr>
            <w:r>
              <w:rPr>
                <w:rFonts w:hint="eastAsia"/>
                <w:b w:val="0"/>
                <w:bCs w:val="0"/>
              </w:rPr>
              <w:t>Q：公司</w:t>
            </w:r>
            <w:r>
              <w:rPr>
                <w:rFonts w:hint="eastAsia"/>
                <w:b w:val="0"/>
                <w:bCs w:val="0"/>
                <w:lang w:val="en-US" w:eastAsia="zh-CN"/>
              </w:rPr>
              <w:t>钙钛矿光伏情况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eastAsia="宋体"/>
                <w:b w:val="0"/>
                <w:bCs w:val="0"/>
                <w:lang w:val="en-US" w:eastAsia="zh-CN"/>
              </w:rPr>
            </w:pPr>
            <w:r>
              <w:rPr>
                <w:rFonts w:hint="default" w:eastAsia="宋体"/>
                <w:b w:val="0"/>
                <w:bCs w:val="0"/>
                <w:lang w:val="en-US" w:eastAsia="zh-CN"/>
              </w:rPr>
              <w:t>A：公司钙钛矿大面积组件的光电转换效率已达到行业先进水平，并已顺利通过德国TÜV的IEC61215、61730全套序列测试认证，具备量产供货能力。</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eastAsia="宋体"/>
                <w:b w:val="0"/>
                <w:bCs w:val="0"/>
                <w:lang w:val="en-US" w:eastAsia="zh-CN"/>
              </w:rPr>
            </w:pPr>
            <w:r>
              <w:rPr>
                <w:rFonts w:hint="default" w:eastAsia="宋体"/>
                <w:b w:val="0"/>
                <w:bCs w:val="0"/>
                <w:lang w:val="en-US" w:eastAsia="zh-CN"/>
              </w:rPr>
              <w:t xml:space="preserve"> </w:t>
            </w:r>
            <w:r>
              <w:rPr>
                <w:rFonts w:hint="eastAsia" w:ascii="Times New Roman" w:hAnsi="Times New Roman" w:eastAsia="宋体" w:cs="Times New Roman"/>
                <w:b w:val="0"/>
                <w:bCs w:val="0"/>
                <w:sz w:val="24"/>
              </w:rPr>
              <w:t>公司不仅成功推进了100MW级</w:t>
            </w:r>
            <w:r>
              <w:rPr>
                <w:rFonts w:hint="eastAsia" w:ascii="Times New Roman" w:hAnsi="Times New Roman" w:cs="Times New Roman"/>
                <w:b w:val="0"/>
                <w:bCs w:val="0"/>
                <w:sz w:val="24"/>
                <w:lang w:val="en-US" w:eastAsia="zh-CN"/>
              </w:rPr>
              <w:t>产线</w:t>
            </w:r>
            <w:r>
              <w:rPr>
                <w:rFonts w:hint="eastAsia" w:ascii="Times New Roman" w:hAnsi="Times New Roman" w:eastAsia="宋体" w:cs="Times New Roman"/>
                <w:b w:val="0"/>
                <w:bCs w:val="0"/>
                <w:sz w:val="24"/>
              </w:rPr>
              <w:t>的产业化，</w:t>
            </w:r>
            <w:r>
              <w:rPr>
                <w:rFonts w:hint="eastAsia" w:ascii="Times New Roman" w:hAnsi="Times New Roman" w:cs="Times New Roman"/>
                <w:b w:val="0"/>
                <w:bCs w:val="0"/>
                <w:sz w:val="24"/>
                <w:lang w:val="en-US" w:eastAsia="zh-CN"/>
              </w:rPr>
              <w:t>并且已经在多个</w:t>
            </w:r>
            <w:r>
              <w:rPr>
                <w:rFonts w:hint="eastAsia" w:ascii="Times New Roman" w:hAnsi="Times New Roman" w:eastAsia="宋体" w:cs="Times New Roman"/>
                <w:b w:val="0"/>
                <w:bCs w:val="0"/>
                <w:sz w:val="24"/>
              </w:rPr>
              <w:t>应用场景中实现了商业</w:t>
            </w:r>
            <w:r>
              <w:rPr>
                <w:rFonts w:hint="eastAsia" w:ascii="Times New Roman" w:hAnsi="Times New Roman" w:cs="Times New Roman"/>
                <w:b w:val="0"/>
                <w:bCs w:val="0"/>
                <w:sz w:val="24"/>
                <w:lang w:val="en-US" w:eastAsia="zh-CN"/>
              </w:rPr>
              <w:t>化</w:t>
            </w:r>
            <w:r>
              <w:rPr>
                <w:rFonts w:hint="eastAsia" w:ascii="Times New Roman" w:hAnsi="Times New Roman" w:eastAsia="宋体" w:cs="Times New Roman"/>
                <w:b w:val="0"/>
                <w:bCs w:val="0"/>
                <w:sz w:val="24"/>
              </w:rPr>
              <w:t>订单落地。</w:t>
            </w:r>
            <w:r>
              <w:rPr>
                <w:rFonts w:hint="default" w:eastAsia="宋体"/>
                <w:b w:val="0"/>
                <w:bCs w:val="0"/>
                <w:lang w:val="en-US" w:eastAsia="zh-CN"/>
              </w:rPr>
              <w:t>公司持续加大研发力度，钙钛矿/晶硅叠层小面积组件经TÜV认证最高效率达32%以上，高透光发电玻璃、定制柔性钙钛矿组件等各类新场景、新规格定制产品的研制、量产或推广示范应用均在顺利推进。</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eastAsia="宋体"/>
                <w:b w:val="0"/>
                <w:bCs w:val="0"/>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eastAsia="宋体"/>
                <w:b w:val="0"/>
                <w:bCs w:val="0"/>
                <w:lang w:val="en-US" w:eastAsia="zh-CN"/>
              </w:rPr>
            </w:pPr>
            <w:r>
              <w:rPr>
                <w:rFonts w:hint="eastAsia"/>
                <w:b w:val="0"/>
                <w:bCs w:val="0"/>
              </w:rPr>
              <w:t>Q：公司六维力传感器</w:t>
            </w:r>
            <w:r>
              <w:rPr>
                <w:rFonts w:hint="eastAsia"/>
                <w:b w:val="0"/>
                <w:bCs w:val="0"/>
                <w:lang w:val="en-US" w:eastAsia="zh-CN"/>
              </w:rPr>
              <w:t>的量产能力与客户对接进展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b w:val="0"/>
                <w:bCs w:val="0"/>
                <w:lang w:val="en-US" w:eastAsia="zh-CN"/>
              </w:rPr>
            </w:pPr>
            <w:r>
              <w:rPr>
                <w:rFonts w:hint="eastAsia"/>
                <w:b w:val="0"/>
                <w:bCs w:val="0"/>
              </w:rPr>
              <w:t>A：</w:t>
            </w:r>
            <w:r>
              <w:rPr>
                <w:rFonts w:hint="eastAsia"/>
                <w:b w:val="0"/>
                <w:bCs w:val="0"/>
                <w:lang w:val="en-US" w:eastAsia="zh-CN"/>
              </w:rPr>
              <w:t>公司在六维力传感器的解耦算法、多维数据处理能力和微弱信号采集等软件算法匹配层面，具有丰富的人才与技术储备。公司凭借十多年传感器研发及应用的核心优势，已成功研发多款六维力传感器产品，并于近期完成了产品疲劳度内测，其灵敏度和精度及一致性等关键参数的测试结果符合设定预期。公司于现阶段已经为六维力传感器产品的量产做好了较充足的技术准备，其中金属应变片的自动化贴片工艺目前有较显著的进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b w:val="0"/>
                <w:bCs w:val="0"/>
                <w:sz w:val="24"/>
                <w:szCs w:val="24"/>
                <w:lang w:val="en-US" w:eastAsia="zh-CN" w:bidi="ar-SA"/>
              </w:rPr>
            </w:pPr>
            <w:r>
              <w:rPr>
                <w:rFonts w:hint="eastAsia"/>
                <w:b w:val="0"/>
                <w:bCs w:val="0"/>
                <w:lang w:val="en-US" w:eastAsia="zh-CN"/>
              </w:rPr>
              <w:t>在下游客户对接方面，公司近期正稳步推进多家头部目标客户的适配送样，以期积极融入头部客户的供应链生态圈。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6" w:type="dxa"/>
          </w:tcPr>
          <w:p/>
          <w:p>
            <w:pPr>
              <w:jc w:val="center"/>
            </w:pPr>
            <w:r>
              <w:rPr>
                <w:rFonts w:hint="eastAsia"/>
              </w:rPr>
              <w:t>附件清单（如有）</w:t>
            </w:r>
          </w:p>
          <w:p/>
        </w:tc>
        <w:tc>
          <w:tcPr>
            <w:tcW w:w="5903" w:type="dxa"/>
            <w:vAlign w:val="top"/>
          </w:tcPr>
          <w:p>
            <w:pPr>
              <w:jc w:val="left"/>
              <w:rPr>
                <w:b w:val="0"/>
                <w:bCs w:val="0"/>
              </w:rPr>
            </w:pP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eastAsia="宋体"/>
                <w:b w:val="0"/>
                <w:bCs w:val="0"/>
                <w:lang w:eastAsia="zh-CN"/>
              </w:rPr>
            </w:pPr>
            <w:r>
              <w:rPr>
                <w:rFonts w:hint="eastAsia"/>
                <w:b w:val="0"/>
                <w:bCs w:val="0"/>
              </w:rPr>
              <w:t>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2521C"/>
    <w:rsid w:val="0C127239"/>
    <w:rsid w:val="0C617718"/>
    <w:rsid w:val="12E143DD"/>
    <w:rsid w:val="196551DD"/>
    <w:rsid w:val="1A915A23"/>
    <w:rsid w:val="3CC2521C"/>
    <w:rsid w:val="41274777"/>
    <w:rsid w:val="467957E9"/>
    <w:rsid w:val="4E09538B"/>
    <w:rsid w:val="5116025C"/>
    <w:rsid w:val="5A0B696B"/>
    <w:rsid w:val="5DC75803"/>
    <w:rsid w:val="5FC123DD"/>
    <w:rsid w:val="6F843D4F"/>
    <w:rsid w:val="6FE765C8"/>
    <w:rsid w:val="78F11522"/>
    <w:rsid w:val="7C4D4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宋体" w:hAnsi="宋体" w:eastAsia="宋体" w:cs="宋体"/>
      <w:b/>
      <w:bCs/>
      <w:sz w:val="24"/>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1252</Words>
  <Characters>1315</Characters>
  <Lines>0</Lines>
  <Paragraphs>0</Paragraphs>
  <TotalTime>0</TotalTime>
  <ScaleCrop>false</ScaleCrop>
  <LinksUpToDate>false</LinksUpToDate>
  <CharactersWithSpaces>1356</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2025-07-16T08:13:00Z</dcterms:created>
  <dc:creator>梨呀</dc:creator>
  <cp:lastModifiedBy>meepo</cp:lastModifiedBy>
  <dcterms:modified xsi:type="dcterms:W3CDTF">2025-08-05T12:48:35Z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F48FC6924161454FA8CFB712AE6D176A_11</vt:lpwstr>
  </property>
  <property fmtid="{D5CDD505-2E9C-101B-9397-08002B2CF9AE}" pid="4" name="KSOTemplateDocerSaveRecord">
    <vt:lpwstr>eyJoZGlkIjoiZTI0ZGVhZjgwMjRjNzQ0Nzc5ZTA2NTQxNDI1M2I4MDUiLCJ1c2VySWQiOiI4ODA1OTczODAifQ==</vt:lpwstr>
  </property>
</Properties>
</file>