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4EDD7">
      <w:pPr>
        <w:pStyle w:val="2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证券代码：603528                                           证券简称：多伦科技</w:t>
      </w:r>
    </w:p>
    <w:p w14:paraId="68F12238">
      <w:pPr>
        <w:spacing w:before="240"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多伦科技股份有限公司</w:t>
      </w:r>
    </w:p>
    <w:p w14:paraId="7B6E0B83">
      <w:pPr>
        <w:spacing w:line="36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投资者关系活动记录表</w:t>
      </w:r>
    </w:p>
    <w:p w14:paraId="1B5448C8">
      <w:pPr>
        <w:spacing w:before="51" w:after="32"/>
        <w:ind w:right="119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编号：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20250810001</w:t>
      </w:r>
    </w:p>
    <w:tbl>
      <w:tblPr>
        <w:tblStyle w:val="9"/>
        <w:tblW w:w="92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2580"/>
        <w:gridCol w:w="6715"/>
      </w:tblGrid>
      <w:tr w14:paraId="6425A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2580" w:type="dxa"/>
            <w:vAlign w:val="center"/>
          </w:tcPr>
          <w:p w14:paraId="7F6F421A">
            <w:pPr>
              <w:pStyle w:val="12"/>
              <w:spacing w:before="1" w:line="276" w:lineRule="auto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投资者关系活动类别</w:t>
            </w:r>
          </w:p>
        </w:tc>
        <w:tc>
          <w:tcPr>
            <w:tcW w:w="6715" w:type="dxa"/>
          </w:tcPr>
          <w:p w14:paraId="4EA9A187">
            <w:pPr>
              <w:pStyle w:val="12"/>
              <w:tabs>
                <w:tab w:val="left" w:pos="2418"/>
              </w:tabs>
              <w:spacing w:before="1" w:line="360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 w:val="21"/>
                  <w:szCs w:val="21"/>
                </w:rPr>
                <w:id w:val="249780449"/>
              </w:sdtPr>
              <w:sdtEndPr>
                <w:rPr>
                  <w:rFonts w:hint="eastAsia" w:ascii="宋体" w:hAnsi="宋体" w:eastAsia="宋体" w:cs="宋体"/>
                  <w:sz w:val="21"/>
                  <w:szCs w:val="21"/>
                </w:rPr>
              </w:sdtEndPr>
              <w:sdtContent>
                <w:sdt>
                  <w:sdt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id w:val="878549941"/>
                  </w:sdtPr>
                  <w:sdtEnd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sdtEndPr>
                  <w:sdtContent>
                    <w:r>
                      <w:rPr>
                        <w:rFonts w:hint="eastAsia" w:ascii="MS Gothic" w:hAnsi="MS Gothic" w:eastAsia="MS Gothic" w:cs="宋体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特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调研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1"/>
                  <w:szCs w:val="21"/>
                </w:rPr>
                <w:id w:val="-416875725"/>
              </w:sdtPr>
              <w:sdtEndPr>
                <w:rPr>
                  <w:rFonts w:hint="eastAsia" w:ascii="宋体" w:hAnsi="宋体" w:eastAsia="宋体" w:cs="宋体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师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议</w:t>
            </w:r>
          </w:p>
          <w:p w14:paraId="3DDA846B">
            <w:pPr>
              <w:pStyle w:val="12"/>
              <w:tabs>
                <w:tab w:val="left" w:pos="2418"/>
              </w:tabs>
              <w:spacing w:line="360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 w:val="21"/>
                  <w:szCs w:val="21"/>
                </w:rPr>
                <w:id w:val="1206906014"/>
              </w:sdtPr>
              <w:sdtEndPr>
                <w:rPr>
                  <w:rFonts w:hint="eastAsia" w:ascii="宋体" w:hAnsi="宋体" w:eastAsia="宋体" w:cs="宋体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媒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采访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1"/>
                  <w:szCs w:val="21"/>
                </w:rPr>
                <w:id w:val="-66658901"/>
              </w:sdtPr>
              <w:sdtEndPr>
                <w:rPr>
                  <w:rFonts w:hint="default" w:ascii="仿宋" w:hAnsi="仿宋" w:eastAsia="仿宋" w:cs="仿宋"/>
                  <w:sz w:val="21"/>
                  <w:szCs w:val="21"/>
                </w:rPr>
              </w:sdtEndPr>
              <w:sdtContent>
                <w:sdt>
                  <w:sdt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id w:val="878549940"/>
                  </w:sdtPr>
                  <w:sdtEnd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sdtEndPr>
                  <w:sdtContent>
                    <w:r>
                      <w:rPr>
                        <w:rFonts w:hint="eastAsia" w:ascii="MS Gothic" w:hAnsi="MS Gothic" w:eastAsia="MS Gothic" w:cs="宋体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说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会</w:t>
            </w:r>
          </w:p>
          <w:p w14:paraId="2AAAC64C">
            <w:pPr>
              <w:pStyle w:val="12"/>
              <w:tabs>
                <w:tab w:val="left" w:pos="2418"/>
              </w:tabs>
              <w:spacing w:line="360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 w:val="21"/>
                  <w:szCs w:val="21"/>
                </w:rPr>
                <w:id w:val="-1848167434"/>
              </w:sdtPr>
              <w:sdtEndPr>
                <w:rPr>
                  <w:rFonts w:hint="eastAsia" w:ascii="宋体" w:hAnsi="宋体" w:eastAsia="宋体" w:cs="宋体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新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路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  <w:p w14:paraId="338B6C15">
            <w:pPr>
              <w:pStyle w:val="12"/>
              <w:spacing w:line="360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 w:val="21"/>
                  <w:szCs w:val="21"/>
                </w:rPr>
                <w:id w:val="-1333366911"/>
              </w:sdtPr>
              <w:sdtEndPr>
                <w:rPr>
                  <w:rFonts w:hint="eastAsia" w:ascii="宋体" w:hAnsi="宋体" w:eastAsia="宋体" w:cs="宋体"/>
                  <w:sz w:val="21"/>
                  <w:szCs w:val="21"/>
                </w:rPr>
              </w:sdtEndPr>
              <w:sdtContent>
                <w:sdt>
                  <w:sdt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id w:val="878549939"/>
                  </w:sdtPr>
                  <w:sdtEnd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sdtEndPr>
                  <w:sdtContent>
                    <w:r>
                      <w:rPr>
                        <w:rFonts w:hint="eastAsia" w:ascii="MS Mincho" w:hAnsi="MS Mincho" w:eastAsia="MS Mincho" w:cs="MS Mincho"/>
                        <w:sz w:val="21"/>
                        <w:szCs w:val="21"/>
                      </w:rPr>
                      <w:t>☑</w:t>
                    </w:r>
                  </w:sdtContent>
                </w:sdt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现场参观            </w:t>
            </w:r>
            <w:sdt>
              <w:sdtPr>
                <w:rPr>
                  <w:rFonts w:hint="eastAsia" w:ascii="宋体" w:hAnsi="宋体" w:eastAsia="宋体" w:cs="宋体"/>
                  <w:sz w:val="21"/>
                  <w:szCs w:val="21"/>
                </w:rPr>
                <w:id w:val="400885218"/>
              </w:sdtPr>
              <w:sdtEndPr>
                <w:rPr>
                  <w:rFonts w:hint="eastAsia" w:ascii="MS Mincho" w:hAnsi="MS Mincho" w:eastAsia="MS Mincho" w:cs="MS Mincho"/>
                  <w:sz w:val="21"/>
                  <w:szCs w:val="21"/>
                </w:rPr>
              </w:sdtEndPr>
              <w:sdtContent>
                <w:r>
                  <w:rPr>
                    <w:rFonts w:hint="eastAsia" w:ascii="MS Mincho" w:hAnsi="MS Mincho" w:eastAsia="MS Mincho" w:cs="MS Mincho"/>
                    <w:sz w:val="21"/>
                    <w:szCs w:val="21"/>
                  </w:rPr>
                  <w:t>☑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其他（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电话会议）</w:t>
            </w:r>
          </w:p>
        </w:tc>
      </w:tr>
      <w:tr w14:paraId="49924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2580" w:type="dxa"/>
            <w:vAlign w:val="center"/>
          </w:tcPr>
          <w:p w14:paraId="27202F4D">
            <w:pPr>
              <w:pStyle w:val="12"/>
              <w:spacing w:line="276" w:lineRule="auto"/>
              <w:ind w:right="96"/>
              <w:jc w:val="both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参与单位名称及人员姓名</w:t>
            </w:r>
          </w:p>
        </w:tc>
        <w:tc>
          <w:tcPr>
            <w:tcW w:w="6715" w:type="dxa"/>
            <w:vAlign w:val="center"/>
          </w:tcPr>
          <w:p w14:paraId="5B9920BD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电话会议：</w:t>
            </w:r>
            <w:r>
              <w:rPr>
                <w:rFonts w:ascii="宋体" w:hAnsi="宋体" w:eastAsia="宋体"/>
                <w:sz w:val="21"/>
                <w:szCs w:val="21"/>
              </w:rPr>
              <w:t>华宝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基金</w:t>
            </w:r>
            <w:r>
              <w:rPr>
                <w:rFonts w:ascii="宋体" w:hAnsi="宋体" w:eastAsia="宋体"/>
                <w:sz w:val="21"/>
                <w:szCs w:val="21"/>
              </w:rPr>
              <w:t>谭行悦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宝盈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基金</w:t>
            </w:r>
            <w:r>
              <w:rPr>
                <w:rFonts w:ascii="宋体" w:hAnsi="宋体" w:eastAsia="宋体"/>
                <w:sz w:val="21"/>
                <w:szCs w:val="21"/>
              </w:rPr>
              <w:t>徐也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陆嘉敏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华富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基金</w:t>
            </w:r>
            <w:r>
              <w:rPr>
                <w:rFonts w:ascii="宋体" w:hAnsi="宋体" w:eastAsia="宋体"/>
                <w:sz w:val="21"/>
                <w:szCs w:val="21"/>
              </w:rPr>
              <w:t>翟伟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邬熙哲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太平养老张浩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长信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基金</w:t>
            </w:r>
            <w:r>
              <w:rPr>
                <w:rFonts w:ascii="宋体" w:hAnsi="宋体" w:eastAsia="宋体"/>
                <w:sz w:val="21"/>
                <w:szCs w:val="21"/>
              </w:rPr>
              <w:t>张政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中邮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基金</w:t>
            </w:r>
            <w:r>
              <w:rPr>
                <w:rFonts w:ascii="宋体" w:hAnsi="宋体" w:eastAsia="宋体"/>
                <w:sz w:val="21"/>
                <w:szCs w:val="21"/>
              </w:rPr>
              <w:t>张子璇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，山西证券</w:t>
            </w:r>
            <w:r>
              <w:rPr>
                <w:rFonts w:ascii="宋体" w:hAnsi="宋体" w:eastAsia="宋体"/>
                <w:sz w:val="21"/>
                <w:szCs w:val="21"/>
              </w:rPr>
              <w:t>贾国琛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刘斌</w:t>
            </w:r>
          </w:p>
          <w:p w14:paraId="3AE49C48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现场参观：国联民生陈安宇、</w:t>
            </w:r>
            <w:r>
              <w:rPr>
                <w:rFonts w:ascii="宋体" w:hAnsi="宋体" w:eastAsia="宋体"/>
                <w:sz w:val="21"/>
                <w:szCs w:val="21"/>
              </w:rPr>
              <w:t>上市行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赵秋红、李丹，</w:t>
            </w:r>
            <w:r>
              <w:rPr>
                <w:rFonts w:ascii="宋体" w:hAnsi="宋体" w:eastAsia="宋体"/>
                <w:sz w:val="21"/>
                <w:szCs w:val="21"/>
              </w:rPr>
              <w:t>天瑞万合私募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王钱维，</w:t>
            </w:r>
            <w:r>
              <w:rPr>
                <w:rFonts w:ascii="宋体" w:hAnsi="宋体" w:eastAsia="宋体"/>
                <w:sz w:val="21"/>
                <w:szCs w:val="21"/>
              </w:rPr>
              <w:t>卡比尔基金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汤志伟，</w:t>
            </w:r>
            <w:r>
              <w:rPr>
                <w:rFonts w:ascii="宋体" w:hAnsi="宋体" w:eastAsia="宋体"/>
                <w:sz w:val="21"/>
                <w:szCs w:val="21"/>
              </w:rPr>
              <w:t>陆和投资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陈雅婷，</w:t>
            </w:r>
            <w:r>
              <w:rPr>
                <w:rFonts w:ascii="宋体" w:hAnsi="宋体" w:eastAsia="宋体"/>
                <w:sz w:val="21"/>
                <w:szCs w:val="21"/>
              </w:rPr>
              <w:t>尚颀投资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宋明，</w:t>
            </w:r>
            <w:r>
              <w:rPr>
                <w:rFonts w:ascii="宋体" w:hAnsi="宋体" w:eastAsia="宋体"/>
                <w:sz w:val="21"/>
                <w:szCs w:val="21"/>
              </w:rPr>
              <w:t>国科龙晖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姜俊峰，</w:t>
            </w:r>
            <w:r>
              <w:rPr>
                <w:rFonts w:ascii="宋体" w:hAnsi="宋体" w:eastAsia="宋体"/>
                <w:sz w:val="21"/>
                <w:szCs w:val="21"/>
              </w:rPr>
              <w:t>附加值投资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段匡哲，</w:t>
            </w:r>
            <w:r>
              <w:rPr>
                <w:rFonts w:ascii="宋体" w:hAnsi="宋体" w:eastAsia="宋体"/>
                <w:sz w:val="21"/>
                <w:szCs w:val="21"/>
              </w:rPr>
              <w:t>东方财富证券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张吉，</w:t>
            </w:r>
            <w:r>
              <w:rPr>
                <w:rFonts w:ascii="宋体" w:hAnsi="宋体" w:eastAsia="宋体"/>
                <w:sz w:val="21"/>
                <w:szCs w:val="21"/>
              </w:rPr>
              <w:t>东北证券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唐凯，华泰证券王海寒，</w:t>
            </w:r>
            <w:r>
              <w:rPr>
                <w:rFonts w:ascii="宋体" w:hAnsi="宋体" w:eastAsia="宋体"/>
                <w:sz w:val="21"/>
                <w:szCs w:val="21"/>
              </w:rPr>
              <w:t>财联社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徐笑言</w:t>
            </w:r>
          </w:p>
          <w:p w14:paraId="56491DF2">
            <w:pPr>
              <w:spacing w:line="36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反路演活动：国寿安保基金余舒嘉铭、国联民生郭新宇</w:t>
            </w:r>
          </w:p>
        </w:tc>
      </w:tr>
      <w:tr w14:paraId="57D24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5F75B0E8">
            <w:pPr>
              <w:pStyle w:val="12"/>
              <w:spacing w:line="276" w:lineRule="auto"/>
              <w:jc w:val="both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6715" w:type="dxa"/>
            <w:vAlign w:val="center"/>
          </w:tcPr>
          <w:p w14:paraId="6308FE30">
            <w:pPr>
              <w:spacing w:line="300" w:lineRule="auto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2025年07月28日至2025年08月08日 </w:t>
            </w:r>
          </w:p>
        </w:tc>
      </w:tr>
      <w:tr w14:paraId="30331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580" w:type="dxa"/>
            <w:vAlign w:val="center"/>
          </w:tcPr>
          <w:p w14:paraId="3D49A3D2">
            <w:pPr>
              <w:pStyle w:val="12"/>
              <w:spacing w:line="276" w:lineRule="auto"/>
              <w:jc w:val="both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6715" w:type="dxa"/>
            <w:vAlign w:val="center"/>
          </w:tcPr>
          <w:p w14:paraId="66093FFF">
            <w:pPr>
              <w:pStyle w:val="12"/>
              <w:spacing w:line="300" w:lineRule="auto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电话会议、现场参观：多伦科技公司总部</w:t>
            </w:r>
          </w:p>
          <w:p w14:paraId="2F8DC60A">
            <w:pPr>
              <w:pStyle w:val="12"/>
              <w:spacing w:line="30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路演活动：上海</w:t>
            </w:r>
          </w:p>
        </w:tc>
      </w:tr>
      <w:tr w14:paraId="377A7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2DC8F4E0">
            <w:pPr>
              <w:pStyle w:val="12"/>
              <w:spacing w:before="1" w:line="276" w:lineRule="auto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上市公司接待人员姓名</w:t>
            </w:r>
          </w:p>
        </w:tc>
        <w:tc>
          <w:tcPr>
            <w:tcW w:w="6715" w:type="dxa"/>
            <w:vAlign w:val="center"/>
          </w:tcPr>
          <w:p w14:paraId="2018E4C1">
            <w:pPr>
              <w:pStyle w:val="12"/>
              <w:spacing w:line="30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副总经理、董事会秘书 阮蔚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、证券事务代表 钱晓娟</w:t>
            </w:r>
          </w:p>
        </w:tc>
      </w:tr>
      <w:tr w14:paraId="5C01C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2580" w:type="dxa"/>
          </w:tcPr>
          <w:p w14:paraId="1CD9EFF9">
            <w:pPr>
              <w:pStyle w:val="12"/>
              <w:spacing w:line="276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631582A">
            <w:pPr>
              <w:pStyle w:val="12"/>
              <w:spacing w:line="276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78741A4">
            <w:pPr>
              <w:pStyle w:val="12"/>
              <w:spacing w:line="276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9F14638">
            <w:pPr>
              <w:pStyle w:val="12"/>
              <w:spacing w:line="276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51654AA">
            <w:pPr>
              <w:pStyle w:val="12"/>
              <w:spacing w:line="276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84D4668">
            <w:pPr>
              <w:pStyle w:val="12"/>
              <w:spacing w:line="276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67B7150">
            <w:pPr>
              <w:pStyle w:val="12"/>
              <w:spacing w:line="276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3D98CF6">
            <w:pPr>
              <w:pStyle w:val="12"/>
              <w:spacing w:line="276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0C2DDB1">
            <w:pPr>
              <w:pStyle w:val="12"/>
              <w:spacing w:line="276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5802B701">
            <w:pPr>
              <w:pStyle w:val="12"/>
              <w:spacing w:line="276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22BBE2F">
            <w:pPr>
              <w:pStyle w:val="12"/>
              <w:spacing w:before="5" w:line="276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106BED6">
            <w:pPr>
              <w:pStyle w:val="12"/>
              <w:spacing w:before="1" w:line="276" w:lineRule="auto"/>
              <w:ind w:left="107" w:right="96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投资者关系活动主要内容介绍</w:t>
            </w:r>
          </w:p>
        </w:tc>
        <w:tc>
          <w:tcPr>
            <w:tcW w:w="6715" w:type="dxa"/>
          </w:tcPr>
          <w:p w14:paraId="48A54AE8">
            <w:pPr>
              <w:pStyle w:val="12"/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Q&amp;A</w:t>
            </w:r>
          </w:p>
          <w:p w14:paraId="793D0E34">
            <w:pPr>
              <w:spacing w:line="360" w:lineRule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问：请问公司为何选择在这个时期投资人形机器人行业？</w:t>
            </w:r>
          </w:p>
          <w:p w14:paraId="301EC1A2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答：公司近年来不断拓展业务边界，将战略目光聚焦于具有广阔前景的新兴产业。人形机器人产业近两年发展势头迅猛，技术与智能化水平持续提升，应用场景日益丰富，产业升级进程不断加快，市场空间有望在接下来几年迎来爆发拐式增长。公司希望通过投资活动，提高在驾驶、道路安全、交管等领域进行人形机器人二次开发及整机代工能力，同时与旗下参股公司北云科技</w:t>
            </w:r>
            <w:r>
              <w:rPr>
                <w:rFonts w:ascii="宋体" w:hAnsi="宋体" w:eastAsia="宋体"/>
                <w:sz w:val="21"/>
                <w:szCs w:val="21"/>
              </w:rPr>
              <w:t>IMU业务形成互补，完善公司在人形机器人领域布局闭环。</w:t>
            </w:r>
            <w:bookmarkStart w:id="0" w:name="_GoBack"/>
            <w:bookmarkEnd w:id="0"/>
          </w:p>
          <w:p w14:paraId="495C1A8B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  <w:p w14:paraId="45A62F0E">
            <w:pPr>
              <w:spacing w:line="360" w:lineRule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问：目前人形机器人相关公司较多，且均未有绝对拉开差距，请问为何投资深圳市众擎机器人科技有限公司，可否介绍一下公司背景以及研发团队的技术情况</w:t>
            </w:r>
          </w:p>
          <w:p w14:paraId="2605B3B2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答：众擎机器人是一家在人形机器人领域快速成长的企业，在技术实力和商业化进程上均处于行业较为领先的地位，在核心技术上，众擎通过全栈自研的方式，构建了从硬件、核心零部件再到算法的全链路技术壁垒，具身智能技术路线清晰，在全身运动控制、硬件稳定性等关键领域已形成清晰的技术优势，技术根基扎实。众擎核心团队来自中国第一批腿足式机器人研究与产业落地团队，研发经验丰富，具备从核心零部件到整机控制的全流程自主研发能力，其在人形机器人步态控制、动态平衡、智能算法、硬件设计等领域的技术优势非常适用大交通领域的应用场景。</w:t>
            </w:r>
          </w:p>
          <w:p w14:paraId="0CD52590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  <w:p w14:paraId="1266FA3A">
            <w:pPr>
              <w:spacing w:line="360" w:lineRule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问：请问公司投资人形机器人产业的后期规划是怎样的？</w:t>
            </w:r>
          </w:p>
          <w:p w14:paraId="698F41BC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答：公司将进一步完善智能科技领域战略布局，深入挖掘机器人整机在大交通领域的应用潜力，推动技术与业务的深度融合。在机器人产业迎来爆发式增长的机遇期，多伦科技将通过生态构建与技术协同，提升公司整体抗风险能力和盈利能力，为可持续发展开辟新的增长路径。</w:t>
            </w:r>
          </w:p>
          <w:p w14:paraId="522AE133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  <w:p w14:paraId="3C296654">
            <w:pPr>
              <w:spacing w:line="360" w:lineRule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问：请问公司投资机器人对公司现有业务可能产生哪些增益？</w:t>
            </w:r>
          </w:p>
          <w:p w14:paraId="1935C1CC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答：现如今公安信息化建设已成为推动公安工作现代化的核心引擎，同时，“十五五”规划将进一步聚焦“全域感知</w:t>
            </w:r>
            <w:r>
              <w:rPr>
                <w:rFonts w:ascii="宋体" w:hAnsi="宋体" w:eastAsia="宋体"/>
                <w:sz w:val="21"/>
                <w:szCs w:val="21"/>
              </w:rPr>
              <w:t>-智能决策-精准执行”的数字警务新范式，构建“机器警力”深度嵌入的新型现代化警务体系，推动公安工作实现质量、效率与动力的全面变革。此次投资将为多伦科技带来多重业务增益，推动自身智能技术与现有大交通业务的深度融合，实现公司业务的多元化发展。</w:t>
            </w:r>
          </w:p>
          <w:p w14:paraId="064410EE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  <w:p w14:paraId="5F2A4D53">
            <w:pPr>
              <w:spacing w:line="360" w:lineRule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问：公司提到关于人形机器人与大交通的结合，请问公司还有哪些应用场景的考虑？</w:t>
            </w:r>
          </w:p>
          <w:p w14:paraId="7087A257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答：机器人在大交通领域的应用潜力亟待进一步挖掘，目前人形机器人在交通管理、交通治理领域已有实际应用案例，可以实现路况监测、交通流量分析、优化交通路线、交通指挥等功能。公司正在积极论证机器人与公司现有业务，包括驾驶、道路安全、交管等多个产业融合的可能性。</w:t>
            </w:r>
          </w:p>
          <w:p w14:paraId="1B446BCC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  <w:p w14:paraId="16BBB5F5">
            <w:pPr>
              <w:spacing w:line="360" w:lineRule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问：请问公司接下来是否还有机器人方面的投资或布局计划？</w:t>
            </w:r>
          </w:p>
          <w:p w14:paraId="52549FFF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答：公司始终关注机器人产业最新市场动态，一直积极寻求与主营业务具有较好互补、协同的优质投资和并购项目。后续如有投资或并购等资本运作相关计划且达到信息披露标准，将根据信息披露相关规则及时公告。</w:t>
            </w:r>
          </w:p>
          <w:p w14:paraId="68F9C6CF"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  <w:p w14:paraId="0CDF8E68">
            <w:pPr>
              <w:pStyle w:val="12"/>
              <w:spacing w:line="360" w:lineRule="auto"/>
              <w:ind w:firstLine="411" w:firstLineChars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交流环节谈及的新兴领域如</w:t>
            </w:r>
            <w:r>
              <w:rPr>
                <w:rFonts w:ascii="宋体" w:hAnsi="宋体" w:eastAsia="宋体"/>
                <w:sz w:val="21"/>
                <w:szCs w:val="21"/>
              </w:rPr>
              <w:t>AI技术、机器人行业成长通常会经历相对较长的发展周期，在发展初期需要在技术研发、工艺环节、设备选型及团队建设等方面进行大规模投入，中后期的发展及市场开拓上也会面临诸多不确定性，存在较大的投资风险，提示投资者注意风险。交流中，公司严格按照《信息披露管理办法》等规定，保证信息披露的真实、准确、完整、及时、公平。前述业绩预期不构成业绩承诺，没有出现未公开重大信息泄露等情况。</w:t>
            </w:r>
          </w:p>
        </w:tc>
      </w:tr>
      <w:tr w14:paraId="171BD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37F0641B">
            <w:pPr>
              <w:pStyle w:val="12"/>
              <w:ind w:left="107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附件清单（如有）</w:t>
            </w:r>
          </w:p>
        </w:tc>
        <w:tc>
          <w:tcPr>
            <w:tcW w:w="6715" w:type="dxa"/>
            <w:vAlign w:val="center"/>
          </w:tcPr>
          <w:p w14:paraId="525D37F3">
            <w:pPr>
              <w:pStyle w:val="12"/>
              <w:spacing w:before="100" w:beforeAutospacing="1" w:line="300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29E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47CA5757"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6715" w:type="dxa"/>
            <w:vAlign w:val="center"/>
          </w:tcPr>
          <w:p w14:paraId="691927CE">
            <w:pPr>
              <w:pStyle w:val="12"/>
              <w:spacing w:before="100" w:beforeAutospacing="1" w:line="30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2025年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08</w:t>
            </w: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 w14:paraId="693D6E18">
      <w:pPr>
        <w:rPr>
          <w:rFonts w:ascii="宋体" w:hAnsi="宋体" w:eastAsia="宋体" w:cs="宋体"/>
          <w:sz w:val="28"/>
          <w:szCs w:val="36"/>
        </w:rPr>
      </w:pP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72C24"/>
    <w:rsid w:val="001D2034"/>
    <w:rsid w:val="001E59D1"/>
    <w:rsid w:val="001E5EA4"/>
    <w:rsid w:val="002042A7"/>
    <w:rsid w:val="00205911"/>
    <w:rsid w:val="002146AD"/>
    <w:rsid w:val="00275CB6"/>
    <w:rsid w:val="002800B5"/>
    <w:rsid w:val="00295B29"/>
    <w:rsid w:val="002D1193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E70D7"/>
    <w:rsid w:val="004F6FF3"/>
    <w:rsid w:val="00571B49"/>
    <w:rsid w:val="005743AE"/>
    <w:rsid w:val="005A6FEA"/>
    <w:rsid w:val="005D64CA"/>
    <w:rsid w:val="005E5717"/>
    <w:rsid w:val="005E6DB2"/>
    <w:rsid w:val="005F3C9D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D1BEC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1F5B"/>
    <w:rsid w:val="00965E4D"/>
    <w:rsid w:val="009A1550"/>
    <w:rsid w:val="009A2543"/>
    <w:rsid w:val="009B1D5C"/>
    <w:rsid w:val="009C2E31"/>
    <w:rsid w:val="009E1955"/>
    <w:rsid w:val="00A527AA"/>
    <w:rsid w:val="00A5684D"/>
    <w:rsid w:val="00A576FD"/>
    <w:rsid w:val="00A75C61"/>
    <w:rsid w:val="00A9601B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F132F"/>
    <w:rsid w:val="00C13878"/>
    <w:rsid w:val="00CA1705"/>
    <w:rsid w:val="00CE1A54"/>
    <w:rsid w:val="00CF5FB6"/>
    <w:rsid w:val="00D02518"/>
    <w:rsid w:val="00D076B7"/>
    <w:rsid w:val="00D17454"/>
    <w:rsid w:val="00D33FBC"/>
    <w:rsid w:val="00D7535C"/>
    <w:rsid w:val="00D76302"/>
    <w:rsid w:val="00DA5CE2"/>
    <w:rsid w:val="00DB40C9"/>
    <w:rsid w:val="00DE10E8"/>
    <w:rsid w:val="00DE7938"/>
    <w:rsid w:val="00E16FDA"/>
    <w:rsid w:val="00E35F58"/>
    <w:rsid w:val="00E45BD9"/>
    <w:rsid w:val="00E66FFC"/>
    <w:rsid w:val="00E759D6"/>
    <w:rsid w:val="00E84A8C"/>
    <w:rsid w:val="00E976DE"/>
    <w:rsid w:val="00EC0F83"/>
    <w:rsid w:val="00ED03DC"/>
    <w:rsid w:val="00EE3187"/>
    <w:rsid w:val="00EF499B"/>
    <w:rsid w:val="00F14977"/>
    <w:rsid w:val="00F83489"/>
    <w:rsid w:val="00FB4A08"/>
    <w:rsid w:val="00FC0C2A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DF01933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6430096"/>
    <w:rsid w:val="788C25F5"/>
    <w:rsid w:val="79F72AA9"/>
    <w:rsid w:val="7A144529"/>
    <w:rsid w:val="7DD37F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</w:style>
  <w:style w:type="paragraph" w:styleId="4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10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Char"/>
    <w:basedOn w:val="10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批注文字 Char"/>
    <w:basedOn w:val="10"/>
    <w:link w:val="3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6">
    <w:name w:val="批注主题 Char"/>
    <w:basedOn w:val="15"/>
    <w:link w:val="8"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17">
    <w:name w:val="批注框文本 Char"/>
    <w:basedOn w:val="10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454-D52C-4974-A468-5D02FFFCA6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1775</Words>
  <Characters>1810</Characters>
  <Lines>13</Lines>
  <Paragraphs>3</Paragraphs>
  <TotalTime>58</TotalTime>
  <ScaleCrop>false</ScaleCrop>
  <LinksUpToDate>false</LinksUpToDate>
  <CharactersWithSpaces>1875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2022-04-12T06:10:00Z</dcterms:created>
  <dc:creator>jie.huang</dc:creator>
  <cp:lastModifiedBy>石</cp:lastModifiedBy>
  <dcterms:modified xsi:type="dcterms:W3CDTF">2025-08-10T08:11:52Z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57D148DF2F764966BF4E1C38A6255FA2</vt:lpwstr>
  </property>
  <property fmtid="{D5CDD505-2E9C-101B-9397-08002B2CF9AE}" pid="4" name="KSOTemplateDocerSaveRecord">
    <vt:lpwstr>eyJoZGlkIjoiZmRlMWU1ODc5M2U1MzI2YTU3MmQ1NmJjOWJlNTI2NjAifQ==</vt:lpwstr>
  </property>
</Properties>
</file>