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E239" w14:textId="77777777" w:rsidR="00786766" w:rsidRPr="00B70953" w:rsidRDefault="00FB0681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B70953">
        <w:rPr>
          <w:rFonts w:ascii="宋体" w:eastAsia="宋体" w:hAnsi="宋体" w:hint="eastAsia"/>
          <w:b/>
          <w:bCs/>
          <w:sz w:val="30"/>
          <w:szCs w:val="30"/>
        </w:rPr>
        <w:t>上海之江生物科技股份有限公司</w:t>
      </w:r>
    </w:p>
    <w:p w14:paraId="5831867B" w14:textId="77777777" w:rsidR="00786766" w:rsidRPr="00B70953" w:rsidRDefault="00FB0681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B70953">
        <w:rPr>
          <w:rFonts w:ascii="宋体" w:eastAsia="宋体" w:hAnsi="宋体" w:hint="eastAsia"/>
          <w:b/>
          <w:bCs/>
          <w:sz w:val="30"/>
          <w:szCs w:val="30"/>
        </w:rPr>
        <w:t>投资者关系活动记录表</w:t>
      </w:r>
    </w:p>
    <w:p w14:paraId="1559B4A6" w14:textId="47D9766C" w:rsidR="00786766" w:rsidRPr="00B70953" w:rsidRDefault="00FB0681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B70953">
        <w:rPr>
          <w:rFonts w:ascii="宋体" w:eastAsia="宋体" w:hAnsi="宋体" w:hint="eastAsia"/>
          <w:b/>
          <w:bCs/>
          <w:sz w:val="30"/>
          <w:szCs w:val="30"/>
        </w:rPr>
        <w:t>（2</w:t>
      </w:r>
      <w:r w:rsidRPr="00B70953">
        <w:rPr>
          <w:rFonts w:ascii="宋体" w:eastAsia="宋体" w:hAnsi="宋体"/>
          <w:b/>
          <w:bCs/>
          <w:sz w:val="30"/>
          <w:szCs w:val="30"/>
        </w:rPr>
        <w:t>02</w:t>
      </w:r>
      <w:r w:rsidRPr="00B70953">
        <w:rPr>
          <w:rFonts w:ascii="宋体" w:eastAsia="宋体" w:hAnsi="宋体" w:hint="eastAsia"/>
          <w:b/>
          <w:bCs/>
          <w:sz w:val="30"/>
          <w:szCs w:val="30"/>
        </w:rPr>
        <w:t>5年</w:t>
      </w:r>
      <w:r w:rsidR="00C64148" w:rsidRPr="00B70953">
        <w:rPr>
          <w:rFonts w:ascii="宋体" w:eastAsia="宋体" w:hAnsi="宋体"/>
          <w:b/>
          <w:bCs/>
          <w:sz w:val="30"/>
          <w:szCs w:val="30"/>
        </w:rPr>
        <w:t>8</w:t>
      </w:r>
      <w:r w:rsidRPr="00B70953">
        <w:rPr>
          <w:rFonts w:ascii="宋体" w:eastAsia="宋体" w:hAnsi="宋体" w:hint="eastAsia"/>
          <w:b/>
          <w:bCs/>
          <w:sz w:val="30"/>
          <w:szCs w:val="30"/>
        </w:rPr>
        <w:t>月）</w:t>
      </w:r>
    </w:p>
    <w:p w14:paraId="29E84F9E" w14:textId="43AB1720" w:rsidR="00786766" w:rsidRPr="00B70953" w:rsidRDefault="00FB0681">
      <w:pPr>
        <w:jc w:val="right"/>
        <w:rPr>
          <w:rFonts w:ascii="宋体" w:eastAsia="宋体" w:hAnsi="宋体" w:cs="Calibri"/>
          <w:b/>
          <w:bCs/>
          <w:sz w:val="30"/>
          <w:szCs w:val="30"/>
        </w:rPr>
      </w:pPr>
      <w:r w:rsidRPr="00B70953">
        <w:rPr>
          <w:rFonts w:ascii="宋体" w:eastAsia="宋体" w:hAnsi="宋体"/>
          <w:b/>
          <w:bCs/>
          <w:sz w:val="30"/>
          <w:szCs w:val="30"/>
        </w:rPr>
        <w:t xml:space="preserve">                    </w:t>
      </w:r>
      <w:r w:rsidRPr="00B70953">
        <w:rPr>
          <w:rFonts w:ascii="宋体" w:eastAsia="宋体" w:hAnsi="宋体" w:hint="eastAsia"/>
          <w:b/>
          <w:bCs/>
          <w:sz w:val="30"/>
          <w:szCs w:val="30"/>
        </w:rPr>
        <w:t>编号：2025-00</w:t>
      </w:r>
      <w:r w:rsidR="00C64148" w:rsidRPr="00B70953">
        <w:rPr>
          <w:rFonts w:ascii="宋体" w:eastAsia="宋体" w:hAnsi="宋体"/>
          <w:b/>
          <w:bCs/>
          <w:sz w:val="30"/>
          <w:szCs w:val="30"/>
        </w:rPr>
        <w:t>4</w:t>
      </w:r>
    </w:p>
    <w:tbl>
      <w:tblPr>
        <w:tblStyle w:val="ac"/>
        <w:tblW w:w="9781" w:type="dxa"/>
        <w:tblInd w:w="-714" w:type="dxa"/>
        <w:tblLook w:val="04A0" w:firstRow="1" w:lastRow="0" w:firstColumn="1" w:lastColumn="0" w:noHBand="0" w:noVBand="1"/>
      </w:tblPr>
      <w:tblGrid>
        <w:gridCol w:w="2419"/>
        <w:gridCol w:w="7362"/>
      </w:tblGrid>
      <w:tr w:rsidR="00786766" w:rsidRPr="00B70953" w14:paraId="5E97C57A" w14:textId="77777777">
        <w:trPr>
          <w:trHeight w:val="310"/>
        </w:trPr>
        <w:tc>
          <w:tcPr>
            <w:tcW w:w="2419" w:type="dxa"/>
          </w:tcPr>
          <w:p w14:paraId="7CD3C31E" w14:textId="77777777" w:rsidR="00786766" w:rsidRPr="00B70953" w:rsidRDefault="00FB0681">
            <w:pPr>
              <w:jc w:val="lef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投资者关系活</w:t>
            </w:r>
          </w:p>
          <w:p w14:paraId="171685E6" w14:textId="77777777" w:rsidR="00786766" w:rsidRPr="00B70953" w:rsidRDefault="00FB0681">
            <w:pPr>
              <w:jc w:val="lef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动类别</w:t>
            </w:r>
          </w:p>
        </w:tc>
        <w:tc>
          <w:tcPr>
            <w:tcW w:w="7362" w:type="dxa"/>
          </w:tcPr>
          <w:p w14:paraId="1FA127E0" w14:textId="29B4940F" w:rsidR="00786766" w:rsidRPr="00B70953" w:rsidRDefault="00F143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70953">
              <w:rPr>
                <w:rFonts w:ascii="Segoe UI Symbol" w:eastAsia="宋体" w:hAnsi="Segoe UI Symbol" w:cs="Segoe UI Symbol"/>
                <w:sz w:val="24"/>
                <w:szCs w:val="24"/>
              </w:rPr>
              <w:t>☑</w:t>
            </w:r>
            <w:r w:rsidR="00FB0681" w:rsidRPr="00B70953">
              <w:rPr>
                <w:rFonts w:ascii="宋体" w:eastAsia="宋体" w:hAnsi="宋体" w:hint="eastAsia"/>
                <w:sz w:val="24"/>
                <w:szCs w:val="24"/>
              </w:rPr>
              <w:t>特定对象调研</w:t>
            </w:r>
            <w:r w:rsidR="00FB0681" w:rsidRPr="00B70953">
              <w:rPr>
                <w:rFonts w:ascii="宋体" w:eastAsia="宋体" w:hAnsi="宋体"/>
                <w:sz w:val="24"/>
                <w:szCs w:val="24"/>
              </w:rPr>
              <w:t xml:space="preserve">   □分析</w:t>
            </w:r>
            <w:proofErr w:type="gramStart"/>
            <w:r w:rsidR="00FB0681" w:rsidRPr="00B70953">
              <w:rPr>
                <w:rFonts w:ascii="宋体" w:eastAsia="宋体" w:hAnsi="宋体"/>
                <w:sz w:val="24"/>
                <w:szCs w:val="24"/>
              </w:rPr>
              <w:t>师会议</w:t>
            </w:r>
            <w:proofErr w:type="gramEnd"/>
            <w:r w:rsidR="00FB0681" w:rsidRPr="00B70953">
              <w:rPr>
                <w:rFonts w:ascii="宋体" w:eastAsia="宋体" w:hAnsi="宋体"/>
                <w:sz w:val="24"/>
                <w:szCs w:val="24"/>
              </w:rPr>
              <w:t xml:space="preserve">     □媒体采访</w:t>
            </w:r>
          </w:p>
          <w:p w14:paraId="7A157A76" w14:textId="77777777" w:rsidR="00786766" w:rsidRPr="00B70953" w:rsidRDefault="00FB06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70953">
              <w:rPr>
                <w:rFonts w:ascii="宋体" w:eastAsia="宋体" w:hAnsi="宋体" w:hint="eastAsia"/>
                <w:sz w:val="24"/>
                <w:szCs w:val="24"/>
              </w:rPr>
              <w:t>□业绩说明会</w:t>
            </w:r>
            <w:r w:rsidRPr="00B70953">
              <w:rPr>
                <w:rFonts w:ascii="宋体" w:eastAsia="宋体" w:hAnsi="宋体"/>
                <w:sz w:val="24"/>
                <w:szCs w:val="24"/>
              </w:rPr>
              <w:tab/>
              <w:t xml:space="preserve">   □新闻发布会</w:t>
            </w:r>
            <w:r w:rsidRPr="00B70953">
              <w:rPr>
                <w:rFonts w:ascii="宋体" w:eastAsia="宋体" w:hAnsi="宋体"/>
                <w:sz w:val="24"/>
                <w:szCs w:val="24"/>
              </w:rPr>
              <w:tab/>
              <w:t xml:space="preserve">   □路演活动</w:t>
            </w:r>
          </w:p>
          <w:p w14:paraId="4D887005" w14:textId="77777777" w:rsidR="00786766" w:rsidRPr="00B70953" w:rsidRDefault="00FB06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70953">
              <w:rPr>
                <w:rFonts w:ascii="宋体" w:eastAsia="宋体" w:hAnsi="宋体" w:hint="eastAsia"/>
                <w:sz w:val="24"/>
                <w:szCs w:val="24"/>
              </w:rPr>
              <w:t>□现场参观</w:t>
            </w:r>
            <w:r w:rsidRPr="00B70953">
              <w:rPr>
                <w:rFonts w:ascii="宋体" w:eastAsia="宋体" w:hAnsi="宋体"/>
                <w:sz w:val="24"/>
                <w:szCs w:val="24"/>
              </w:rPr>
              <w:tab/>
              <w:t xml:space="preserve">      □其他</w:t>
            </w:r>
          </w:p>
        </w:tc>
      </w:tr>
      <w:tr w:rsidR="00786766" w:rsidRPr="00B70953" w14:paraId="53D5FD33" w14:textId="77777777">
        <w:trPr>
          <w:trHeight w:val="418"/>
        </w:trPr>
        <w:tc>
          <w:tcPr>
            <w:tcW w:w="2419" w:type="dxa"/>
          </w:tcPr>
          <w:p w14:paraId="541DEBDF" w14:textId="77777777" w:rsidR="00786766" w:rsidRPr="00B70953" w:rsidRDefault="00FB0681">
            <w:pPr>
              <w:jc w:val="lef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参与单位名称</w:t>
            </w:r>
          </w:p>
        </w:tc>
        <w:tc>
          <w:tcPr>
            <w:tcW w:w="7362" w:type="dxa"/>
          </w:tcPr>
          <w:p w14:paraId="0D4C8087" w14:textId="6DE6BC10" w:rsidR="00786766" w:rsidRPr="00B70953" w:rsidRDefault="00C6414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70953">
              <w:rPr>
                <w:rFonts w:ascii="宋体" w:eastAsia="宋体" w:hAnsi="宋体" w:hint="eastAsia"/>
                <w:sz w:val="24"/>
                <w:szCs w:val="24"/>
              </w:rPr>
              <w:t>天风证券、广发基金</w:t>
            </w:r>
          </w:p>
        </w:tc>
      </w:tr>
      <w:tr w:rsidR="00786766" w:rsidRPr="00B70953" w14:paraId="017C039C" w14:textId="77777777">
        <w:trPr>
          <w:trHeight w:val="416"/>
        </w:trPr>
        <w:tc>
          <w:tcPr>
            <w:tcW w:w="2419" w:type="dxa"/>
          </w:tcPr>
          <w:p w14:paraId="2ABAFB70" w14:textId="77777777" w:rsidR="00786766" w:rsidRPr="00B70953" w:rsidRDefault="00FB0681">
            <w:pPr>
              <w:jc w:val="lef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7362" w:type="dxa"/>
          </w:tcPr>
          <w:p w14:paraId="193A4818" w14:textId="0AC76A8A" w:rsidR="00786766" w:rsidRPr="00B70953" w:rsidRDefault="00FB06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70953">
              <w:rPr>
                <w:rFonts w:ascii="宋体" w:eastAsia="宋体" w:hAnsi="宋体"/>
                <w:sz w:val="24"/>
                <w:szCs w:val="24"/>
              </w:rPr>
              <w:t>202</w:t>
            </w:r>
            <w:r w:rsidRPr="00B70953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B70953">
              <w:rPr>
                <w:rFonts w:ascii="宋体" w:eastAsia="宋体" w:hAnsi="宋体"/>
                <w:sz w:val="24"/>
                <w:szCs w:val="24"/>
              </w:rPr>
              <w:t>年</w:t>
            </w:r>
            <w:r w:rsidR="00C64148" w:rsidRPr="00B70953">
              <w:rPr>
                <w:rFonts w:ascii="宋体" w:eastAsia="宋体" w:hAnsi="宋体"/>
                <w:sz w:val="24"/>
                <w:szCs w:val="24"/>
              </w:rPr>
              <w:t>8</w:t>
            </w:r>
            <w:r w:rsidRPr="00B70953">
              <w:rPr>
                <w:rFonts w:ascii="宋体" w:eastAsia="宋体" w:hAnsi="宋体"/>
                <w:sz w:val="24"/>
                <w:szCs w:val="24"/>
              </w:rPr>
              <w:t>月</w:t>
            </w:r>
            <w:r w:rsidR="00C64148" w:rsidRPr="00B70953">
              <w:rPr>
                <w:rFonts w:ascii="宋体" w:eastAsia="宋体" w:hAnsi="宋体"/>
                <w:sz w:val="24"/>
                <w:szCs w:val="24"/>
              </w:rPr>
              <w:t>13</w:t>
            </w:r>
            <w:r w:rsidRPr="00B7095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786766" w:rsidRPr="00B70953" w14:paraId="688F0499" w14:textId="77777777">
        <w:trPr>
          <w:trHeight w:val="208"/>
        </w:trPr>
        <w:tc>
          <w:tcPr>
            <w:tcW w:w="2419" w:type="dxa"/>
          </w:tcPr>
          <w:p w14:paraId="25F2C0ED" w14:textId="77777777" w:rsidR="00786766" w:rsidRPr="00B70953" w:rsidRDefault="00FB0681">
            <w:pPr>
              <w:jc w:val="lef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7362" w:type="dxa"/>
          </w:tcPr>
          <w:p w14:paraId="5767CE18" w14:textId="77777777" w:rsidR="00786766" w:rsidRPr="00B70953" w:rsidRDefault="00FB06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70953">
              <w:rPr>
                <w:rFonts w:ascii="宋体" w:eastAsia="宋体" w:hAnsi="宋体" w:hint="eastAsia"/>
                <w:sz w:val="24"/>
                <w:szCs w:val="24"/>
              </w:rPr>
              <w:t>上海市</w:t>
            </w:r>
            <w:proofErr w:type="gramStart"/>
            <w:r w:rsidRPr="00B70953">
              <w:rPr>
                <w:rFonts w:ascii="宋体" w:eastAsia="宋体" w:hAnsi="宋体" w:hint="eastAsia"/>
                <w:sz w:val="24"/>
                <w:szCs w:val="24"/>
              </w:rPr>
              <w:t>闵行区陈行公路</w:t>
            </w:r>
            <w:proofErr w:type="gramEnd"/>
            <w:r w:rsidRPr="00B70953">
              <w:rPr>
                <w:rFonts w:ascii="宋体" w:eastAsia="宋体" w:hAnsi="宋体" w:hint="eastAsia"/>
                <w:sz w:val="24"/>
                <w:szCs w:val="24"/>
              </w:rPr>
              <w:t>2168号智慧广场9号楼之江生物会议室</w:t>
            </w:r>
          </w:p>
        </w:tc>
      </w:tr>
      <w:tr w:rsidR="00786766" w:rsidRPr="00B70953" w14:paraId="7609AF50" w14:textId="77777777">
        <w:trPr>
          <w:trHeight w:val="206"/>
        </w:trPr>
        <w:tc>
          <w:tcPr>
            <w:tcW w:w="2419" w:type="dxa"/>
          </w:tcPr>
          <w:p w14:paraId="3FFAEAF6" w14:textId="77777777" w:rsidR="00786766" w:rsidRPr="00B70953" w:rsidRDefault="00FB0681">
            <w:pPr>
              <w:jc w:val="lef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公司接待人员</w:t>
            </w:r>
          </w:p>
          <w:p w14:paraId="5E9D5187" w14:textId="77777777" w:rsidR="00786766" w:rsidRPr="00B70953" w:rsidRDefault="00FB0681">
            <w:pPr>
              <w:jc w:val="lef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362" w:type="dxa"/>
          </w:tcPr>
          <w:p w14:paraId="46E8F52B" w14:textId="7B13B456" w:rsidR="001F34F9" w:rsidRPr="00B70953" w:rsidRDefault="00E15654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B70953">
              <w:rPr>
                <w:rFonts w:ascii="宋体" w:eastAsia="宋体" w:hAnsi="宋体" w:hint="eastAsia"/>
                <w:sz w:val="24"/>
                <w:szCs w:val="24"/>
              </w:rPr>
              <w:t>公司副总经理兼董事会秘书 倪卫琴</w:t>
            </w:r>
          </w:p>
          <w:p w14:paraId="3FF330DA" w14:textId="298D021B" w:rsidR="00786766" w:rsidRPr="00B70953" w:rsidRDefault="00FB068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70953">
              <w:rPr>
                <w:rFonts w:ascii="宋体" w:eastAsia="宋体" w:hAnsi="宋体" w:hint="eastAsia"/>
                <w:sz w:val="24"/>
                <w:szCs w:val="24"/>
              </w:rPr>
              <w:t>证券事务专员 李成思</w:t>
            </w:r>
          </w:p>
        </w:tc>
      </w:tr>
      <w:tr w:rsidR="00786766" w14:paraId="530833B1" w14:textId="77777777">
        <w:trPr>
          <w:trHeight w:val="206"/>
        </w:trPr>
        <w:tc>
          <w:tcPr>
            <w:tcW w:w="2419" w:type="dxa"/>
          </w:tcPr>
          <w:p w14:paraId="0B79E162" w14:textId="77777777" w:rsidR="00786766" w:rsidRPr="00B70953" w:rsidRDefault="00FB0681">
            <w:pPr>
              <w:jc w:val="lef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投资者关系活动主要内容介绍</w:t>
            </w:r>
          </w:p>
        </w:tc>
        <w:tc>
          <w:tcPr>
            <w:tcW w:w="7362" w:type="dxa"/>
          </w:tcPr>
          <w:p w14:paraId="28EFFB94" w14:textId="77777777" w:rsidR="00786766" w:rsidRPr="00B70953" w:rsidRDefault="00FB0681" w:rsidP="004E6A2C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7095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交流的主要问题及答复：</w:t>
            </w:r>
          </w:p>
          <w:p w14:paraId="65BB784B" w14:textId="77777777" w:rsidR="00C64148" w:rsidRPr="00B70953" w:rsidRDefault="00C64148" w:rsidP="004E6A2C">
            <w:pPr>
              <w:numPr>
                <w:ilvl w:val="0"/>
                <w:numId w:val="1"/>
              </w:numPr>
              <w:spacing w:line="560" w:lineRule="exact"/>
              <w:ind w:left="-2" w:firstLine="42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709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问：想了解一下公司的抗体药的研究方向、进展情况。</w:t>
            </w:r>
          </w:p>
          <w:p w14:paraId="6402B647" w14:textId="157591B9" w:rsidR="00C64148" w:rsidRPr="00B70953" w:rsidRDefault="00C64148" w:rsidP="004E6A2C">
            <w:pPr>
              <w:pStyle w:val="ab"/>
              <w:widowControl/>
              <w:shd w:val="clear" w:color="auto" w:fill="FFFFFF"/>
              <w:spacing w:beforeAutospacing="0" w:afterAutospacing="0" w:line="560" w:lineRule="exact"/>
              <w:ind w:firstLineChars="200" w:firstLine="480"/>
              <w:jc w:val="both"/>
              <w:rPr>
                <w:rFonts w:ascii="宋体" w:eastAsia="宋体" w:hAnsi="宋体" w:cs="宋体"/>
                <w:szCs w:val="24"/>
                <w:shd w:val="clear" w:color="auto" w:fill="FFFFFF"/>
                <w:lang w:bidi="ar"/>
              </w:rPr>
            </w:pPr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答：公司目前在垂直一体化方向上布局，</w:t>
            </w:r>
            <w:proofErr w:type="gramStart"/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延申</w:t>
            </w:r>
            <w:proofErr w:type="gramEnd"/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产品链、产业链、价值链，致力于新药以及上游关键原材料的研发创新。公司持续看好抗体药物在肿瘤、</w:t>
            </w:r>
            <w:proofErr w:type="gramStart"/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自免</w:t>
            </w:r>
            <w:proofErr w:type="gramEnd"/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疾病甚至感染性疾病治疗上的应用，2016年、2020年通过两轮投资，持有领先的创新抗体药物发现公司三优生物股权。公司与三优生物在创新抗体</w:t>
            </w:r>
            <w:proofErr w:type="gramStart"/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药领域</w:t>
            </w:r>
            <w:proofErr w:type="gramEnd"/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上深度合作的在</w:t>
            </w:r>
            <w:proofErr w:type="gramStart"/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研</w:t>
            </w:r>
            <w:proofErr w:type="gramEnd"/>
            <w:r w:rsidRPr="00B70953">
              <w:rPr>
                <w:rFonts w:ascii="宋体" w:eastAsia="宋体" w:hAnsi="宋体" w:cs="宋体" w:hint="eastAsia"/>
                <w:szCs w:val="24"/>
                <w:shd w:val="clear" w:color="auto" w:fill="FFFFFF"/>
                <w:lang w:bidi="ar"/>
              </w:rPr>
              <w:t>项目正在有序推进中。目前已成功筛选抗体药物分子若干，其中1项进入发明专利受理阶段。公司将持续优化资源配置，加快推进重点项目的研发进程，打造实现“预防、诊断、治疗”一体化的布局。具体项目进展将严格按照信息披露规定及时履行信息披露义务。</w:t>
            </w:r>
          </w:p>
          <w:p w14:paraId="5717A43F" w14:textId="77777777" w:rsidR="00C64148" w:rsidRPr="00B70953" w:rsidRDefault="00C64148" w:rsidP="004E6A2C">
            <w:pPr>
              <w:numPr>
                <w:ilvl w:val="0"/>
                <w:numId w:val="1"/>
              </w:numPr>
              <w:spacing w:line="560" w:lineRule="exact"/>
              <w:ind w:left="-2" w:firstLine="42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709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问：想了解一下公司未来还会增资三优生物么？</w:t>
            </w:r>
          </w:p>
          <w:p w14:paraId="4104F8A7" w14:textId="77777777" w:rsidR="00C64148" w:rsidRPr="00B70953" w:rsidRDefault="00C64148" w:rsidP="004E6A2C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lastRenderedPageBreak/>
              <w:t>答：公司与三优在业务层面一直保持着紧密的交流。在股权层面，会综合考虑公司的战略布局、全体股东利益、三优的发展需求、市场环境等因素进行</w:t>
            </w:r>
            <w:proofErr w:type="gramStart"/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研</w:t>
            </w:r>
            <w:proofErr w:type="gramEnd"/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判。后续如涉及资本运作相关事项，我们将在履行必要决策程序后，适时推进相关事宜。具体决策将严格按照信息披露规定及时履行信息披露义务。</w:t>
            </w:r>
          </w:p>
          <w:p w14:paraId="76C3EA7E" w14:textId="77777777" w:rsidR="00C64148" w:rsidRPr="00B70953" w:rsidRDefault="00C64148" w:rsidP="004E6A2C">
            <w:pPr>
              <w:numPr>
                <w:ilvl w:val="0"/>
                <w:numId w:val="1"/>
              </w:numPr>
              <w:spacing w:line="560" w:lineRule="exact"/>
              <w:ind w:left="-2" w:firstLine="42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709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问：想了解一下</w:t>
            </w:r>
            <w:r w:rsidRPr="00B70953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公司</w:t>
            </w:r>
            <w:r w:rsidRPr="00B709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的</w:t>
            </w:r>
            <w:r w:rsidRPr="00B70953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类器官</w:t>
            </w:r>
            <w:r w:rsidRPr="00B709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技术。</w:t>
            </w:r>
          </w:p>
          <w:p w14:paraId="5507DD15" w14:textId="77777777" w:rsidR="00C64148" w:rsidRPr="00B70953" w:rsidRDefault="00C64148" w:rsidP="004E6A2C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答：类器官技术目前已在科研和医疗领域取得显著进展，其核心应用包括肿瘤细胞体外筛选和疾病模型构建，为精准用药提供了重要研究工具。该技术通过模拟器官生理状态，相比传统动物实验展现出更好的预测性和可靠性，部分类器官甚至可实现长期传代培养。公司可以</w:t>
            </w:r>
            <w:r w:rsidRPr="00B70953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在科研领域，提供定制化类器官模型，用于疾病研究及药物开发；临床方向，与医院合作开展个体化诊疗，辅助肿瘤患者药效测试及治疗方案筛选</w:t>
            </w:r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等服务</w:t>
            </w:r>
            <w:r w:rsidRPr="00B70953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。同时，公司通过</w:t>
            </w:r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提供培养基、培养板、肿瘤药筛芯片、共培养芯片等耗材到检测服务的一站</w:t>
            </w:r>
            <w:proofErr w:type="gramStart"/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式解决</w:t>
            </w:r>
            <w:proofErr w:type="gramEnd"/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方案。</w:t>
            </w:r>
          </w:p>
          <w:p w14:paraId="29B94B77" w14:textId="77777777" w:rsidR="00C64148" w:rsidRPr="00B70953" w:rsidRDefault="00C64148" w:rsidP="004E6A2C">
            <w:pPr>
              <w:numPr>
                <w:ilvl w:val="0"/>
                <w:numId w:val="1"/>
              </w:numPr>
              <w:spacing w:line="560" w:lineRule="exact"/>
              <w:ind w:left="0"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709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问：想了解一下贵公司的未来发展规划。</w:t>
            </w:r>
          </w:p>
          <w:p w14:paraId="4490F018" w14:textId="77777777" w:rsidR="00C64148" w:rsidRPr="00B70953" w:rsidRDefault="00C64148" w:rsidP="004E6A2C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答：公司将以科技创新为核心驱动力，持续优化现有的分子诊断产品，不断强化技术、质量、品牌和服务优势。在加强自主技术创新的基础上，通过战略并购与合作拓展外延增长，推动新材料、新装备、新工艺的研发，丰富产品矩阵，实现从传染病向肿瘤领域的战略延伸，构建“诊断+治疗”全产业链布局，覆盖疾病早筛、伴随诊断、复发监测及治疗等多元化场景。同时，公司将加速国际化进程，以海外子公司为支点，加快海外产品注册，依托多品类试剂、自动化设备及高质量服务，为全球客户提供一站</w:t>
            </w:r>
            <w:proofErr w:type="gramStart"/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式解决</w:t>
            </w:r>
            <w:proofErr w:type="gramEnd"/>
            <w:r w:rsidRPr="00B7095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>方案，持续深化全球市场布局，加快海外市场业务拓展的步伐。</w:t>
            </w:r>
          </w:p>
          <w:p w14:paraId="075796B9" w14:textId="77777777" w:rsidR="00C64148" w:rsidRPr="00B70953" w:rsidRDefault="00C64148" w:rsidP="004E6A2C">
            <w:pPr>
              <w:numPr>
                <w:ilvl w:val="0"/>
                <w:numId w:val="1"/>
              </w:numPr>
              <w:spacing w:line="560" w:lineRule="exact"/>
              <w:ind w:left="-2" w:firstLine="42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7095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问：想了解一下贵公司的日本子公司的后续发展规划。</w:t>
            </w:r>
          </w:p>
          <w:p w14:paraId="463DEE0E" w14:textId="77777777" w:rsidR="00C64148" w:rsidRPr="00C64148" w:rsidRDefault="00C64148" w:rsidP="004E6A2C">
            <w:pPr>
              <w:pStyle w:val="a4"/>
              <w:spacing w:line="560" w:lineRule="exact"/>
              <w:ind w:firstLineChars="200" w:firstLine="480"/>
              <w:rPr>
                <w:rFonts w:ascii="宋体" w:eastAsia="宋体" w:hAnsi="宋体" w:cs="宋体" w:hint="eastAsia"/>
                <w:kern w:val="0"/>
                <w:shd w:val="clear" w:color="auto" w:fill="FFFFFF"/>
                <w:lang w:eastAsia="zh-CN" w:bidi="ar"/>
              </w:rPr>
            </w:pPr>
            <w:r w:rsidRPr="00B70953">
              <w:rPr>
                <w:rFonts w:ascii="宋体" w:eastAsia="宋体" w:hAnsi="宋体" w:cs="宋体" w:hint="eastAsia"/>
                <w:kern w:val="0"/>
                <w:shd w:val="clear" w:color="auto" w:fill="FFFFFF"/>
                <w:lang w:eastAsia="zh-CN" w:bidi="ar"/>
              </w:rPr>
              <w:t>答：成立日本子公司旨在通过国际品牌战略，先立足日本本土市场，再逐步拓展至欧美高端市场，进一步提升公司的全球市场竞争力。初期快速导入</w:t>
            </w:r>
            <w:proofErr w:type="gramStart"/>
            <w:r w:rsidRPr="00B70953">
              <w:rPr>
                <w:rFonts w:ascii="宋体" w:eastAsia="宋体" w:hAnsi="宋体" w:cs="宋体" w:hint="eastAsia"/>
                <w:kern w:val="0"/>
                <w:shd w:val="clear" w:color="auto" w:fill="FFFFFF"/>
                <w:lang w:eastAsia="zh-CN" w:bidi="ar"/>
              </w:rPr>
              <w:t>科研级</w:t>
            </w:r>
            <w:proofErr w:type="gramEnd"/>
            <w:r w:rsidRPr="00B70953">
              <w:rPr>
                <w:rFonts w:ascii="宋体" w:eastAsia="宋体" w:hAnsi="宋体" w:cs="宋体" w:hint="eastAsia"/>
                <w:kern w:val="0"/>
                <w:shd w:val="clear" w:color="auto" w:fill="FFFFFF"/>
                <w:lang w:eastAsia="zh-CN" w:bidi="ar"/>
              </w:rPr>
              <w:t>产品建立市场基础，同时积极推进检测试剂和设备等临床产品的PMDA认证工作，</w:t>
            </w:r>
            <w:proofErr w:type="gramStart"/>
            <w:r w:rsidRPr="00B70953">
              <w:rPr>
                <w:rFonts w:ascii="宋体" w:eastAsia="宋体" w:hAnsi="宋体" w:cs="宋体" w:hint="eastAsia"/>
                <w:kern w:val="0"/>
                <w:shd w:val="clear" w:color="auto" w:fill="FFFFFF"/>
                <w:lang w:eastAsia="zh-CN" w:bidi="ar"/>
              </w:rPr>
              <w:t>而材料</w:t>
            </w:r>
            <w:proofErr w:type="gramEnd"/>
            <w:r w:rsidRPr="00B70953">
              <w:rPr>
                <w:rFonts w:ascii="宋体" w:eastAsia="宋体" w:hAnsi="宋体" w:cs="宋体" w:hint="eastAsia"/>
                <w:kern w:val="0"/>
                <w:shd w:val="clear" w:color="auto" w:fill="FFFFFF"/>
                <w:lang w:eastAsia="zh-CN" w:bidi="ar"/>
              </w:rPr>
              <w:t>类产品则可直接投放市场实现快速商业化。这一布局不仅能提升品牌国际影响力，更能确保以合</w:t>
            </w:r>
            <w:proofErr w:type="gramStart"/>
            <w:r w:rsidRPr="00B70953">
              <w:rPr>
                <w:rFonts w:ascii="宋体" w:eastAsia="宋体" w:hAnsi="宋体" w:cs="宋体" w:hint="eastAsia"/>
                <w:kern w:val="0"/>
                <w:shd w:val="clear" w:color="auto" w:fill="FFFFFF"/>
                <w:lang w:eastAsia="zh-CN" w:bidi="ar"/>
              </w:rPr>
              <w:t>规</w:t>
            </w:r>
            <w:proofErr w:type="gramEnd"/>
            <w:r w:rsidRPr="00B70953">
              <w:rPr>
                <w:rFonts w:ascii="宋体" w:eastAsia="宋体" w:hAnsi="宋体" w:cs="宋体" w:hint="eastAsia"/>
                <w:kern w:val="0"/>
                <w:shd w:val="clear" w:color="auto" w:fill="FFFFFF"/>
                <w:lang w:eastAsia="zh-CN" w:bidi="ar"/>
              </w:rPr>
              <w:t>、高效的方式满足不同市场的需求，为后续全球化发展奠定坚实基础。</w:t>
            </w:r>
          </w:p>
          <w:p w14:paraId="2C08E437" w14:textId="39C8A6E2" w:rsidR="00E15654" w:rsidRPr="00C64148" w:rsidRDefault="00E15654" w:rsidP="00B70953">
            <w:pPr>
              <w:spacing w:line="56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14:paraId="7C745AA1" w14:textId="77777777" w:rsidR="00786766" w:rsidRDefault="00786766"/>
    <w:sectPr w:rsidR="0078676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BD3A" w14:textId="77777777" w:rsidR="000213C6" w:rsidRDefault="000213C6">
      <w:r>
        <w:separator/>
      </w:r>
    </w:p>
  </w:endnote>
  <w:endnote w:type="continuationSeparator" w:id="0">
    <w:p w14:paraId="5B29B119" w14:textId="77777777" w:rsidR="000213C6" w:rsidRDefault="0002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B914" w14:textId="77777777" w:rsidR="000213C6" w:rsidRDefault="000213C6">
      <w:r>
        <w:separator/>
      </w:r>
    </w:p>
  </w:footnote>
  <w:footnote w:type="continuationSeparator" w:id="0">
    <w:p w14:paraId="210DDBA1" w14:textId="77777777" w:rsidR="000213C6" w:rsidRDefault="0002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15E9" w14:textId="1B4BE075" w:rsidR="00786766" w:rsidRDefault="00FB0681">
    <w:pPr>
      <w:pStyle w:val="a9"/>
      <w:jc w:val="left"/>
    </w:pPr>
    <w:r>
      <w:rPr>
        <w:rFonts w:ascii="宋体" w:eastAsia="宋体" w:hAnsi="宋体" w:cs="宋体" w:hint="eastAsia"/>
        <w:b/>
        <w:bCs/>
        <w:sz w:val="24"/>
        <w:szCs w:val="24"/>
      </w:rPr>
      <w:t>证券简称：之江生物                                  证券代码：688317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64FB2"/>
    <w:multiLevelType w:val="singleLevel"/>
    <w:tmpl w:val="91A64FB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NhNDBlMzE4M2I0ZmQwZTJkOTYyOTQ3MGQ1MGYyODAifQ=="/>
  </w:docVars>
  <w:rsids>
    <w:rsidRoot w:val="004E38CE"/>
    <w:rsid w:val="00007266"/>
    <w:rsid w:val="00007BF5"/>
    <w:rsid w:val="000204D5"/>
    <w:rsid w:val="000213C6"/>
    <w:rsid w:val="00041D9D"/>
    <w:rsid w:val="000E28C0"/>
    <w:rsid w:val="00126F6F"/>
    <w:rsid w:val="00145CC7"/>
    <w:rsid w:val="00150A86"/>
    <w:rsid w:val="001511C8"/>
    <w:rsid w:val="001925CE"/>
    <w:rsid w:val="001A5D03"/>
    <w:rsid w:val="001D45C3"/>
    <w:rsid w:val="001D7D59"/>
    <w:rsid w:val="001F34F9"/>
    <w:rsid w:val="002050CF"/>
    <w:rsid w:val="002212EE"/>
    <w:rsid w:val="002524A1"/>
    <w:rsid w:val="002C16D4"/>
    <w:rsid w:val="002C49A2"/>
    <w:rsid w:val="0031283E"/>
    <w:rsid w:val="00331C82"/>
    <w:rsid w:val="003C0DFA"/>
    <w:rsid w:val="003C7394"/>
    <w:rsid w:val="0041193E"/>
    <w:rsid w:val="00430EC9"/>
    <w:rsid w:val="004E05DF"/>
    <w:rsid w:val="004E38CE"/>
    <w:rsid w:val="004E6A2C"/>
    <w:rsid w:val="00501956"/>
    <w:rsid w:val="005248DB"/>
    <w:rsid w:val="0053742C"/>
    <w:rsid w:val="005435D2"/>
    <w:rsid w:val="00544F3A"/>
    <w:rsid w:val="00575AA1"/>
    <w:rsid w:val="005D12CF"/>
    <w:rsid w:val="005D6A82"/>
    <w:rsid w:val="006400DD"/>
    <w:rsid w:val="00642722"/>
    <w:rsid w:val="006A6BA2"/>
    <w:rsid w:val="006E2581"/>
    <w:rsid w:val="006E7F5A"/>
    <w:rsid w:val="006F5F81"/>
    <w:rsid w:val="00721FC1"/>
    <w:rsid w:val="00763D78"/>
    <w:rsid w:val="00786766"/>
    <w:rsid w:val="00843EE7"/>
    <w:rsid w:val="00844EFE"/>
    <w:rsid w:val="0086254B"/>
    <w:rsid w:val="00894916"/>
    <w:rsid w:val="008A1908"/>
    <w:rsid w:val="008F64D9"/>
    <w:rsid w:val="0091539A"/>
    <w:rsid w:val="00925590"/>
    <w:rsid w:val="00957709"/>
    <w:rsid w:val="00993463"/>
    <w:rsid w:val="009A263B"/>
    <w:rsid w:val="009C1151"/>
    <w:rsid w:val="009F005B"/>
    <w:rsid w:val="00A04A46"/>
    <w:rsid w:val="00A745D8"/>
    <w:rsid w:val="00A86B43"/>
    <w:rsid w:val="00A94C55"/>
    <w:rsid w:val="00AA2D87"/>
    <w:rsid w:val="00AF040C"/>
    <w:rsid w:val="00B70953"/>
    <w:rsid w:val="00BB695B"/>
    <w:rsid w:val="00BE61F3"/>
    <w:rsid w:val="00BF357E"/>
    <w:rsid w:val="00C337F0"/>
    <w:rsid w:val="00C64148"/>
    <w:rsid w:val="00CA1657"/>
    <w:rsid w:val="00CB276A"/>
    <w:rsid w:val="00CF04DF"/>
    <w:rsid w:val="00D12D78"/>
    <w:rsid w:val="00D1484E"/>
    <w:rsid w:val="00D32466"/>
    <w:rsid w:val="00D417B6"/>
    <w:rsid w:val="00D51D8D"/>
    <w:rsid w:val="00D75316"/>
    <w:rsid w:val="00DC26F6"/>
    <w:rsid w:val="00E15654"/>
    <w:rsid w:val="00E32733"/>
    <w:rsid w:val="00E603FA"/>
    <w:rsid w:val="00E71BC5"/>
    <w:rsid w:val="00E913F2"/>
    <w:rsid w:val="00EC043A"/>
    <w:rsid w:val="00ED2C5A"/>
    <w:rsid w:val="00EE440E"/>
    <w:rsid w:val="00EF5318"/>
    <w:rsid w:val="00F06482"/>
    <w:rsid w:val="00F143EE"/>
    <w:rsid w:val="00FA2CE6"/>
    <w:rsid w:val="00FB0681"/>
    <w:rsid w:val="00FD2D42"/>
    <w:rsid w:val="03B94246"/>
    <w:rsid w:val="05DF3DE1"/>
    <w:rsid w:val="10C2169C"/>
    <w:rsid w:val="113413B0"/>
    <w:rsid w:val="11935716"/>
    <w:rsid w:val="12BE0493"/>
    <w:rsid w:val="17A821AF"/>
    <w:rsid w:val="17D26762"/>
    <w:rsid w:val="18673677"/>
    <w:rsid w:val="18E3411F"/>
    <w:rsid w:val="19902D1D"/>
    <w:rsid w:val="1DB07476"/>
    <w:rsid w:val="1F9E4534"/>
    <w:rsid w:val="22327245"/>
    <w:rsid w:val="22AC4CE9"/>
    <w:rsid w:val="23A1697A"/>
    <w:rsid w:val="276E1732"/>
    <w:rsid w:val="29F86C12"/>
    <w:rsid w:val="2B5C7F1B"/>
    <w:rsid w:val="2C3167C0"/>
    <w:rsid w:val="32B60D6E"/>
    <w:rsid w:val="350B1891"/>
    <w:rsid w:val="3C973C5F"/>
    <w:rsid w:val="3CA757CE"/>
    <w:rsid w:val="3E8A7577"/>
    <w:rsid w:val="42A97452"/>
    <w:rsid w:val="43087A30"/>
    <w:rsid w:val="49D002BE"/>
    <w:rsid w:val="4A6C513B"/>
    <w:rsid w:val="4C265483"/>
    <w:rsid w:val="4DCC0923"/>
    <w:rsid w:val="521833A7"/>
    <w:rsid w:val="54EC40F3"/>
    <w:rsid w:val="57016C0B"/>
    <w:rsid w:val="61B53248"/>
    <w:rsid w:val="64892B9A"/>
    <w:rsid w:val="6AF11079"/>
    <w:rsid w:val="6DD11099"/>
    <w:rsid w:val="6FB75A30"/>
    <w:rsid w:val="719B709D"/>
    <w:rsid w:val="744B090F"/>
    <w:rsid w:val="74700A08"/>
    <w:rsid w:val="779F037C"/>
    <w:rsid w:val="7AAE3E0E"/>
    <w:rsid w:val="7D7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E9EFC"/>
  <w15:docId w15:val="{DEC218E6-18DC-4CEA-AD51-C6E21D9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semiHidden/>
    <w:qFormat/>
    <w:rPr>
      <w:rFonts w:ascii="微软雅黑" w:eastAsia="微软雅黑" w:hAnsi="微软雅黑" w:cs="微软雅黑"/>
      <w:sz w:val="24"/>
      <w:szCs w:val="24"/>
      <w:lang w:eastAsia="en-US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楚天舒</dc:creator>
  <cp:lastModifiedBy>李成思</cp:lastModifiedBy>
  <cp:revision>24</cp:revision>
  <dcterms:created xsi:type="dcterms:W3CDTF">2022-05-26T03:24:00Z</dcterms:created>
  <dcterms:modified xsi:type="dcterms:W3CDTF">2025-08-14T09:06:00Z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C03E0C7B5FEA45DDA4FC687868ED5B99</vt:lpwstr>
  </property>
  <property fmtid="{D5CDD505-2E9C-101B-9397-08002B2CF9AE}" pid="4" name="_IPGFID">
    <vt:lpwstr>[DocID]=DDBEC7F4-312E-4FD4-92FA-4A7AE5C135CB</vt:lpwstr>
  </property>
  <property fmtid="{D5CDD505-2E9C-101B-9397-08002B2CF9AE}" pid="5" name="KSOTemplateDocerSaveRecord">
    <vt:lpwstr>eyJoZGlkIjoiMGVjZDVjNGQ2MTdiNzc2ZGUzYmEwNDczZTIzNTZmZGUiLCJ1c2VySWQiOiI0NTMzODg0OTMifQ==</vt:lpwstr>
  </property>
  <property fmtid="{D5CDD505-2E9C-101B-9397-08002B2CF9AE}" pid="6" name="_IPGLAB_P-6C1F_E-1_CV-AB0C9A7D_CN-33F578B0">
    <vt:lpwstr>I0UiTrSZWDQVaOVEbFfN20QclMXj9yRaW05YjKQJMWxDlogf5kjwz4B3IUaLOXjKBDkUY8TwS+QW19V5tAg49JuUbKuZtGkBU9kL62w+0ei9J0LEw53b9iJVo0hFEXDU</vt:lpwstr>
  </property>
</Properties>
</file>