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A8C6">
      <w:pPr>
        <w:spacing w:before="156" w:beforeLines="50" w:after="156" w:afterLines="50" w:line="400" w:lineRule="exact"/>
        <w:rPr>
          <w:rFonts w:hint="eastAsia"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</w:rPr>
        <w:t>证券代码：603062</w:t>
      </w:r>
      <w:r>
        <w:rPr>
          <w:rFonts w:ascii="宋体" w:hAnsi="宋体"/>
          <w:b/>
          <w:bCs/>
          <w:iCs/>
          <w:sz w:val="24"/>
        </w:rPr>
        <w:t xml:space="preserve">                                  </w:t>
      </w:r>
      <w:r>
        <w:rPr>
          <w:rFonts w:hint="eastAsia" w:ascii="宋体" w:hAnsi="宋体"/>
          <w:b/>
          <w:bCs/>
          <w:iCs/>
          <w:sz w:val="24"/>
        </w:rPr>
        <w:t>证券简称：麦加芯彩</w:t>
      </w:r>
    </w:p>
    <w:p w14:paraId="0F6D80A9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hint="eastAsia"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麦加芯彩新材料科技（上海）股份有限公司投资者关系活动记录表</w:t>
      </w:r>
    </w:p>
    <w:p w14:paraId="76ED86DE">
      <w:pPr>
        <w:spacing w:line="400" w:lineRule="exact"/>
        <w:rPr>
          <w:rFonts w:hint="eastAsia"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编号：2025-005</w:t>
      </w:r>
    </w:p>
    <w:tbl>
      <w:tblPr>
        <w:tblStyle w:val="8"/>
        <w:tblW w:w="8727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146"/>
      </w:tblGrid>
      <w:tr w14:paraId="7821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9" w:hRule="atLeast"/>
        </w:trPr>
        <w:tc>
          <w:tcPr>
            <w:tcW w:w="1581" w:type="dxa"/>
            <w:vAlign w:val="center"/>
          </w:tcPr>
          <w:p w14:paraId="115BEAB0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投资者关系</w:t>
            </w:r>
          </w:p>
          <w:p w14:paraId="0E47151E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活动类别</w:t>
            </w:r>
          </w:p>
          <w:p w14:paraId="5801D5B2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</w:p>
        </w:tc>
        <w:tc>
          <w:tcPr>
            <w:tcW w:w="7146" w:type="dxa"/>
          </w:tcPr>
          <w:p w14:paraId="596FF789">
            <w:pPr>
              <w:spacing w:line="480" w:lineRule="atLeast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分析师会议</w:t>
            </w:r>
          </w:p>
          <w:p w14:paraId="377835DC">
            <w:pPr>
              <w:spacing w:line="480" w:lineRule="atLeast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业绩说明会</w:t>
            </w:r>
          </w:p>
          <w:p w14:paraId="19B712C3">
            <w:pPr>
              <w:spacing w:line="480" w:lineRule="atLeast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路演活动</w:t>
            </w:r>
          </w:p>
          <w:p w14:paraId="1F579484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现场参观</w:t>
            </w:r>
            <w:r>
              <w:rPr>
                <w:rFonts w:ascii="宋体" w:hAnsi="宋体"/>
                <w:bCs/>
                <w:iCs/>
                <w:szCs w:val="21"/>
              </w:rPr>
              <w:tab/>
            </w:r>
          </w:p>
          <w:p w14:paraId="7DE93EFA">
            <w:pPr>
              <w:tabs>
                <w:tab w:val="center" w:pos="3199"/>
              </w:tabs>
              <w:spacing w:line="480" w:lineRule="atLeast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 （</w:t>
            </w:r>
            <w:r>
              <w:rPr>
                <w:rFonts w:hint="eastAsia" w:ascii="宋体" w:hAnsi="宋体"/>
                <w:szCs w:val="21"/>
                <w:u w:val="single"/>
              </w:rPr>
              <w:t>请文字说明其他活动内容）</w:t>
            </w:r>
          </w:p>
        </w:tc>
      </w:tr>
      <w:tr w14:paraId="3819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81" w:type="dxa"/>
            <w:vAlign w:val="center"/>
          </w:tcPr>
          <w:p w14:paraId="6129879B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参与单位名称</w:t>
            </w:r>
          </w:p>
        </w:tc>
        <w:tc>
          <w:tcPr>
            <w:tcW w:w="7146" w:type="dxa"/>
            <w:tcBorders>
              <w:bottom w:val="single" w:color="FFFFFF" w:themeColor="background1" w:sz="4" w:space="0"/>
            </w:tcBorders>
          </w:tcPr>
          <w:p w14:paraId="7F854E4A">
            <w:pPr>
              <w:spacing w:line="480" w:lineRule="exact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永盈基金、新华资产、华商基金、国盛证券</w:t>
            </w:r>
          </w:p>
        </w:tc>
      </w:tr>
      <w:tr w14:paraId="14D3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1" w:type="dxa"/>
            <w:vAlign w:val="center"/>
          </w:tcPr>
          <w:p w14:paraId="41E81D43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时间</w:t>
            </w:r>
          </w:p>
        </w:tc>
        <w:tc>
          <w:tcPr>
            <w:tcW w:w="7146" w:type="dxa"/>
            <w:vAlign w:val="center"/>
          </w:tcPr>
          <w:p w14:paraId="00B758BA">
            <w:pPr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2025年8月13、15日</w:t>
            </w:r>
          </w:p>
        </w:tc>
      </w:tr>
      <w:tr w14:paraId="7FF5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81" w:type="dxa"/>
            <w:vAlign w:val="center"/>
          </w:tcPr>
          <w:p w14:paraId="13AF4FD8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地点</w:t>
            </w:r>
          </w:p>
        </w:tc>
        <w:tc>
          <w:tcPr>
            <w:tcW w:w="7146" w:type="dxa"/>
            <w:vAlign w:val="center"/>
          </w:tcPr>
          <w:p w14:paraId="4796D1A5">
            <w:pPr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公司会议室</w:t>
            </w:r>
          </w:p>
        </w:tc>
      </w:tr>
      <w:tr w14:paraId="35A9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81" w:type="dxa"/>
            <w:vAlign w:val="center"/>
          </w:tcPr>
          <w:p w14:paraId="08C8F551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上市公司接待人员姓名</w:t>
            </w:r>
          </w:p>
        </w:tc>
        <w:tc>
          <w:tcPr>
            <w:tcW w:w="7146" w:type="dxa"/>
            <w:vAlign w:val="center"/>
          </w:tcPr>
          <w:p w14:paraId="2F499A1C">
            <w:pPr>
              <w:spacing w:before="156" w:beforeLines="50" w:after="156" w:afterLines="50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董事会秘书、财务总监：崔健民</w:t>
            </w:r>
          </w:p>
        </w:tc>
      </w:tr>
      <w:tr w14:paraId="3916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581" w:type="dxa"/>
            <w:vAlign w:val="center"/>
          </w:tcPr>
          <w:p w14:paraId="54D052C7">
            <w:pPr>
              <w:jc w:val="left"/>
              <w:rPr>
                <w:rFonts w:hint="eastAsia" w:ascii="宋体" w:hAnsi="宋体"/>
                <w:b/>
                <w:bCs/>
                <w:iCs/>
                <w:szCs w:val="21"/>
              </w:rPr>
            </w:pPr>
            <w:bookmarkStart w:id="0" w:name="_Hlk150442484"/>
            <w:r>
              <w:rPr>
                <w:rFonts w:hint="eastAsia" w:ascii="宋体" w:hAnsi="宋体"/>
                <w:b/>
                <w:bCs/>
                <w:iCs/>
                <w:szCs w:val="21"/>
              </w:rPr>
              <w:t>投资者关系</w:t>
            </w:r>
          </w:p>
          <w:p w14:paraId="57048F02">
            <w:pPr>
              <w:jc w:val="left"/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活动主要</w:t>
            </w:r>
          </w:p>
          <w:p w14:paraId="64EF1D16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内容介绍</w:t>
            </w:r>
          </w:p>
          <w:p w14:paraId="443BBB45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</w:p>
        </w:tc>
        <w:tc>
          <w:tcPr>
            <w:tcW w:w="7146" w:type="dxa"/>
          </w:tcPr>
          <w:p w14:paraId="428C1D95">
            <w:pPr>
              <w:numPr>
                <w:ilvl w:val="255"/>
                <w:numId w:val="0"/>
              </w:num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1、根据公开资料披露，公司珠海项目预计在今年6月投产，目前实际进展如何？</w:t>
            </w:r>
          </w:p>
          <w:p w14:paraId="572FB2E1">
            <w:pPr>
              <w:spacing w:before="156" w:beforeLines="50" w:line="360" w:lineRule="auto"/>
              <w:ind w:firstLine="420" w:firstLineChars="200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答：珠海项目已经按计划进度建设完成，产线在6月末达到预定可使用状态并开始生产，后续将根据客户订单地理位置分布及订单饱和量合理安排上海、南通、珠海三个基地的生产。</w:t>
            </w:r>
          </w:p>
          <w:p w14:paraId="6C642B31">
            <w:pPr>
              <w:spacing w:before="156" w:beforeLines="50" w:line="360" w:lineRule="auto"/>
              <w:ind w:firstLine="420" w:firstLineChars="200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珠海项目是公司自动化程度、智能化程度最高的工厂，标志着公司生产进入一个新的台阶，同时也是公司大规模产能建设的重要节点，预计未来至少三年之内，公司无需进行大规模资本支出。</w:t>
            </w:r>
          </w:p>
          <w:p w14:paraId="1DF2ADF0">
            <w:p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为了充分利用新增产能，公司将在原有业务之外，不断增加新的领域，让产能尽快转化为收益。</w:t>
            </w:r>
          </w:p>
          <w:p w14:paraId="0D8F9B26">
            <w:p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2、今年以来，业界普遍认为风电行业势头较好，从公司业务情况来看是否符合行业共识？</w:t>
            </w:r>
          </w:p>
          <w:p w14:paraId="7B67495E">
            <w:pPr>
              <w:spacing w:before="156" w:beforeLines="50" w:line="360" w:lineRule="auto"/>
              <w:ind w:firstLine="420" w:firstLineChars="200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：风电行业涂料销售是公司2025年利润来源的重要组成部分。公司一方面借行业东风积极扩大销售，另一方面今年也将海外客户订单作为重要的增量来源。公司继NORDEX之外，继续推进国际化的步伐。同时，海上塔筒所涉及的NORSOK 501认证也在进展之中。</w:t>
            </w:r>
          </w:p>
          <w:p w14:paraId="3D4543A2">
            <w:p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未来几年，通过不断开拓境外客户，以及海上塔筒业务的加入，公司有望建立风电涂料业务的连续增长梯次。</w:t>
            </w:r>
          </w:p>
          <w:p w14:paraId="698BD3BA">
            <w:pPr>
              <w:spacing w:before="156" w:beforeLines="50" w:line="360" w:lineRule="auto"/>
              <w:ind w:firstLine="420" w:firstLineChars="200"/>
              <w:rPr>
                <w:rFonts w:hint="eastAsia" w:ascii="宋体" w:hAnsi="宋体" w:eastAsia="宋体"/>
                <w:bCs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3、公司船舶涂料认证进展如何？2025年内预计是否可以实现订单落地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1D164D8">
            <w:p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：继挪威船级社之后，公司在中国和美国船级社的认证工作正在进行中，目前来看进展顺利。针对船舶涂料销售，目前也在推进之中，今年实现部分订单落地概率较高。船舶涂料是个高门槛的业务，尤其是境外船东的开拓和放量，需要一家一家逐步进入，国产替代是个厚积薄发的过程，公司有信心走好这条国产替代之路。</w:t>
            </w:r>
          </w:p>
        </w:tc>
      </w:tr>
      <w:bookmarkEnd w:id="0"/>
      <w:tr w14:paraId="1261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1" w:type="dxa"/>
            <w:vAlign w:val="center"/>
          </w:tcPr>
          <w:p w14:paraId="33D1C4B0">
            <w:pPr>
              <w:jc w:val="both"/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附件清单</w:t>
            </w:r>
          </w:p>
        </w:tc>
        <w:tc>
          <w:tcPr>
            <w:tcW w:w="7146" w:type="dxa"/>
            <w:vAlign w:val="center"/>
          </w:tcPr>
          <w:p w14:paraId="1173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4ED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81" w:type="dxa"/>
            <w:vAlign w:val="center"/>
          </w:tcPr>
          <w:p w14:paraId="3F7EC199">
            <w:pPr>
              <w:rPr>
                <w:rFonts w:hint="eastAsia" w:ascii="宋体" w:hAnsi="宋体"/>
                <w:b/>
                <w:bCs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szCs w:val="21"/>
              </w:rPr>
              <w:t>公告日期</w:t>
            </w:r>
          </w:p>
        </w:tc>
        <w:tc>
          <w:tcPr>
            <w:tcW w:w="7146" w:type="dxa"/>
            <w:vAlign w:val="center"/>
          </w:tcPr>
          <w:p w14:paraId="7CD5E637">
            <w:pPr>
              <w:spacing w:line="240" w:lineRule="auto"/>
              <w:jc w:val="both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2</w:t>
            </w:r>
            <w:r>
              <w:rPr>
                <w:rFonts w:ascii="宋体" w:hAnsi="宋体"/>
                <w:bCs/>
                <w:iCs/>
                <w:szCs w:val="21"/>
              </w:rPr>
              <w:t>02</w:t>
            </w:r>
            <w:r>
              <w:rPr>
                <w:rFonts w:hint="eastAsia" w:ascii="宋体" w:hAnsi="宋体"/>
                <w:bCs/>
                <w:iCs/>
                <w:szCs w:val="21"/>
              </w:rPr>
              <w:t>5年8月19日</w:t>
            </w:r>
          </w:p>
        </w:tc>
      </w:tr>
    </w:tbl>
    <w:p w14:paraId="22968F33">
      <w:pPr>
        <w:rPr>
          <w:rFonts w:hint="default"/>
          <w:lang w:val="en-US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9C0C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A632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A632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6B0E6C"/>
    <w:rsid w:val="00004C04"/>
    <w:rsid w:val="00011527"/>
    <w:rsid w:val="00012FF9"/>
    <w:rsid w:val="00016A7E"/>
    <w:rsid w:val="00026B2F"/>
    <w:rsid w:val="00036B52"/>
    <w:rsid w:val="0004299A"/>
    <w:rsid w:val="000435DD"/>
    <w:rsid w:val="000567C9"/>
    <w:rsid w:val="00072282"/>
    <w:rsid w:val="00076410"/>
    <w:rsid w:val="0008221E"/>
    <w:rsid w:val="00086A2A"/>
    <w:rsid w:val="00092082"/>
    <w:rsid w:val="000959EE"/>
    <w:rsid w:val="000A34AB"/>
    <w:rsid w:val="000A3E4F"/>
    <w:rsid w:val="000C3E42"/>
    <w:rsid w:val="000D23CD"/>
    <w:rsid w:val="000D4219"/>
    <w:rsid w:val="000D6F15"/>
    <w:rsid w:val="000E51B1"/>
    <w:rsid w:val="001128C8"/>
    <w:rsid w:val="0013434A"/>
    <w:rsid w:val="001405E0"/>
    <w:rsid w:val="00141EEE"/>
    <w:rsid w:val="0015404C"/>
    <w:rsid w:val="0015543C"/>
    <w:rsid w:val="00160A36"/>
    <w:rsid w:val="0017474C"/>
    <w:rsid w:val="001813E3"/>
    <w:rsid w:val="00182606"/>
    <w:rsid w:val="00192F82"/>
    <w:rsid w:val="0019316B"/>
    <w:rsid w:val="001A5110"/>
    <w:rsid w:val="001A6134"/>
    <w:rsid w:val="001B23CD"/>
    <w:rsid w:val="001B502C"/>
    <w:rsid w:val="001C02A1"/>
    <w:rsid w:val="001C0410"/>
    <w:rsid w:val="001D3513"/>
    <w:rsid w:val="001D4ADB"/>
    <w:rsid w:val="001D5369"/>
    <w:rsid w:val="001E58C4"/>
    <w:rsid w:val="00201372"/>
    <w:rsid w:val="002122D5"/>
    <w:rsid w:val="0021606C"/>
    <w:rsid w:val="002173FD"/>
    <w:rsid w:val="00240FA3"/>
    <w:rsid w:val="0025568F"/>
    <w:rsid w:val="00260609"/>
    <w:rsid w:val="00263496"/>
    <w:rsid w:val="00275288"/>
    <w:rsid w:val="002958D6"/>
    <w:rsid w:val="002A5B01"/>
    <w:rsid w:val="002A6EF6"/>
    <w:rsid w:val="002B2E8E"/>
    <w:rsid w:val="002B392B"/>
    <w:rsid w:val="002B5EB2"/>
    <w:rsid w:val="002C1F7B"/>
    <w:rsid w:val="002C7E0B"/>
    <w:rsid w:val="002D28B5"/>
    <w:rsid w:val="002E4C56"/>
    <w:rsid w:val="002F05C7"/>
    <w:rsid w:val="00314911"/>
    <w:rsid w:val="00317C59"/>
    <w:rsid w:val="00333869"/>
    <w:rsid w:val="00337D7A"/>
    <w:rsid w:val="0034612C"/>
    <w:rsid w:val="0035619A"/>
    <w:rsid w:val="00361434"/>
    <w:rsid w:val="0036558D"/>
    <w:rsid w:val="00366565"/>
    <w:rsid w:val="00370ECE"/>
    <w:rsid w:val="00382A80"/>
    <w:rsid w:val="00390389"/>
    <w:rsid w:val="00394D22"/>
    <w:rsid w:val="00394DE3"/>
    <w:rsid w:val="00396461"/>
    <w:rsid w:val="003A712B"/>
    <w:rsid w:val="003C07D7"/>
    <w:rsid w:val="003E0A10"/>
    <w:rsid w:val="003F55F2"/>
    <w:rsid w:val="004009CA"/>
    <w:rsid w:val="00402F61"/>
    <w:rsid w:val="00404CDC"/>
    <w:rsid w:val="00417FC3"/>
    <w:rsid w:val="0043752E"/>
    <w:rsid w:val="00444560"/>
    <w:rsid w:val="00471257"/>
    <w:rsid w:val="00472ACD"/>
    <w:rsid w:val="004742AB"/>
    <w:rsid w:val="00475730"/>
    <w:rsid w:val="004809F2"/>
    <w:rsid w:val="00487B8E"/>
    <w:rsid w:val="00491779"/>
    <w:rsid w:val="00491B8D"/>
    <w:rsid w:val="004935C2"/>
    <w:rsid w:val="004A2C90"/>
    <w:rsid w:val="004B0458"/>
    <w:rsid w:val="004B36A1"/>
    <w:rsid w:val="004B6085"/>
    <w:rsid w:val="004C6E9F"/>
    <w:rsid w:val="004D5BB3"/>
    <w:rsid w:val="004E4725"/>
    <w:rsid w:val="004E61A3"/>
    <w:rsid w:val="004E7C4E"/>
    <w:rsid w:val="0050764F"/>
    <w:rsid w:val="00510387"/>
    <w:rsid w:val="00514F48"/>
    <w:rsid w:val="00525195"/>
    <w:rsid w:val="00534818"/>
    <w:rsid w:val="005362CB"/>
    <w:rsid w:val="00544132"/>
    <w:rsid w:val="005510A2"/>
    <w:rsid w:val="00561EA3"/>
    <w:rsid w:val="00565E16"/>
    <w:rsid w:val="005754B0"/>
    <w:rsid w:val="00584040"/>
    <w:rsid w:val="00585C24"/>
    <w:rsid w:val="005970C3"/>
    <w:rsid w:val="005A0DD7"/>
    <w:rsid w:val="005B7160"/>
    <w:rsid w:val="005C2B65"/>
    <w:rsid w:val="005C3404"/>
    <w:rsid w:val="005E2F24"/>
    <w:rsid w:val="005F081E"/>
    <w:rsid w:val="005F0FD2"/>
    <w:rsid w:val="005F4790"/>
    <w:rsid w:val="005F5D73"/>
    <w:rsid w:val="00602792"/>
    <w:rsid w:val="006112ED"/>
    <w:rsid w:val="00614F25"/>
    <w:rsid w:val="0061524E"/>
    <w:rsid w:val="006162DC"/>
    <w:rsid w:val="00622DE2"/>
    <w:rsid w:val="006310F3"/>
    <w:rsid w:val="0064668B"/>
    <w:rsid w:val="006479EF"/>
    <w:rsid w:val="00647FB6"/>
    <w:rsid w:val="006617A3"/>
    <w:rsid w:val="006745D9"/>
    <w:rsid w:val="00683C01"/>
    <w:rsid w:val="00685038"/>
    <w:rsid w:val="00691FF3"/>
    <w:rsid w:val="00697598"/>
    <w:rsid w:val="006A65E6"/>
    <w:rsid w:val="006A7077"/>
    <w:rsid w:val="006A7C6B"/>
    <w:rsid w:val="006B0E6C"/>
    <w:rsid w:val="006B4013"/>
    <w:rsid w:val="006D05C9"/>
    <w:rsid w:val="006D2345"/>
    <w:rsid w:val="006D3080"/>
    <w:rsid w:val="006D36E7"/>
    <w:rsid w:val="006E1FE0"/>
    <w:rsid w:val="006E54C4"/>
    <w:rsid w:val="006E6B79"/>
    <w:rsid w:val="007001D6"/>
    <w:rsid w:val="007238FB"/>
    <w:rsid w:val="00725794"/>
    <w:rsid w:val="00732916"/>
    <w:rsid w:val="00732E5C"/>
    <w:rsid w:val="007353B8"/>
    <w:rsid w:val="00736473"/>
    <w:rsid w:val="00742C37"/>
    <w:rsid w:val="00743E6A"/>
    <w:rsid w:val="00766225"/>
    <w:rsid w:val="00774C7A"/>
    <w:rsid w:val="00781BD3"/>
    <w:rsid w:val="00791D73"/>
    <w:rsid w:val="007A54AA"/>
    <w:rsid w:val="007C2C25"/>
    <w:rsid w:val="007C4B42"/>
    <w:rsid w:val="007D67AD"/>
    <w:rsid w:val="007E0DAD"/>
    <w:rsid w:val="007E18FA"/>
    <w:rsid w:val="007E3703"/>
    <w:rsid w:val="007E3B0E"/>
    <w:rsid w:val="007E4122"/>
    <w:rsid w:val="007E7BE7"/>
    <w:rsid w:val="007F5B86"/>
    <w:rsid w:val="00806E06"/>
    <w:rsid w:val="00815C0E"/>
    <w:rsid w:val="00831F70"/>
    <w:rsid w:val="00834456"/>
    <w:rsid w:val="008414CC"/>
    <w:rsid w:val="00852785"/>
    <w:rsid w:val="008920C5"/>
    <w:rsid w:val="0089652B"/>
    <w:rsid w:val="00896729"/>
    <w:rsid w:val="008A1A88"/>
    <w:rsid w:val="008A3497"/>
    <w:rsid w:val="008A40AE"/>
    <w:rsid w:val="008C2579"/>
    <w:rsid w:val="008C2D79"/>
    <w:rsid w:val="008E1952"/>
    <w:rsid w:val="008E72E3"/>
    <w:rsid w:val="00912925"/>
    <w:rsid w:val="00915919"/>
    <w:rsid w:val="00916219"/>
    <w:rsid w:val="00920CB6"/>
    <w:rsid w:val="00927EDA"/>
    <w:rsid w:val="009313A0"/>
    <w:rsid w:val="00931A7C"/>
    <w:rsid w:val="00931F3F"/>
    <w:rsid w:val="00933A68"/>
    <w:rsid w:val="00937DA2"/>
    <w:rsid w:val="00942F2C"/>
    <w:rsid w:val="009453CC"/>
    <w:rsid w:val="00947047"/>
    <w:rsid w:val="00950E2B"/>
    <w:rsid w:val="00951467"/>
    <w:rsid w:val="009662BA"/>
    <w:rsid w:val="00973AC4"/>
    <w:rsid w:val="009A57F9"/>
    <w:rsid w:val="009A5C4D"/>
    <w:rsid w:val="009B74E9"/>
    <w:rsid w:val="009F1526"/>
    <w:rsid w:val="009F205A"/>
    <w:rsid w:val="009F469D"/>
    <w:rsid w:val="00A16013"/>
    <w:rsid w:val="00A22593"/>
    <w:rsid w:val="00A300D3"/>
    <w:rsid w:val="00A33A53"/>
    <w:rsid w:val="00A426AE"/>
    <w:rsid w:val="00A519A3"/>
    <w:rsid w:val="00A51DBD"/>
    <w:rsid w:val="00A64115"/>
    <w:rsid w:val="00A6601D"/>
    <w:rsid w:val="00A71AA3"/>
    <w:rsid w:val="00A8798B"/>
    <w:rsid w:val="00A909DC"/>
    <w:rsid w:val="00A9189F"/>
    <w:rsid w:val="00A9727C"/>
    <w:rsid w:val="00AA41FD"/>
    <w:rsid w:val="00AA6846"/>
    <w:rsid w:val="00AA7346"/>
    <w:rsid w:val="00AB21AA"/>
    <w:rsid w:val="00AC2E07"/>
    <w:rsid w:val="00AC6C8B"/>
    <w:rsid w:val="00B10A7D"/>
    <w:rsid w:val="00B10A80"/>
    <w:rsid w:val="00B1604A"/>
    <w:rsid w:val="00B1765A"/>
    <w:rsid w:val="00B40B4B"/>
    <w:rsid w:val="00B540CC"/>
    <w:rsid w:val="00B604F1"/>
    <w:rsid w:val="00B66570"/>
    <w:rsid w:val="00B741C1"/>
    <w:rsid w:val="00B8463F"/>
    <w:rsid w:val="00B86935"/>
    <w:rsid w:val="00BB0A02"/>
    <w:rsid w:val="00BD4859"/>
    <w:rsid w:val="00BE1A32"/>
    <w:rsid w:val="00BE5DB3"/>
    <w:rsid w:val="00BF286F"/>
    <w:rsid w:val="00BF442B"/>
    <w:rsid w:val="00BF5BDD"/>
    <w:rsid w:val="00C04DB2"/>
    <w:rsid w:val="00C15170"/>
    <w:rsid w:val="00C2342B"/>
    <w:rsid w:val="00C42A9B"/>
    <w:rsid w:val="00C57F23"/>
    <w:rsid w:val="00C71512"/>
    <w:rsid w:val="00C739C1"/>
    <w:rsid w:val="00C7657F"/>
    <w:rsid w:val="00C93972"/>
    <w:rsid w:val="00C95F79"/>
    <w:rsid w:val="00CD0DDC"/>
    <w:rsid w:val="00CD64E1"/>
    <w:rsid w:val="00CF5F6B"/>
    <w:rsid w:val="00CF76B5"/>
    <w:rsid w:val="00D07A16"/>
    <w:rsid w:val="00D1217D"/>
    <w:rsid w:val="00D21438"/>
    <w:rsid w:val="00D27DA1"/>
    <w:rsid w:val="00D33963"/>
    <w:rsid w:val="00D36F88"/>
    <w:rsid w:val="00D46117"/>
    <w:rsid w:val="00D86A26"/>
    <w:rsid w:val="00D935F6"/>
    <w:rsid w:val="00DA093B"/>
    <w:rsid w:val="00DA583E"/>
    <w:rsid w:val="00DB343D"/>
    <w:rsid w:val="00DC213F"/>
    <w:rsid w:val="00DD5660"/>
    <w:rsid w:val="00DE385E"/>
    <w:rsid w:val="00DE3867"/>
    <w:rsid w:val="00DE4CFB"/>
    <w:rsid w:val="00DE7E53"/>
    <w:rsid w:val="00DF479B"/>
    <w:rsid w:val="00DF59C3"/>
    <w:rsid w:val="00E1571D"/>
    <w:rsid w:val="00E16BD3"/>
    <w:rsid w:val="00E22F9E"/>
    <w:rsid w:val="00E30BB8"/>
    <w:rsid w:val="00E3175D"/>
    <w:rsid w:val="00E351A5"/>
    <w:rsid w:val="00E60C15"/>
    <w:rsid w:val="00E66347"/>
    <w:rsid w:val="00E70AAE"/>
    <w:rsid w:val="00EA06BF"/>
    <w:rsid w:val="00EA6893"/>
    <w:rsid w:val="00EC71BA"/>
    <w:rsid w:val="00EE6D5E"/>
    <w:rsid w:val="00EF6D1B"/>
    <w:rsid w:val="00EF7AA9"/>
    <w:rsid w:val="00F05A86"/>
    <w:rsid w:val="00F13C15"/>
    <w:rsid w:val="00F16223"/>
    <w:rsid w:val="00F246BA"/>
    <w:rsid w:val="00F60F37"/>
    <w:rsid w:val="00F82BE7"/>
    <w:rsid w:val="00F86C14"/>
    <w:rsid w:val="00F9059E"/>
    <w:rsid w:val="00FA3C4F"/>
    <w:rsid w:val="00FB2B86"/>
    <w:rsid w:val="00FC0D3D"/>
    <w:rsid w:val="00FC70BC"/>
    <w:rsid w:val="00FE37CF"/>
    <w:rsid w:val="00FE4418"/>
    <w:rsid w:val="00FE4EF7"/>
    <w:rsid w:val="00FF0C19"/>
    <w:rsid w:val="00FF7A39"/>
    <w:rsid w:val="08E41A97"/>
    <w:rsid w:val="0B0805DA"/>
    <w:rsid w:val="0CD0095D"/>
    <w:rsid w:val="16822CFB"/>
    <w:rsid w:val="175F5AED"/>
    <w:rsid w:val="213E4898"/>
    <w:rsid w:val="23D22653"/>
    <w:rsid w:val="24D1585E"/>
    <w:rsid w:val="29776717"/>
    <w:rsid w:val="29E959E8"/>
    <w:rsid w:val="2AC258D0"/>
    <w:rsid w:val="2C7E555C"/>
    <w:rsid w:val="2C9C3410"/>
    <w:rsid w:val="2CF805AA"/>
    <w:rsid w:val="2DB36ACF"/>
    <w:rsid w:val="30D540AA"/>
    <w:rsid w:val="319163ED"/>
    <w:rsid w:val="333F7FD5"/>
    <w:rsid w:val="33B60F0D"/>
    <w:rsid w:val="39A05DA3"/>
    <w:rsid w:val="39B863C1"/>
    <w:rsid w:val="45D77EA2"/>
    <w:rsid w:val="47182731"/>
    <w:rsid w:val="48103B40"/>
    <w:rsid w:val="48D90193"/>
    <w:rsid w:val="49FD4A73"/>
    <w:rsid w:val="4E940979"/>
    <w:rsid w:val="4F551DBB"/>
    <w:rsid w:val="511E1251"/>
    <w:rsid w:val="512029C8"/>
    <w:rsid w:val="54D577E8"/>
    <w:rsid w:val="58FC7894"/>
    <w:rsid w:val="59CD102D"/>
    <w:rsid w:val="5C407FA4"/>
    <w:rsid w:val="5C93087D"/>
    <w:rsid w:val="621751B7"/>
    <w:rsid w:val="64AC5CB2"/>
    <w:rsid w:val="6585041D"/>
    <w:rsid w:val="702B30AF"/>
    <w:rsid w:val="70A4425D"/>
    <w:rsid w:val="70B0226E"/>
    <w:rsid w:val="71920663"/>
    <w:rsid w:val="71E56A73"/>
    <w:rsid w:val="72193DBF"/>
    <w:rsid w:val="73740A39"/>
    <w:rsid w:val="74EB3E62"/>
    <w:rsid w:val="75875B4C"/>
    <w:rsid w:val="758B46CC"/>
    <w:rsid w:val="784F64E3"/>
    <w:rsid w:val="79D37DD8"/>
    <w:rsid w:val="7B8B5D53"/>
    <w:rsid w:val="7E5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005正文 Char"/>
    <w:link w:val="17"/>
    <w:qFormat/>
    <w:uiPriority w:val="0"/>
    <w:rPr>
      <w:kern w:val="2"/>
      <w:sz w:val="24"/>
      <w:szCs w:val="22"/>
    </w:rPr>
  </w:style>
  <w:style w:type="paragraph" w:customStyle="1" w:styleId="17">
    <w:name w:val="005正文"/>
    <w:link w:val="16"/>
    <w:autoRedefine/>
    <w:qFormat/>
    <w:uiPriority w:val="0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批注文字 字符"/>
    <w:basedOn w:val="9"/>
    <w:link w:val="3"/>
    <w:semiHidden/>
    <w:qFormat/>
    <w:uiPriority w:val="99"/>
    <w:rPr>
      <w:kern w:val="2"/>
      <w:sz w:val="21"/>
    </w:rPr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  <w:kern w:val="2"/>
      <w:sz w:val="21"/>
    </w:rPr>
  </w:style>
  <w:style w:type="paragraph" w:customStyle="1" w:styleId="2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7">
    <w:name w:val="markdown-link-tai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857</Characters>
  <Lines>29</Lines>
  <Paragraphs>31</Paragraphs>
  <TotalTime>43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2025-08-18T08:07:00Z</dcterms:created>
  <dc:creator>张园园</dc:creator>
  <cp:lastModifiedBy>Charlotte Wang</cp:lastModifiedBy>
  <dcterms:modified xsi:type="dcterms:W3CDTF">2025-08-18T08:59:15Z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F4E34F3FE9FE4E0AA8BD531F9997D521_13</vt:lpwstr>
  </property>
  <property fmtid="{D5CDD505-2E9C-101B-9397-08002B2CF9AE}" pid="4" name="KSOTemplateDocerSaveRecord">
    <vt:lpwstr>eyJoZGlkIjoiOGI4NjI5OTBmMDM1ODFlMDkzNDFlZTFiMWNhZWU5ZTMiLCJ1c2VySWQiOiIxMzA1MjE2MzIwIn0=</vt:lpwstr>
  </property>
</Properties>
</file>