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9677" w14:textId="77777777" w:rsidR="005F6774" w:rsidRDefault="00000000">
      <w:pPr>
        <w:keepNext/>
        <w:keepLines/>
        <w:spacing w:before="260" w:after="260" w:line="360" w:lineRule="auto"/>
        <w:jc w:val="center"/>
        <w:outlineLvl w:val="1"/>
        <w:rPr>
          <w:rFonts w:ascii="宋体" w:hAnsi="宋体"/>
          <w:b/>
          <w:bCs/>
          <w:iCs/>
          <w:sz w:val="24"/>
          <w:szCs w:val="24"/>
        </w:rPr>
      </w:pPr>
      <w:r>
        <w:rPr>
          <w:rFonts w:ascii="仿宋_GB2312" w:eastAsia="仿宋_GB2312" w:hAnsi="仿宋_GB2312" w:cs="仿宋_GB2312" w:hint="eastAsia"/>
          <w:iCs/>
          <w:sz w:val="24"/>
          <w:szCs w:val="24"/>
        </w:rPr>
        <w:t>证券代码：600415                                 证券简称：小商品城</w:t>
      </w:r>
      <w:r>
        <w:rPr>
          <w:rFonts w:ascii="宋体" w:hAnsi="宋体"/>
          <w:b/>
          <w:bCs/>
          <w:iCs/>
          <w:sz w:val="24"/>
          <w:szCs w:val="24"/>
        </w:rPr>
        <w:t xml:space="preserve"> </w:t>
      </w:r>
    </w:p>
    <w:p w14:paraId="6C5DD870" w14:textId="77777777" w:rsidR="005F6774" w:rsidRDefault="00000000">
      <w:pPr>
        <w:keepNext/>
        <w:keepLines/>
        <w:jc w:val="center"/>
        <w:outlineLvl w:val="1"/>
        <w:rPr>
          <w:rFonts w:ascii="黑体" w:eastAsia="黑体" w:hAnsi="黑体" w:cs="黑体"/>
          <w:sz w:val="32"/>
          <w:szCs w:val="32"/>
        </w:rPr>
      </w:pPr>
      <w:r>
        <w:rPr>
          <w:rFonts w:ascii="黑体" w:eastAsia="黑体" w:hAnsi="黑体" w:cs="黑体" w:hint="eastAsia"/>
          <w:sz w:val="32"/>
          <w:szCs w:val="32"/>
        </w:rPr>
        <w:t>浙江中国小商品城集团股份有限公司</w:t>
      </w:r>
    </w:p>
    <w:p w14:paraId="2C9AEFA2" w14:textId="77777777" w:rsidR="005F6774" w:rsidRDefault="00000000">
      <w:pPr>
        <w:keepNext/>
        <w:keepLines/>
        <w:jc w:val="center"/>
        <w:outlineLvl w:val="1"/>
        <w:rPr>
          <w:rFonts w:ascii="黑体" w:eastAsia="黑体" w:hAnsi="黑体" w:cs="黑体"/>
          <w:sz w:val="32"/>
          <w:szCs w:val="32"/>
        </w:rPr>
      </w:pPr>
      <w:r>
        <w:rPr>
          <w:rFonts w:ascii="黑体" w:eastAsia="黑体" w:hAnsi="黑体" w:cs="黑体" w:hint="eastAsia"/>
          <w:sz w:val="32"/>
          <w:szCs w:val="32"/>
        </w:rPr>
        <w:t>投资者关系活动记录表</w:t>
      </w:r>
    </w:p>
    <w:p w14:paraId="12A62BD2" w14:textId="77777777" w:rsidR="005F6774" w:rsidRDefault="00000000">
      <w:pPr>
        <w:keepNext/>
        <w:keepLines/>
        <w:spacing w:beforeLines="50" w:before="156" w:afterLines="50" w:after="156" w:line="360" w:lineRule="auto"/>
        <w:jc w:val="right"/>
        <w:outlineLvl w:val="1"/>
        <w:rPr>
          <w:rFonts w:ascii="仿宋_GB2312" w:eastAsia="仿宋_GB2312" w:hAnsi="仿宋_GB2312" w:cs="仿宋_GB2312"/>
          <w:sz w:val="24"/>
          <w:szCs w:val="24"/>
        </w:rPr>
      </w:pPr>
      <w:r>
        <w:rPr>
          <w:rFonts w:ascii="仿宋_GB2312" w:eastAsia="仿宋_GB2312" w:hAnsi="仿宋_GB2312" w:cs="仿宋_GB2312" w:hint="eastAsia"/>
          <w:sz w:val="24"/>
          <w:szCs w:val="24"/>
        </w:rPr>
        <w:t>编号：2025-010</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379"/>
      </w:tblGrid>
      <w:tr w:rsidR="005F6774" w14:paraId="57070E9C" w14:textId="77777777">
        <w:tc>
          <w:tcPr>
            <w:tcW w:w="2411" w:type="dxa"/>
            <w:vAlign w:val="center"/>
          </w:tcPr>
          <w:p w14:paraId="034080E7"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投资者关系活动类别</w:t>
            </w:r>
          </w:p>
        </w:tc>
        <w:tc>
          <w:tcPr>
            <w:tcW w:w="6379" w:type="dxa"/>
          </w:tcPr>
          <w:p w14:paraId="4CB8528A" w14:textId="77777777" w:rsidR="005F6774"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特定对象调研        </w:t>
            </w:r>
            <w:r>
              <w:rPr>
                <w:rFonts w:ascii="宋体" w:hAnsi="宋体" w:cs="仿宋_GB2312" w:hint="eastAsia"/>
                <w:bCs/>
                <w:iCs/>
                <w:sz w:val="24"/>
                <w:szCs w:val="24"/>
              </w:rPr>
              <w:t>□</w:t>
            </w:r>
            <w:r>
              <w:rPr>
                <w:rFonts w:ascii="宋体" w:hAnsi="宋体" w:cs="仿宋_GB2312" w:hint="eastAsia"/>
                <w:sz w:val="24"/>
                <w:szCs w:val="24"/>
              </w:rPr>
              <w:t>分析师会议</w:t>
            </w:r>
          </w:p>
          <w:p w14:paraId="771D4756" w14:textId="77777777" w:rsidR="005F6774"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媒体采访            </w:t>
            </w:r>
            <w:r>
              <w:rPr>
                <w:rFonts w:ascii="宋体" w:hAnsi="宋体" w:cs="仿宋_GB2312" w:hint="eastAsia"/>
                <w:bCs/>
                <w:iCs/>
                <w:sz w:val="24"/>
                <w:szCs w:val="24"/>
              </w:rPr>
              <w:t>□</w:t>
            </w:r>
            <w:r>
              <w:rPr>
                <w:rFonts w:ascii="宋体" w:hAnsi="宋体" w:cs="仿宋_GB2312" w:hint="eastAsia"/>
                <w:sz w:val="24"/>
                <w:szCs w:val="24"/>
              </w:rPr>
              <w:t>业绩说明会</w:t>
            </w:r>
          </w:p>
          <w:p w14:paraId="6AA14D57" w14:textId="77777777" w:rsidR="005F6774"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新闻发布会          </w:t>
            </w:r>
            <w:r>
              <w:rPr>
                <w:rFonts w:ascii="宋体" w:hAnsi="宋体" w:cs="仿宋_GB2312" w:hint="eastAsia"/>
                <w:bCs/>
                <w:iCs/>
                <w:sz w:val="24"/>
                <w:szCs w:val="24"/>
              </w:rPr>
              <w:t>□</w:t>
            </w:r>
            <w:r>
              <w:rPr>
                <w:rFonts w:ascii="宋体" w:hAnsi="宋体" w:cs="仿宋_GB2312" w:hint="eastAsia"/>
                <w:sz w:val="24"/>
                <w:szCs w:val="24"/>
              </w:rPr>
              <w:t>路演活动</w:t>
            </w:r>
          </w:p>
          <w:p w14:paraId="610D54DB" w14:textId="77777777" w:rsidR="005F6774" w:rsidRDefault="00000000">
            <w:pPr>
              <w:tabs>
                <w:tab w:val="left" w:pos="2690"/>
                <w:tab w:val="center" w:pos="3199"/>
              </w:tabs>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现场参观            </w:t>
            </w:r>
            <w:r>
              <w:rPr>
                <w:rFonts w:ascii="宋体" w:hAnsi="宋体" w:cs="仿宋_GB2312" w:hint="eastAsia"/>
                <w:bCs/>
                <w:iCs/>
                <w:sz w:val="24"/>
                <w:szCs w:val="24"/>
              </w:rPr>
              <w:t>☑</w:t>
            </w:r>
            <w:r>
              <w:rPr>
                <w:rFonts w:ascii="宋体" w:hAnsi="宋体" w:cs="仿宋_GB2312" w:hint="eastAsia"/>
                <w:sz w:val="24"/>
                <w:szCs w:val="24"/>
              </w:rPr>
              <w:t>电话会议</w:t>
            </w:r>
          </w:p>
          <w:p w14:paraId="156C2FE1" w14:textId="77777777" w:rsidR="005F6774" w:rsidRDefault="00000000">
            <w:pPr>
              <w:tabs>
                <w:tab w:val="center" w:pos="3199"/>
              </w:tabs>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其他 （</w:t>
            </w:r>
            <w:r>
              <w:rPr>
                <w:rFonts w:ascii="宋体" w:hAnsi="宋体" w:cs="仿宋_GB2312" w:hint="eastAsia"/>
                <w:sz w:val="24"/>
                <w:szCs w:val="24"/>
                <w:u w:val="single"/>
              </w:rPr>
              <w:t>投资者见面会）</w:t>
            </w:r>
          </w:p>
        </w:tc>
      </w:tr>
      <w:tr w:rsidR="005F6774" w14:paraId="7C51E963" w14:textId="77777777">
        <w:tc>
          <w:tcPr>
            <w:tcW w:w="2411" w:type="dxa"/>
            <w:vAlign w:val="center"/>
          </w:tcPr>
          <w:p w14:paraId="70FAC1EB"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参与单位名称</w:t>
            </w:r>
          </w:p>
        </w:tc>
        <w:tc>
          <w:tcPr>
            <w:tcW w:w="6379" w:type="dxa"/>
            <w:vAlign w:val="center"/>
          </w:tcPr>
          <w:p w14:paraId="5B9AEA38" w14:textId="77777777" w:rsidR="005F6774" w:rsidRDefault="00000000">
            <w:pPr>
              <w:tabs>
                <w:tab w:val="center" w:pos="2798"/>
              </w:tabs>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浙商证券、国海证券、国盛证券、国联民生、红杉资本、九泰基金、前海君安、禾永投资、一瓢资本、融通基金、雾凇资本、爱建证券、交银施罗德、财通证券、石锋资产、中信期货、申银万国证券、中泰证券、西南证券、中欧基金、摩根大通、杭银理财、途灵资产、彼立弗投资、长江证券、立格资本、西部利得基金、安联环球投资、鸿运私募、天风证券、麦格理资本、大家资产、嘉实基金、弘则研究、华创证券、麦高证券、野村国际、Point72、Dymon Asia、Polymer、North Rock Capital等220余家机构。</w:t>
            </w:r>
          </w:p>
        </w:tc>
      </w:tr>
      <w:tr w:rsidR="005F6774" w14:paraId="12C96176" w14:textId="77777777">
        <w:tc>
          <w:tcPr>
            <w:tcW w:w="2411" w:type="dxa"/>
            <w:vAlign w:val="center"/>
          </w:tcPr>
          <w:p w14:paraId="7E9BE2D3"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会议时间</w:t>
            </w:r>
          </w:p>
        </w:tc>
        <w:tc>
          <w:tcPr>
            <w:tcW w:w="6379" w:type="dxa"/>
            <w:vAlign w:val="center"/>
          </w:tcPr>
          <w:p w14:paraId="6239FCCD" w14:textId="77777777" w:rsidR="005F6774"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2025年8月18日-22日</w:t>
            </w:r>
          </w:p>
        </w:tc>
      </w:tr>
      <w:tr w:rsidR="005F6774" w14:paraId="58AC16BB" w14:textId="77777777">
        <w:tc>
          <w:tcPr>
            <w:tcW w:w="2411" w:type="dxa"/>
            <w:vAlign w:val="center"/>
          </w:tcPr>
          <w:p w14:paraId="760B77AE"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会议地点</w:t>
            </w:r>
          </w:p>
        </w:tc>
        <w:tc>
          <w:tcPr>
            <w:tcW w:w="6379" w:type="dxa"/>
            <w:vAlign w:val="center"/>
          </w:tcPr>
          <w:p w14:paraId="5B3D10F3" w14:textId="77777777" w:rsidR="005F6774"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商城集团大厦会议室</w:t>
            </w:r>
          </w:p>
        </w:tc>
      </w:tr>
      <w:tr w:rsidR="005F6774" w14:paraId="7EEB0211" w14:textId="77777777">
        <w:tc>
          <w:tcPr>
            <w:tcW w:w="2411" w:type="dxa"/>
            <w:vAlign w:val="center"/>
          </w:tcPr>
          <w:p w14:paraId="64C1F394"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上市公司接待人员</w:t>
            </w:r>
          </w:p>
        </w:tc>
        <w:tc>
          <w:tcPr>
            <w:tcW w:w="6379" w:type="dxa"/>
            <w:vAlign w:val="center"/>
          </w:tcPr>
          <w:p w14:paraId="53E2336E" w14:textId="77777777" w:rsidR="005F6774"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董事会秘书：许杭</w:t>
            </w:r>
          </w:p>
          <w:p w14:paraId="6F59FBB6" w14:textId="77777777" w:rsidR="005F6774"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证券事务代表：何志超</w:t>
            </w:r>
          </w:p>
          <w:p w14:paraId="2AE79208" w14:textId="77777777" w:rsidR="005F6774"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公司证券部</w:t>
            </w:r>
          </w:p>
        </w:tc>
      </w:tr>
      <w:tr w:rsidR="005F6774" w14:paraId="533FEED3" w14:textId="77777777">
        <w:trPr>
          <w:trHeight w:val="490"/>
        </w:trPr>
        <w:tc>
          <w:tcPr>
            <w:tcW w:w="2411" w:type="dxa"/>
            <w:vAlign w:val="center"/>
          </w:tcPr>
          <w:p w14:paraId="19770D12"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投资者关系活动主要内容介绍</w:t>
            </w:r>
          </w:p>
        </w:tc>
        <w:tc>
          <w:tcPr>
            <w:tcW w:w="6379" w:type="dxa"/>
          </w:tcPr>
          <w:p w14:paraId="4D3639D0" w14:textId="77777777"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1.想了解一下我们六区招商选商的进度，以及后续包括餐饮、两栋超高写字楼和商铺选位费的相关安排。</w:t>
            </w:r>
          </w:p>
          <w:p w14:paraId="3001CC22" w14:textId="77777777"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答：全球数贸中心今年主要推进市场部分，1至3层已</w:t>
            </w:r>
            <w:r w:rsidRPr="00856A9F">
              <w:rPr>
                <w:rFonts w:ascii="仿宋_GB2312" w:eastAsia="仿宋_GB2312" w:hAnsi="仿宋_GB2312" w:cs="仿宋_GB2312" w:hint="eastAsia"/>
                <w:sz w:val="24"/>
                <w:szCs w:val="24"/>
              </w:rPr>
              <w:lastRenderedPageBreak/>
              <w:t>投入使用，第四层将于明年开始招商。写字楼共有7栋，其中5栋已于去年完成预售并计入去年财务报表的预收款，预计明年完成交付并在财务报表中体现。剩余2栋中1栋为酒店用途，另1栋将采用与前5栋相同的销售模式，预计建设完成时间为2027年。商业部分招商工作已在今年启动，相关进展将在明年体现。此外，公寓部分共一千多套，目前正进行出租准备工作。整体项目将按规划推进，并根据合同和会计准则在相应时期体现在公司利润表中。</w:t>
            </w:r>
          </w:p>
          <w:p w14:paraId="0030C7CB" w14:textId="77777777"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2.您如何看下半年出口业务的增速？</w:t>
            </w:r>
          </w:p>
          <w:p w14:paraId="1FB13472" w14:textId="77777777"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公司对下半年出口情况持乐观态度。前期尽管美国加征关税对国内出口造成一定影响，但义乌整体出口仍保持强劲韧性，4月份以来出口增长超过40%。目前义乌外商数量、总人口数、经营主体数、订单情况（部分订单已排至第四季度）以及全球数贸中心招商情况均表现良好，反映出市场对义乌出口的信心。预计下半年出口仍将保持较高速度增长。</w:t>
            </w:r>
          </w:p>
          <w:p w14:paraId="724F870E" w14:textId="77777777"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3.我们的义乌跨境支付业务，在香港申请的跨境支付牌照预计什么时候能够落地？</w:t>
            </w:r>
          </w:p>
          <w:p w14:paraId="130B968A" w14:textId="77777777"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答：该事项预计排在明年，待牌照获批后，将履行相关的信息披露义务。</w:t>
            </w:r>
          </w:p>
          <w:p w14:paraId="7F55447D" w14:textId="77777777"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4.香港总部作为国际总部的建设目前推进情况如何，其定位应如何理解？</w:t>
            </w:r>
          </w:p>
          <w:p w14:paraId="33B23415" w14:textId="77777777"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公司在香港的业务拓展是配合品牌出海战略的重要组成部分。公司以香港作为海外业务的重要支撑地，前期已在香港设立相关公司并启动申请TCSP、MSO等牌照的工作。目前整体建设按计划推进，相关进展会在定期报告中陆续进行披露。香港作为品牌出海“1+5+2+N”战略中的“1”，是公司国际化发展的第一步和关键支撑。</w:t>
            </w:r>
          </w:p>
          <w:p w14:paraId="07763E50" w14:textId="77777777"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5.看到</w:t>
            </w:r>
            <w:proofErr w:type="spellStart"/>
            <w:r w:rsidRPr="00856A9F">
              <w:rPr>
                <w:rFonts w:ascii="仿宋_GB2312" w:eastAsia="仿宋_GB2312" w:hAnsi="仿宋_GB2312" w:cs="仿宋_GB2312" w:hint="eastAsia"/>
                <w:b/>
                <w:bCs/>
                <w:sz w:val="24"/>
                <w:szCs w:val="24"/>
              </w:rPr>
              <w:t>Chinagoods</w:t>
            </w:r>
            <w:proofErr w:type="spellEnd"/>
            <w:r w:rsidRPr="00856A9F">
              <w:rPr>
                <w:rFonts w:ascii="仿宋_GB2312" w:eastAsia="仿宋_GB2312" w:hAnsi="仿宋_GB2312" w:cs="仿宋_GB2312" w:hint="eastAsia"/>
                <w:b/>
                <w:bCs/>
                <w:sz w:val="24"/>
                <w:szCs w:val="24"/>
              </w:rPr>
              <w:t>收入和利润都有非常快的增长，且</w:t>
            </w:r>
            <w:r w:rsidRPr="00856A9F">
              <w:rPr>
                <w:rFonts w:ascii="仿宋_GB2312" w:eastAsia="仿宋_GB2312" w:hAnsi="仿宋_GB2312" w:cs="仿宋_GB2312" w:hint="eastAsia"/>
                <w:b/>
                <w:bCs/>
                <w:sz w:val="24"/>
                <w:szCs w:val="24"/>
              </w:rPr>
              <w:lastRenderedPageBreak/>
              <w:t>AI产品的使用量大幅增加，想了解该业务目前的商业模式以及后续展望是否有相关数据可以分享？</w:t>
            </w:r>
          </w:p>
          <w:p w14:paraId="7558FCCA" w14:textId="289CC2C3"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proofErr w:type="spellStart"/>
            <w:r w:rsidRPr="00856A9F">
              <w:rPr>
                <w:rFonts w:ascii="仿宋_GB2312" w:eastAsia="仿宋_GB2312" w:hAnsi="仿宋_GB2312" w:cs="仿宋_GB2312" w:hint="eastAsia"/>
                <w:sz w:val="24"/>
                <w:szCs w:val="24"/>
              </w:rPr>
              <w:t>Chinagoods</w:t>
            </w:r>
            <w:proofErr w:type="spellEnd"/>
            <w:r w:rsidRPr="00856A9F">
              <w:rPr>
                <w:rFonts w:ascii="仿宋_GB2312" w:eastAsia="仿宋_GB2312" w:hAnsi="仿宋_GB2312" w:cs="仿宋_GB2312" w:hint="eastAsia"/>
                <w:sz w:val="24"/>
                <w:szCs w:val="24"/>
              </w:rPr>
              <w:t>平台是公司的重要平台，也是公司转型的核心。今年推出了“世界义乌</w:t>
            </w:r>
            <w:r w:rsidR="001A3244" w:rsidRPr="00856A9F">
              <w:rPr>
                <w:rFonts w:ascii="仿宋_GB2312" w:eastAsia="仿宋_GB2312" w:hAnsi="仿宋_GB2312" w:cs="仿宋_GB2312" w:hint="eastAsia"/>
                <w:sz w:val="24"/>
                <w:szCs w:val="24"/>
              </w:rPr>
              <w:t>”</w:t>
            </w:r>
            <w:r w:rsidR="001A3244">
              <w:rPr>
                <w:rFonts w:ascii="仿宋_GB2312" w:eastAsia="仿宋_GB2312" w:hAnsi="仿宋_GB2312" w:cs="仿宋_GB2312" w:hint="eastAsia"/>
                <w:sz w:val="24"/>
                <w:szCs w:val="24"/>
              </w:rPr>
              <w:t>商贸</w:t>
            </w:r>
            <w:r w:rsidRPr="00856A9F">
              <w:rPr>
                <w:rFonts w:ascii="仿宋_GB2312" w:eastAsia="仿宋_GB2312" w:hAnsi="仿宋_GB2312" w:cs="仿宋_GB2312" w:hint="eastAsia"/>
                <w:sz w:val="24"/>
                <w:szCs w:val="24"/>
              </w:rPr>
              <w:t>大模型，并在二十多个行业进行了沙盒测试，应用前景广泛。随着全球数贸中心市场招商推进及新会员拓展，</w:t>
            </w:r>
            <w:proofErr w:type="spellStart"/>
            <w:r w:rsidRPr="00856A9F">
              <w:rPr>
                <w:rFonts w:ascii="仿宋_GB2312" w:eastAsia="仿宋_GB2312" w:hAnsi="仿宋_GB2312" w:cs="仿宋_GB2312" w:hint="eastAsia"/>
                <w:sz w:val="24"/>
                <w:szCs w:val="24"/>
              </w:rPr>
              <w:t>Chinagoods</w:t>
            </w:r>
            <w:proofErr w:type="spellEnd"/>
            <w:r w:rsidRPr="00856A9F">
              <w:rPr>
                <w:rFonts w:ascii="仿宋_GB2312" w:eastAsia="仿宋_GB2312" w:hAnsi="仿宋_GB2312" w:cs="仿宋_GB2312" w:hint="eastAsia"/>
                <w:sz w:val="24"/>
                <w:szCs w:val="24"/>
              </w:rPr>
              <w:t>平台实现了快速增长，财务报表已体现相关成果。</w:t>
            </w:r>
          </w:p>
          <w:p w14:paraId="332B9BAC" w14:textId="77777777"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6.关于</w:t>
            </w:r>
            <w:proofErr w:type="spellStart"/>
            <w:r w:rsidRPr="00856A9F">
              <w:rPr>
                <w:rFonts w:ascii="仿宋_GB2312" w:eastAsia="仿宋_GB2312" w:hAnsi="仿宋_GB2312" w:cs="仿宋_GB2312" w:hint="eastAsia"/>
                <w:b/>
                <w:bCs/>
                <w:sz w:val="24"/>
                <w:szCs w:val="24"/>
              </w:rPr>
              <w:t>Chinagoods</w:t>
            </w:r>
            <w:proofErr w:type="spellEnd"/>
            <w:r w:rsidRPr="00856A9F">
              <w:rPr>
                <w:rFonts w:ascii="仿宋_GB2312" w:eastAsia="仿宋_GB2312" w:hAnsi="仿宋_GB2312" w:cs="仿宋_GB2312" w:hint="eastAsia"/>
                <w:b/>
                <w:bCs/>
                <w:sz w:val="24"/>
                <w:szCs w:val="24"/>
              </w:rPr>
              <w:t>业务在引入AI及大模型技术后，未来的收费方式特别是会员费是否会有更快速增长，以及大模型对收入结构是否会带来变化。</w:t>
            </w:r>
          </w:p>
          <w:p w14:paraId="786DD782" w14:textId="77777777" w:rsidR="005F6774" w:rsidRDefault="00000000" w:rsidP="00856A9F">
            <w:pPr>
              <w:spacing w:line="360" w:lineRule="auto"/>
              <w:ind w:firstLineChars="200" w:firstLine="480"/>
              <w:rPr>
                <w:rFonts w:ascii="仿宋_GB2312" w:eastAsia="仿宋_GB2312" w:hAnsi="仿宋_GB2312" w:cs="仿宋_GB2312"/>
                <w:bCs/>
                <w:iCs/>
                <w:sz w:val="24"/>
                <w:szCs w:val="24"/>
              </w:rPr>
            </w:pPr>
            <w:r w:rsidRPr="00856A9F">
              <w:rPr>
                <w:rFonts w:ascii="仿宋_GB2312" w:eastAsia="仿宋_GB2312" w:hAnsi="仿宋_GB2312" w:cs="仿宋_GB2312" w:hint="eastAsia"/>
                <w:sz w:val="24"/>
                <w:szCs w:val="24"/>
              </w:rPr>
              <w:t>答：</w:t>
            </w:r>
            <w:proofErr w:type="spellStart"/>
            <w:r w:rsidRPr="00856A9F">
              <w:rPr>
                <w:rFonts w:ascii="仿宋_GB2312" w:eastAsia="仿宋_GB2312" w:hAnsi="仿宋_GB2312" w:cs="仿宋_GB2312" w:hint="eastAsia"/>
                <w:sz w:val="24"/>
                <w:szCs w:val="24"/>
              </w:rPr>
              <w:t>Chinagoods</w:t>
            </w:r>
            <w:proofErr w:type="spellEnd"/>
            <w:r w:rsidRPr="00856A9F">
              <w:rPr>
                <w:rFonts w:ascii="仿宋_GB2312" w:eastAsia="仿宋_GB2312" w:hAnsi="仿宋_GB2312" w:cs="仿宋_GB2312" w:hint="eastAsia"/>
                <w:sz w:val="24"/>
                <w:szCs w:val="24"/>
              </w:rPr>
              <w:t>业务今年来发展较快，会员费已有增量，主要来自于全球数贸中心投入使用后新增的主体。整体义乌市场面积已从640万方扩展至超过765万方。后续发展方面，公司已开展AI沙盒测试，展示了多个层级的AI应用场景，这些应用在提质增效方面已体现出不同层次的效果，不仅仅是简单的搜索或订单查询，而是深入业务流程的实际应用。</w:t>
            </w:r>
          </w:p>
        </w:tc>
      </w:tr>
      <w:tr w:rsidR="005F6774" w14:paraId="3A534501" w14:textId="77777777">
        <w:trPr>
          <w:trHeight w:val="90"/>
        </w:trPr>
        <w:tc>
          <w:tcPr>
            <w:tcW w:w="2411" w:type="dxa"/>
            <w:vAlign w:val="center"/>
          </w:tcPr>
          <w:p w14:paraId="524BB622"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lastRenderedPageBreak/>
              <w:t>关于本次活动是否涉及应披露重大信息的说明</w:t>
            </w:r>
          </w:p>
        </w:tc>
        <w:tc>
          <w:tcPr>
            <w:tcW w:w="6379" w:type="dxa"/>
            <w:vAlign w:val="center"/>
          </w:tcPr>
          <w:p w14:paraId="1302A170" w14:textId="77777777" w:rsidR="005F6774" w:rsidRDefault="00000000">
            <w:pPr>
              <w:spacing w:line="360" w:lineRule="auto"/>
              <w:jc w:val="center"/>
              <w:rPr>
                <w:rFonts w:ascii="宋体" w:hAnsi="宋体" w:cs="仿宋_GB2312"/>
                <w:bCs/>
                <w:iCs/>
                <w:sz w:val="24"/>
                <w:szCs w:val="24"/>
              </w:rPr>
            </w:pPr>
            <w:r>
              <w:rPr>
                <w:rFonts w:ascii="仿宋_GB2312" w:eastAsia="仿宋_GB2312" w:hAnsi="仿宋_GB2312" w:cs="仿宋_GB2312" w:hint="eastAsia"/>
                <w:bCs/>
                <w:iCs/>
                <w:sz w:val="24"/>
                <w:szCs w:val="24"/>
              </w:rPr>
              <w:t>否</w:t>
            </w:r>
          </w:p>
        </w:tc>
      </w:tr>
      <w:tr w:rsidR="005F6774" w14:paraId="3103E0D8" w14:textId="77777777">
        <w:trPr>
          <w:trHeight w:val="1130"/>
        </w:trPr>
        <w:tc>
          <w:tcPr>
            <w:tcW w:w="2411" w:type="dxa"/>
            <w:vAlign w:val="center"/>
          </w:tcPr>
          <w:p w14:paraId="304202EB"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附件清单（如有）</w:t>
            </w:r>
          </w:p>
        </w:tc>
        <w:tc>
          <w:tcPr>
            <w:tcW w:w="6379" w:type="dxa"/>
            <w:vAlign w:val="center"/>
          </w:tcPr>
          <w:p w14:paraId="378B2756" w14:textId="77777777" w:rsidR="005F6774" w:rsidRDefault="00000000">
            <w:pPr>
              <w:spacing w:line="360" w:lineRule="auto"/>
              <w:jc w:val="center"/>
              <w:rPr>
                <w:rFonts w:ascii="宋体" w:hAnsi="宋体" w:cs="仿宋_GB2312"/>
                <w:bCs/>
                <w:iCs/>
                <w:sz w:val="24"/>
                <w:szCs w:val="24"/>
              </w:rPr>
            </w:pPr>
            <w:r>
              <w:rPr>
                <w:rFonts w:ascii="仿宋_GB2312" w:eastAsia="仿宋_GB2312" w:hAnsi="仿宋_GB2312" w:cs="仿宋_GB2312" w:hint="eastAsia"/>
                <w:bCs/>
                <w:iCs/>
                <w:sz w:val="24"/>
                <w:szCs w:val="24"/>
              </w:rPr>
              <w:t>无</w:t>
            </w:r>
          </w:p>
        </w:tc>
      </w:tr>
    </w:tbl>
    <w:p w14:paraId="4FF77972" w14:textId="77777777" w:rsidR="005F6774" w:rsidRDefault="005F6774">
      <w:pPr>
        <w:spacing w:line="360" w:lineRule="auto"/>
      </w:pPr>
    </w:p>
    <w:sectPr w:rsidR="005F677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74"/>
    <w:rsid w:val="001A3244"/>
    <w:rsid w:val="005F6774"/>
    <w:rsid w:val="00856A9F"/>
    <w:rsid w:val="00CD7A29"/>
    <w:rsid w:val="0C172490"/>
    <w:rsid w:val="1C8011BD"/>
    <w:rsid w:val="1D547238"/>
    <w:rsid w:val="1DE75D86"/>
    <w:rsid w:val="22765384"/>
    <w:rsid w:val="2EE817B0"/>
    <w:rsid w:val="31D90E48"/>
    <w:rsid w:val="331C1F78"/>
    <w:rsid w:val="477A2C98"/>
    <w:rsid w:val="51237AAF"/>
    <w:rsid w:val="54CC0884"/>
    <w:rsid w:val="56194AE5"/>
    <w:rsid w:val="603D0153"/>
    <w:rsid w:val="61E62405"/>
    <w:rsid w:val="63FB399E"/>
    <w:rsid w:val="67E4235D"/>
    <w:rsid w:val="743453B3"/>
    <w:rsid w:val="759B3B0D"/>
    <w:rsid w:val="77275DC2"/>
    <w:rsid w:val="7852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477E0"/>
  <w15:docId w15:val="{98E11630-9A09-4A6A-ABA0-F6DFDB4F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next w:val="a"/>
    <w:qFormat/>
    <w:pPr>
      <w:widowControl w:val="0"/>
      <w:adjustRightInd w:val="0"/>
      <w:spacing w:before="320" w:line="300" w:lineRule="auto"/>
      <w:jc w:val="both"/>
      <w:outlineLvl w:val="0"/>
    </w:pPr>
    <w:rPr>
      <w:rFonts w:eastAsia="黑体"/>
      <w:color w:val="000000"/>
      <w:kern w:val="44"/>
      <w:sz w:val="32"/>
      <w:szCs w:val="44"/>
    </w:rPr>
  </w:style>
  <w:style w:type="paragraph" w:styleId="2">
    <w:name w:val="heading 2"/>
    <w:next w:val="a"/>
    <w:unhideWhenUsed/>
    <w:qFormat/>
    <w:pPr>
      <w:widowControl w:val="0"/>
      <w:adjustRightInd w:val="0"/>
      <w:spacing w:before="280" w:line="300" w:lineRule="auto"/>
      <w:jc w:val="both"/>
      <w:outlineLvl w:val="1"/>
    </w:pPr>
    <w:rPr>
      <w:rFonts w:eastAsia="黑体"/>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qFormat/>
    <w:pPr>
      <w:widowControl w:val="0"/>
      <w:adjustRightInd w:val="0"/>
      <w:spacing w:before="100" w:after="100" w:line="300" w:lineRule="auto"/>
      <w:ind w:firstLineChars="200" w:firstLine="1044"/>
      <w:jc w:val="both"/>
    </w:pPr>
    <w:rPr>
      <w:kern w:val="2"/>
      <w:sz w:val="24"/>
      <w:szCs w:val="24"/>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1"/>
    <w:unhideWhenUsed/>
    <w:qFormat/>
    <w:pPr>
      <w:spacing w:beforeAutospacing="1" w:afterAutospacing="1"/>
      <w:jc w:val="left"/>
    </w:pPr>
    <w:rPr>
      <w:kern w:val="0"/>
      <w:sz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1"/>
    <w:qFormat/>
    <w:rPr>
      <w:b/>
    </w:rPr>
  </w:style>
  <w:style w:type="character" w:styleId="af1">
    <w:name w:val="Hyperlink"/>
    <w:uiPriority w:val="99"/>
    <w:unhideWhenUsed/>
    <w:qFormat/>
    <w:rPr>
      <w:color w:val="467886"/>
      <w:u w:val="single"/>
    </w:rPr>
  </w:style>
  <w:style w:type="character" w:styleId="af2">
    <w:name w:val="annotation reference"/>
    <w:uiPriority w:val="99"/>
    <w:unhideWhenUsed/>
    <w:qFormat/>
    <w:rPr>
      <w:sz w:val="21"/>
      <w:szCs w:val="21"/>
    </w:rPr>
  </w:style>
  <w:style w:type="character" w:customStyle="1" w:styleId="a9">
    <w:name w:val="页脚 字符"/>
    <w:link w:val="a8"/>
    <w:uiPriority w:val="99"/>
    <w:qFormat/>
    <w:rPr>
      <w:kern w:val="2"/>
      <w:sz w:val="18"/>
      <w:szCs w:val="18"/>
    </w:rPr>
  </w:style>
  <w:style w:type="character" w:customStyle="1" w:styleId="a4">
    <w:name w:val="批注文字 字符"/>
    <w:link w:val="a3"/>
    <w:uiPriority w:val="99"/>
    <w:semiHidden/>
    <w:qFormat/>
    <w:rPr>
      <w:kern w:val="2"/>
      <w:sz w:val="21"/>
      <w:szCs w:val="22"/>
    </w:rPr>
  </w:style>
  <w:style w:type="character" w:customStyle="1" w:styleId="10">
    <w:name w:val="未处理的提及1"/>
    <w:uiPriority w:val="99"/>
    <w:unhideWhenUsed/>
    <w:qFormat/>
    <w:rPr>
      <w:color w:val="605E5C"/>
      <w:shd w:val="clear" w:color="auto" w:fill="E1DFDD"/>
    </w:rPr>
  </w:style>
  <w:style w:type="character" w:customStyle="1" w:styleId="ab">
    <w:name w:val="页眉 字符"/>
    <w:link w:val="aa"/>
    <w:uiPriority w:val="99"/>
    <w:qFormat/>
    <w:rPr>
      <w:kern w:val="2"/>
      <w:sz w:val="18"/>
      <w:szCs w:val="18"/>
    </w:rPr>
  </w:style>
  <w:style w:type="character" w:customStyle="1" w:styleId="ae">
    <w:name w:val="批注主题 字符"/>
    <w:link w:val="ad"/>
    <w:uiPriority w:val="99"/>
    <w:semiHidden/>
    <w:qFormat/>
    <w:rPr>
      <w:b/>
      <w:bCs/>
      <w:kern w:val="2"/>
      <w:sz w:val="21"/>
      <w:szCs w:val="22"/>
    </w:rPr>
  </w:style>
  <w:style w:type="character" w:customStyle="1" w:styleId="a7">
    <w:name w:val="批注框文本 字符"/>
    <w:link w:val="a6"/>
    <w:uiPriority w:val="99"/>
    <w:semiHidden/>
    <w:qFormat/>
    <w:rPr>
      <w:kern w:val="2"/>
      <w:sz w:val="18"/>
      <w:szCs w:val="18"/>
    </w:rPr>
  </w:style>
  <w:style w:type="paragraph" w:customStyle="1" w:styleId="11">
    <w:name w:val="修订1"/>
    <w:uiPriority w:val="99"/>
    <w:unhideWhenUsed/>
    <w:qFormat/>
    <w:rPr>
      <w:kern w:val="2"/>
      <w:sz w:val="21"/>
      <w:szCs w:val="22"/>
    </w:rPr>
  </w:style>
  <w:style w:type="paragraph" w:customStyle="1" w:styleId="12">
    <w:name w:val="列表段落1"/>
    <w:basedOn w:val="a"/>
    <w:uiPriority w:val="99"/>
    <w:qFormat/>
    <w:pPr>
      <w:ind w:firstLineChars="200" w:firstLine="420"/>
    </w:pPr>
  </w:style>
  <w:style w:type="paragraph" w:customStyle="1" w:styleId="Style6">
    <w:name w:val="_Style 6"/>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Nail He</cp:lastModifiedBy>
  <cp:revision>8</cp:revision>
  <dcterms:created xsi:type="dcterms:W3CDTF">2025-04-14T05:24:00Z</dcterms:created>
  <dcterms:modified xsi:type="dcterms:W3CDTF">2025-08-22T07:52:00Z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D986825A17144948B0A226FCF1FA2118_13</vt:lpwstr>
  </property>
  <property fmtid="{D5CDD505-2E9C-101B-9397-08002B2CF9AE}" pid="4" name="KSOTemplateDocerSaveRecord">
    <vt:lpwstr>eyJoZGlkIjoiOTE2NmY0YTllNDc1MjY1ZDE1YjE2MTkyYmI5MjFiNzUiLCJ1c2VySWQiOiI1MDQwOTk1OTEifQ==</vt:lpwstr>
  </property>
</Properties>
</file>