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0F3D6" w14:textId="77777777" w:rsidR="003045C7" w:rsidRDefault="003045C7">
      <w:pPr>
        <w:pStyle w:val="a5"/>
        <w:spacing w:before="1"/>
        <w:ind w:rightChars="100" w:right="220"/>
        <w:jc w:val="center"/>
        <w:rPr>
          <w:rFonts w:ascii="Times New Roman" w:hint="eastAsia"/>
          <w:b w:val="0"/>
          <w:sz w:val="10"/>
        </w:rPr>
      </w:pPr>
    </w:p>
    <w:p w14:paraId="191724B9" w14:textId="77777777" w:rsidR="003045C7" w:rsidRDefault="00000000">
      <w:pPr>
        <w:pStyle w:val="a5"/>
        <w:spacing w:before="61"/>
        <w:ind w:rightChars="100" w:right="220"/>
        <w:jc w:val="center"/>
        <w:rPr>
          <w:rFonts w:hint="eastAsia"/>
        </w:rPr>
      </w:pPr>
      <w:r>
        <w:rPr>
          <w:rFonts w:hint="eastAsia"/>
          <w:lang w:val="en-US"/>
        </w:rPr>
        <w:t>中饮巴比食品</w:t>
      </w:r>
      <w:r>
        <w:t>股份有限公司投资者关系活动记录表</w:t>
      </w:r>
    </w:p>
    <w:p w14:paraId="27E887BA" w14:textId="77777777" w:rsidR="003045C7" w:rsidRDefault="003045C7">
      <w:pPr>
        <w:rPr>
          <w:rFonts w:hint="eastAsia"/>
        </w:rPr>
      </w:pPr>
    </w:p>
    <w:p w14:paraId="1EABBF17" w14:textId="77777777" w:rsidR="003045C7" w:rsidRDefault="00000000">
      <w:pPr>
        <w:spacing w:before="155" w:after="21"/>
        <w:ind w:right="510"/>
        <w:jc w:val="right"/>
        <w:rPr>
          <w:rFonts w:hint="eastAsia"/>
          <w:sz w:val="21"/>
          <w:lang w:val="en-US"/>
        </w:rPr>
      </w:pPr>
      <w:r>
        <w:rPr>
          <w:rFonts w:hint="eastAsia"/>
          <w:sz w:val="21"/>
        </w:rPr>
        <w:t>编号：2</w:t>
      </w:r>
      <w:r>
        <w:rPr>
          <w:sz w:val="21"/>
        </w:rPr>
        <w:t>02</w:t>
      </w:r>
      <w:r>
        <w:rPr>
          <w:rFonts w:hint="eastAsia"/>
          <w:sz w:val="21"/>
          <w:lang w:val="en-US"/>
        </w:rPr>
        <w:t>5</w:t>
      </w:r>
      <w:r>
        <w:rPr>
          <w:sz w:val="21"/>
        </w:rPr>
        <w:t>-0</w:t>
      </w:r>
      <w:r>
        <w:rPr>
          <w:rFonts w:hint="eastAsia"/>
          <w:sz w:val="21"/>
          <w:lang w:val="en-US"/>
        </w:rPr>
        <w:t>804</w:t>
      </w:r>
    </w:p>
    <w:tbl>
      <w:tblPr>
        <w:tblStyle w:val="ae"/>
        <w:tblW w:w="0" w:type="auto"/>
        <w:tblInd w:w="-5" w:type="dxa"/>
        <w:tblLook w:val="04A0" w:firstRow="1" w:lastRow="0" w:firstColumn="1" w:lastColumn="0" w:noHBand="0" w:noVBand="1"/>
      </w:tblPr>
      <w:tblGrid>
        <w:gridCol w:w="1418"/>
        <w:gridCol w:w="6887"/>
      </w:tblGrid>
      <w:tr w:rsidR="003045C7" w14:paraId="7A9F57DA" w14:textId="77777777">
        <w:tc>
          <w:tcPr>
            <w:tcW w:w="1418" w:type="dxa"/>
            <w:vAlign w:val="center"/>
          </w:tcPr>
          <w:p w14:paraId="3DCEAB00" w14:textId="77777777" w:rsidR="003045C7" w:rsidRDefault="00000000">
            <w:pPr>
              <w:spacing w:line="360" w:lineRule="exact"/>
              <w:jc w:val="center"/>
              <w:rPr>
                <w:rFonts w:hint="eastAsia"/>
              </w:rPr>
            </w:pPr>
            <w:r>
              <w:rPr>
                <w:b/>
                <w:sz w:val="21"/>
                <w:szCs w:val="21"/>
              </w:rPr>
              <w:t>投资者关系活动类别</w:t>
            </w:r>
          </w:p>
        </w:tc>
        <w:tc>
          <w:tcPr>
            <w:tcW w:w="6887" w:type="dxa"/>
            <w:vAlign w:val="center"/>
          </w:tcPr>
          <w:p w14:paraId="3C82EA14" w14:textId="6BF2BA3F" w:rsidR="003045C7" w:rsidRDefault="000A62BD">
            <w:pPr>
              <w:pStyle w:val="TableParagraph"/>
              <w:spacing w:before="0" w:line="360" w:lineRule="exact"/>
              <w:ind w:left="107"/>
              <w:rPr>
                <w:rFonts w:hint="eastAsia"/>
              </w:rPr>
            </w:pPr>
            <w:r>
              <w:rPr>
                <w:rFonts w:hint="eastAsia"/>
                <w:spacing w:val="-1"/>
              </w:rPr>
              <w:t>☑</w:t>
            </w:r>
            <w:r w:rsidR="00000000">
              <w:t xml:space="preserve">特定对象调研  □分析师会议  □媒体采访     </w:t>
            </w:r>
          </w:p>
          <w:p w14:paraId="055ADB42" w14:textId="59DFE39E" w:rsidR="003045C7" w:rsidRDefault="000A62BD">
            <w:pPr>
              <w:pStyle w:val="TableParagraph"/>
              <w:spacing w:before="0" w:line="360" w:lineRule="exact"/>
              <w:ind w:left="107"/>
              <w:rPr>
                <w:rFonts w:hint="eastAsia"/>
                <w:spacing w:val="-1"/>
              </w:rPr>
            </w:pPr>
            <w:r>
              <w:sym w:font="Wingdings 2" w:char="00A3"/>
            </w:r>
            <w:r w:rsidR="00000000">
              <w:rPr>
                <w:spacing w:val="-1"/>
              </w:rPr>
              <w:t xml:space="preserve">业绩说明会    □新闻发布会  □路演活动 </w:t>
            </w:r>
          </w:p>
          <w:p w14:paraId="099A2C3A" w14:textId="77777777" w:rsidR="003045C7" w:rsidRDefault="00000000">
            <w:pPr>
              <w:pStyle w:val="TableParagraph"/>
              <w:spacing w:before="0" w:line="360" w:lineRule="exact"/>
              <w:ind w:left="107"/>
              <w:rPr>
                <w:rFonts w:hint="eastAsia"/>
              </w:rPr>
            </w:pPr>
            <w:r>
              <w:rPr>
                <w:spacing w:val="-1"/>
              </w:rPr>
              <w:t>□</w:t>
            </w:r>
            <w:r>
              <w:t xml:space="preserve">现场参观      </w:t>
            </w:r>
            <w:r>
              <w:sym w:font="Wingdings 2" w:char="0052"/>
            </w:r>
            <w:r>
              <w:t>其他</w:t>
            </w:r>
            <w:r>
              <w:rPr>
                <w:rFonts w:hint="eastAsia"/>
                <w:lang w:val="en-US"/>
              </w:rPr>
              <w:t xml:space="preserve"> </w:t>
            </w:r>
            <w:r>
              <w:rPr>
                <w:u w:val="single"/>
              </w:rPr>
              <w:t xml:space="preserve"> </w:t>
            </w:r>
            <w:r>
              <w:rPr>
                <w:rFonts w:hint="eastAsia"/>
                <w:color w:val="000000" w:themeColor="text1"/>
                <w:u w:val="single"/>
              </w:rPr>
              <w:t>线上电话会议</w:t>
            </w:r>
            <w:r>
              <w:rPr>
                <w:rFonts w:hint="eastAsia"/>
                <w:u w:val="single"/>
                <w:lang w:val="en-US"/>
              </w:rPr>
              <w:t xml:space="preserve">    </w:t>
            </w:r>
            <w:r>
              <w:rPr>
                <w:rFonts w:hint="eastAsia"/>
                <w:u w:val="single"/>
              </w:rPr>
              <w:t xml:space="preserve"> </w:t>
            </w:r>
            <w:r>
              <w:rPr>
                <w:u w:val="single"/>
              </w:rPr>
              <w:t xml:space="preserve"> </w:t>
            </w:r>
            <w:r>
              <w:t xml:space="preserve"> </w:t>
            </w:r>
          </w:p>
        </w:tc>
      </w:tr>
      <w:tr w:rsidR="003045C7" w14:paraId="2F75B1F9" w14:textId="77777777">
        <w:tc>
          <w:tcPr>
            <w:tcW w:w="1418" w:type="dxa"/>
            <w:vAlign w:val="center"/>
          </w:tcPr>
          <w:p w14:paraId="4DFA3B88" w14:textId="77777777" w:rsidR="003045C7" w:rsidRDefault="00000000">
            <w:pPr>
              <w:spacing w:line="360" w:lineRule="exact"/>
              <w:jc w:val="center"/>
              <w:rPr>
                <w:rFonts w:hint="eastAsia"/>
                <w:b/>
                <w:sz w:val="21"/>
                <w:szCs w:val="21"/>
              </w:rPr>
            </w:pPr>
            <w:r>
              <w:rPr>
                <w:b/>
                <w:sz w:val="21"/>
                <w:szCs w:val="21"/>
              </w:rPr>
              <w:t>参与单位</w:t>
            </w:r>
          </w:p>
          <w:p w14:paraId="13CABBA2" w14:textId="77777777" w:rsidR="003045C7" w:rsidRDefault="00000000">
            <w:pPr>
              <w:spacing w:line="360" w:lineRule="exact"/>
              <w:jc w:val="center"/>
              <w:rPr>
                <w:rFonts w:hint="eastAsia"/>
              </w:rPr>
            </w:pPr>
            <w:r>
              <w:rPr>
                <w:b/>
                <w:sz w:val="21"/>
                <w:szCs w:val="21"/>
              </w:rPr>
              <w:t>名称</w:t>
            </w:r>
          </w:p>
        </w:tc>
        <w:tc>
          <w:tcPr>
            <w:tcW w:w="6887" w:type="dxa"/>
            <w:vAlign w:val="center"/>
          </w:tcPr>
          <w:p w14:paraId="638CE68E" w14:textId="77777777" w:rsidR="003045C7" w:rsidRDefault="00000000">
            <w:pPr>
              <w:pStyle w:val="TOC2"/>
              <w:ind w:leftChars="0" w:left="0"/>
              <w:jc w:val="both"/>
              <w:rPr>
                <w:rFonts w:hint="eastAsia"/>
              </w:rPr>
            </w:pPr>
            <w:r>
              <w:rPr>
                <w:rFonts w:hint="eastAsia"/>
                <w:lang w:val="en-US"/>
              </w:rPr>
              <w:t>爱建证券、百年资管、北京金百镕投资、北京同德磐石投资、博道基金、财通基金、财通证券、财信证券、淳厚基金、德邦证券、东方财富、东吴证券、东兴证券、方正证券、沣沛投资、附加值投资、亘曦基金、光大证券、广发证券、国海证券、国华兴益保险、国盛证券、国泰海通、国投证券、国信证券、国源信达资本、恒远资本、泓德基金、华创证券、华福证券、华泰证券、华西证券、华鑫证券、华源证券、汇丰晋信、佳岳私募、建信养老金、金鼎资本、晋江和铭资产、景顺长城基金、君和资本、路博迈基金、民生证券、南京证券、三商资产、厦门坤易投资、山西证券、上海递归私募、上海和谐汇一资产、上海名禹资产、上海牧毅投资、上海森锦投资、上海万纳私募、上海逸融投资、上海证券、申港证券、申万宏源、申万资管、深圳国诚投资、深圳量度资本、深圳前海禾丰正则、慎知资产、太平洋证券、天风证券、伟星资产、沃霖资产、西部利得基金、西部证券、信达证券、兴业证券、亚太财险、羊角基金、野村东方、原点资产、圆信永丰基金、长安基金、长城证券、长江证券、长江资管、长信基金、招商证券、浙商证券、中金公司、中金资管、中泰证券、中信建投、中信证券、中意资产、中银国际、中邮证券</w:t>
            </w:r>
          </w:p>
        </w:tc>
      </w:tr>
      <w:tr w:rsidR="003045C7" w14:paraId="5780779F" w14:textId="77777777">
        <w:trPr>
          <w:trHeight w:val="525"/>
        </w:trPr>
        <w:tc>
          <w:tcPr>
            <w:tcW w:w="1418" w:type="dxa"/>
            <w:vAlign w:val="center"/>
          </w:tcPr>
          <w:p w14:paraId="513975DF" w14:textId="77777777" w:rsidR="003045C7" w:rsidRDefault="00000000">
            <w:pPr>
              <w:spacing w:line="360" w:lineRule="exact"/>
              <w:jc w:val="center"/>
              <w:rPr>
                <w:rFonts w:hint="eastAsia"/>
              </w:rPr>
            </w:pPr>
            <w:r>
              <w:rPr>
                <w:b/>
                <w:sz w:val="21"/>
                <w:szCs w:val="21"/>
              </w:rPr>
              <w:t>时间</w:t>
            </w:r>
          </w:p>
        </w:tc>
        <w:tc>
          <w:tcPr>
            <w:tcW w:w="6887" w:type="dxa"/>
            <w:vAlign w:val="center"/>
          </w:tcPr>
          <w:p w14:paraId="246BD2BE" w14:textId="77777777" w:rsidR="003045C7" w:rsidRDefault="00000000">
            <w:pPr>
              <w:spacing w:before="35"/>
              <w:rPr>
                <w:rFonts w:hint="eastAsia"/>
                <w:lang w:val="en-US"/>
              </w:rPr>
            </w:pPr>
            <w:r>
              <w:t>202</w:t>
            </w:r>
            <w:r>
              <w:rPr>
                <w:rFonts w:hint="eastAsia"/>
                <w:lang w:val="en-US"/>
              </w:rPr>
              <w:t>5</w:t>
            </w:r>
            <w:r>
              <w:t xml:space="preserve"> 年</w:t>
            </w:r>
            <w:r>
              <w:rPr>
                <w:rFonts w:hint="eastAsia"/>
              </w:rPr>
              <w:t xml:space="preserve"> </w:t>
            </w:r>
            <w:r>
              <w:rPr>
                <w:rFonts w:hint="eastAsia"/>
                <w:lang w:val="en-US"/>
              </w:rPr>
              <w:t>8</w:t>
            </w:r>
            <w:r>
              <w:t xml:space="preserve"> 月</w:t>
            </w:r>
            <w:r>
              <w:rPr>
                <w:rFonts w:hint="eastAsia"/>
              </w:rPr>
              <w:t xml:space="preserve"> </w:t>
            </w:r>
            <w:r>
              <w:rPr>
                <w:rFonts w:hint="eastAsia"/>
                <w:lang w:val="en-US"/>
              </w:rPr>
              <w:t>22</w:t>
            </w:r>
            <w:r>
              <w:t xml:space="preserve"> </w:t>
            </w:r>
            <w:r>
              <w:rPr>
                <w:rFonts w:hint="eastAsia"/>
              </w:rPr>
              <w:t xml:space="preserve">日 </w:t>
            </w:r>
            <w:r>
              <w:t>1</w:t>
            </w:r>
            <w:r>
              <w:rPr>
                <w:rFonts w:hint="eastAsia"/>
                <w:lang w:val="en-US"/>
              </w:rPr>
              <w:t>0</w:t>
            </w:r>
            <w:r>
              <w:rPr>
                <w:rFonts w:hint="eastAsia"/>
              </w:rPr>
              <w:t>:</w:t>
            </w:r>
            <w:r>
              <w:t>00 – 1</w:t>
            </w:r>
            <w:r>
              <w:rPr>
                <w:rFonts w:hint="eastAsia"/>
                <w:lang w:val="en-US"/>
              </w:rPr>
              <w:t>1</w:t>
            </w:r>
            <w:r>
              <w:rPr>
                <w:rFonts w:hint="eastAsia"/>
              </w:rPr>
              <w:t>:</w:t>
            </w:r>
            <w:r>
              <w:rPr>
                <w:rFonts w:hint="eastAsia"/>
                <w:lang w:val="en-US"/>
              </w:rPr>
              <w:t>00</w:t>
            </w:r>
          </w:p>
        </w:tc>
      </w:tr>
      <w:tr w:rsidR="003045C7" w14:paraId="453C3F24" w14:textId="77777777">
        <w:trPr>
          <w:trHeight w:val="547"/>
        </w:trPr>
        <w:tc>
          <w:tcPr>
            <w:tcW w:w="1418" w:type="dxa"/>
            <w:vAlign w:val="center"/>
          </w:tcPr>
          <w:p w14:paraId="7679FC3B" w14:textId="77777777" w:rsidR="003045C7" w:rsidRDefault="00000000">
            <w:pPr>
              <w:spacing w:line="360" w:lineRule="exact"/>
              <w:jc w:val="center"/>
              <w:rPr>
                <w:rFonts w:hint="eastAsia"/>
              </w:rPr>
            </w:pPr>
            <w:r>
              <w:rPr>
                <w:b/>
                <w:sz w:val="21"/>
                <w:szCs w:val="21"/>
              </w:rPr>
              <w:t>地点</w:t>
            </w:r>
          </w:p>
        </w:tc>
        <w:tc>
          <w:tcPr>
            <w:tcW w:w="6887" w:type="dxa"/>
            <w:vAlign w:val="center"/>
          </w:tcPr>
          <w:p w14:paraId="40CE4BBC" w14:textId="77777777" w:rsidR="003045C7" w:rsidRDefault="00000000">
            <w:pPr>
              <w:spacing w:before="35"/>
              <w:rPr>
                <w:rFonts w:hint="eastAsia"/>
                <w:lang w:val="en-US"/>
              </w:rPr>
            </w:pPr>
            <w:r>
              <w:rPr>
                <w:rFonts w:hint="eastAsia"/>
                <w:lang w:val="en-US"/>
              </w:rPr>
              <w:t>线上方式</w:t>
            </w:r>
          </w:p>
        </w:tc>
      </w:tr>
      <w:tr w:rsidR="003045C7" w14:paraId="51F687C0" w14:textId="77777777">
        <w:tc>
          <w:tcPr>
            <w:tcW w:w="1418" w:type="dxa"/>
            <w:vAlign w:val="center"/>
          </w:tcPr>
          <w:p w14:paraId="334F2BBC" w14:textId="77777777" w:rsidR="003045C7" w:rsidRDefault="00000000">
            <w:pPr>
              <w:spacing w:line="360" w:lineRule="exact"/>
              <w:jc w:val="center"/>
              <w:rPr>
                <w:rFonts w:hint="eastAsia"/>
              </w:rPr>
            </w:pPr>
            <w:r>
              <w:rPr>
                <w:b/>
                <w:sz w:val="21"/>
                <w:szCs w:val="21"/>
              </w:rPr>
              <w:t>上市公司</w:t>
            </w:r>
            <w:r>
              <w:rPr>
                <w:rFonts w:hint="eastAsia"/>
                <w:b/>
                <w:sz w:val="21"/>
                <w:szCs w:val="21"/>
                <w:lang w:val="en-US"/>
              </w:rPr>
              <w:t>出席</w:t>
            </w:r>
            <w:r>
              <w:rPr>
                <w:b/>
                <w:sz w:val="21"/>
                <w:szCs w:val="21"/>
              </w:rPr>
              <w:t>人员</w:t>
            </w:r>
          </w:p>
        </w:tc>
        <w:tc>
          <w:tcPr>
            <w:tcW w:w="6887" w:type="dxa"/>
            <w:vAlign w:val="center"/>
          </w:tcPr>
          <w:p w14:paraId="7F4D9519" w14:textId="77777777" w:rsidR="003045C7" w:rsidRDefault="00000000">
            <w:pPr>
              <w:spacing w:before="35"/>
              <w:rPr>
                <w:rFonts w:hint="eastAsia"/>
                <w:color w:val="000000" w:themeColor="text1"/>
                <w:lang w:val="en-US"/>
              </w:rPr>
            </w:pPr>
            <w:r>
              <w:rPr>
                <w:rFonts w:hint="eastAsia"/>
                <w:color w:val="000000" w:themeColor="text1"/>
                <w:lang w:val="en-US"/>
              </w:rPr>
              <w:t>财务总监、董事会秘书 苏爽</w:t>
            </w:r>
          </w:p>
          <w:p w14:paraId="5E5DDD10" w14:textId="77777777" w:rsidR="003045C7" w:rsidRDefault="00000000">
            <w:pPr>
              <w:spacing w:before="35"/>
              <w:rPr>
                <w:rFonts w:hint="eastAsia"/>
                <w:lang w:val="en-US"/>
              </w:rPr>
            </w:pPr>
            <w:r>
              <w:rPr>
                <w:rFonts w:hint="eastAsia"/>
                <w:color w:val="000000" w:themeColor="text1"/>
                <w:lang w:val="en-US"/>
              </w:rPr>
              <w:t>证券事务代表 马晓琳</w:t>
            </w:r>
          </w:p>
        </w:tc>
      </w:tr>
      <w:tr w:rsidR="003045C7" w14:paraId="65FA652A" w14:textId="77777777">
        <w:tc>
          <w:tcPr>
            <w:tcW w:w="1418" w:type="dxa"/>
            <w:vAlign w:val="center"/>
          </w:tcPr>
          <w:p w14:paraId="79C2C1E3" w14:textId="77777777" w:rsidR="003045C7" w:rsidRDefault="00000000">
            <w:pPr>
              <w:spacing w:before="35"/>
              <w:jc w:val="center"/>
              <w:rPr>
                <w:rFonts w:hint="eastAsia"/>
                <w:b/>
                <w:sz w:val="21"/>
                <w:szCs w:val="21"/>
              </w:rPr>
            </w:pPr>
            <w:r>
              <w:rPr>
                <w:rFonts w:hint="eastAsia"/>
                <w:b/>
                <w:sz w:val="21"/>
                <w:szCs w:val="21"/>
                <w:lang w:val="en-US"/>
              </w:rPr>
              <w:t>投资者关系活动</w:t>
            </w:r>
            <w:r>
              <w:rPr>
                <w:b/>
                <w:sz w:val="21"/>
                <w:szCs w:val="21"/>
              </w:rPr>
              <w:t>主要内容介绍</w:t>
            </w:r>
          </w:p>
        </w:tc>
        <w:tc>
          <w:tcPr>
            <w:tcW w:w="6887" w:type="dxa"/>
          </w:tcPr>
          <w:p w14:paraId="3F952C4F" w14:textId="77777777" w:rsidR="003045C7" w:rsidRDefault="00000000" w:rsidP="00EE553B">
            <w:pPr>
              <w:pStyle w:val="af0"/>
              <w:numPr>
                <w:ilvl w:val="0"/>
                <w:numId w:val="1"/>
              </w:numPr>
              <w:jc w:val="both"/>
              <w:rPr>
                <w:rFonts w:hint="eastAsia"/>
                <w:b/>
                <w:bCs/>
                <w:color w:val="000000" w:themeColor="text1"/>
              </w:rPr>
            </w:pPr>
            <w:r>
              <w:rPr>
                <w:rFonts w:hint="eastAsia"/>
                <w:b/>
                <w:bCs/>
                <w:color w:val="000000" w:themeColor="text1"/>
              </w:rPr>
              <w:t>公司</w:t>
            </w:r>
            <w:r>
              <w:rPr>
                <w:b/>
                <w:bCs/>
                <w:color w:val="000000" w:themeColor="text1"/>
              </w:rPr>
              <w:t>202</w:t>
            </w:r>
            <w:r>
              <w:rPr>
                <w:rFonts w:hint="eastAsia"/>
                <w:b/>
                <w:bCs/>
                <w:color w:val="000000" w:themeColor="text1"/>
                <w:lang w:val="en-US"/>
              </w:rPr>
              <w:t>5</w:t>
            </w:r>
            <w:r>
              <w:rPr>
                <w:b/>
                <w:bCs/>
                <w:color w:val="000000" w:themeColor="text1"/>
              </w:rPr>
              <w:t>年</w:t>
            </w:r>
            <w:r>
              <w:rPr>
                <w:rFonts w:hint="eastAsia"/>
                <w:b/>
                <w:bCs/>
                <w:color w:val="000000" w:themeColor="text1"/>
                <w:lang w:val="en-US"/>
              </w:rPr>
              <w:t>半</w:t>
            </w:r>
            <w:r>
              <w:rPr>
                <w:rFonts w:hint="eastAsia"/>
                <w:b/>
                <w:bCs/>
                <w:color w:val="000000" w:themeColor="text1"/>
              </w:rPr>
              <w:t>年度</w:t>
            </w:r>
            <w:r>
              <w:rPr>
                <w:b/>
                <w:bCs/>
                <w:color w:val="000000" w:themeColor="text1"/>
              </w:rPr>
              <w:t>经营成果介绍</w:t>
            </w:r>
          </w:p>
          <w:p w14:paraId="58D19C81" w14:textId="77777777"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1、2025年半年度在经营业绩及成果方面：</w:t>
            </w:r>
          </w:p>
          <w:p w14:paraId="7C6DD77A" w14:textId="77777777"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公司实现营业收入8.35亿元，同比增长9.31%；实现归属于上市公司股东的净利润1.32亿元，同比增长18.08%；实现扣非净利润1.01亿元，同比增长15.29%。</w:t>
            </w:r>
          </w:p>
          <w:p w14:paraId="1CF062A0" w14:textId="4476DBE0"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其中，二季度公司实现营业收入4.65亿元，同比增长13.5</w:t>
            </w:r>
            <w:r w:rsidR="00524FE8">
              <w:rPr>
                <w:rFonts w:hint="eastAsia"/>
                <w:color w:val="000000" w:themeColor="text1"/>
              </w:rPr>
              <w:t>0</w:t>
            </w:r>
            <w:r>
              <w:rPr>
                <w:rFonts w:hint="eastAsia"/>
                <w:color w:val="000000" w:themeColor="text1"/>
              </w:rPr>
              <w:t>%；实现归属于上市公司股东的净利润9,445.53万元，同比增长31.42%；实现扣非净利润6,230.57万元，同比增长24.28%。公司业绩继续保持收入和扣非净利润双增长的良好态势。</w:t>
            </w:r>
          </w:p>
          <w:p w14:paraId="4D045EFA" w14:textId="77777777"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2、在2025年上半年以来，公司业务呈现以下特点：</w:t>
            </w:r>
          </w:p>
          <w:p w14:paraId="3BBC8845" w14:textId="54B06490"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在门店业务方面，</w:t>
            </w:r>
            <w:r w:rsidR="00EE553B">
              <w:rPr>
                <w:rFonts w:hint="eastAsia"/>
                <w:color w:val="000000" w:themeColor="text1"/>
              </w:rPr>
              <w:t>公司</w:t>
            </w:r>
            <w:r>
              <w:rPr>
                <w:rFonts w:hint="eastAsia"/>
                <w:color w:val="000000" w:themeColor="text1"/>
              </w:rPr>
              <w:t>始终围绕“提效拓量”的年度目标，秉持内生门店发展与外延并购协同共进的发展思路，统筹各项工作开展。</w:t>
            </w:r>
          </w:p>
          <w:p w14:paraId="4AC484AD" w14:textId="77777777"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第一，公司持续聚焦扩大加盟门店数量规模，报告期内公司新增门店数量1027家，剔除合并其他品牌后新开门店456家，开店节奏基本符合年初制定的开店计划。</w:t>
            </w:r>
          </w:p>
          <w:p w14:paraId="7022B0DE" w14:textId="77777777"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第二，单店修复回升趋势得到进一步确认,公司围绕“提升加盟商收入”的核心目标，通过门店改造、外卖运营赋能、培训扶持等多</w:t>
            </w:r>
            <w:r>
              <w:rPr>
                <w:rFonts w:hint="eastAsia"/>
                <w:color w:val="000000" w:themeColor="text1"/>
              </w:rPr>
              <w:lastRenderedPageBreak/>
              <w:t>重举措，多点发力单店模型改善，各项举措成效逐步得到释放和体现，单店收入回升的向好态势持续巩固。</w:t>
            </w:r>
          </w:p>
          <w:p w14:paraId="7DE8348C" w14:textId="77777777"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第三，行业整合落地取得了新的进展。报告期内公司继续依托生产要素等核心经营优势加速推进行业整合，成功与浙江知名包点连锁品牌“馒乡人”达成战略投资合作，并于2025年7月1日圆满完成馒乡人旗下约250家加盟门店的供应链切换事宜，股权收购正有序推进中。</w:t>
            </w:r>
          </w:p>
          <w:p w14:paraId="5034E175" w14:textId="77777777"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在团餐业务方面，公司持续聚焦产品体系优化与分渠道布局深耕，随着下游客户需求的稳步提升以及公司对各客户渠道的精准发力，团餐业务二季度同比增长26.20%，收入增速保持了双位数增长的良好趋势。</w:t>
            </w:r>
          </w:p>
          <w:p w14:paraId="17BA366C" w14:textId="77777777" w:rsidR="003045C7" w:rsidRDefault="00000000" w:rsidP="00EE553B">
            <w:pPr>
              <w:pStyle w:val="TOC2"/>
              <w:ind w:leftChars="0" w:left="0" w:firstLineChars="200" w:firstLine="440"/>
              <w:jc w:val="both"/>
              <w:rPr>
                <w:rFonts w:hint="eastAsia"/>
                <w:color w:val="000000" w:themeColor="text1"/>
              </w:rPr>
            </w:pPr>
            <w:r>
              <w:rPr>
                <w:rFonts w:hint="eastAsia"/>
                <w:color w:val="000000" w:themeColor="text1"/>
              </w:rPr>
              <w:t>在成本费用端，原材料价格整体处于低位，且随着公司收入规模的提高，公司二季度毛利率同比提升1.85个百分点。同时，公司运营效率继续提升，二季度期间费用率小幅下降，扣非净利润率达13.4%，经营效益结果符合管理层预期。</w:t>
            </w:r>
          </w:p>
          <w:p w14:paraId="5DC69CCF" w14:textId="77777777" w:rsidR="003045C7" w:rsidRDefault="003045C7" w:rsidP="00EE553B">
            <w:pPr>
              <w:jc w:val="both"/>
              <w:rPr>
                <w:rFonts w:hint="eastAsia"/>
              </w:rPr>
            </w:pPr>
          </w:p>
          <w:p w14:paraId="277A874B" w14:textId="77777777" w:rsidR="003045C7" w:rsidRDefault="00000000" w:rsidP="00EE553B">
            <w:pPr>
              <w:pStyle w:val="TOC2"/>
              <w:ind w:leftChars="0" w:left="0"/>
              <w:jc w:val="both"/>
              <w:rPr>
                <w:rFonts w:hint="eastAsia"/>
                <w:b/>
                <w:color w:val="000000" w:themeColor="text1"/>
              </w:rPr>
            </w:pPr>
            <w:r>
              <w:rPr>
                <w:rFonts w:hint="eastAsia"/>
                <w:b/>
                <w:color w:val="000000" w:themeColor="text1"/>
              </w:rPr>
              <w:t>二、互动交流环节</w:t>
            </w:r>
          </w:p>
          <w:p w14:paraId="22A516C6" w14:textId="77777777" w:rsidR="003045C7" w:rsidRDefault="00000000" w:rsidP="00EE553B">
            <w:pPr>
              <w:jc w:val="both"/>
              <w:rPr>
                <w:rFonts w:hint="eastAsia"/>
                <w:b/>
                <w:bCs/>
                <w:color w:val="000000" w:themeColor="text1"/>
                <w:lang w:val="en-US"/>
              </w:rPr>
            </w:pPr>
            <w:r>
              <w:rPr>
                <w:rFonts w:hint="eastAsia"/>
                <w:b/>
                <w:bCs/>
                <w:color w:val="000000" w:themeColor="text1"/>
              </w:rPr>
              <w:t>1、</w:t>
            </w:r>
            <w:r>
              <w:rPr>
                <w:rFonts w:hint="eastAsia"/>
                <w:b/>
                <w:bCs/>
                <w:color w:val="000000" w:themeColor="text1"/>
                <w:lang w:val="en-US"/>
              </w:rPr>
              <w:t>2025年以来公司在优化单店模型上有哪些具体举措，成效如何？</w:t>
            </w:r>
          </w:p>
          <w:p w14:paraId="32676B32" w14:textId="77777777" w:rsidR="003045C7" w:rsidRDefault="00000000" w:rsidP="00EE553B">
            <w:pPr>
              <w:pStyle w:val="TOC2"/>
              <w:ind w:leftChars="0" w:left="0"/>
              <w:jc w:val="both"/>
              <w:rPr>
                <w:rFonts w:hint="eastAsia"/>
                <w:color w:val="000000" w:themeColor="text1"/>
                <w:lang w:val="en-US"/>
              </w:rPr>
            </w:pPr>
            <w:r>
              <w:rPr>
                <w:rFonts w:hint="eastAsia"/>
                <w:b/>
                <w:bCs/>
                <w:color w:val="000000" w:themeColor="text1"/>
              </w:rPr>
              <w:t>回复：</w:t>
            </w:r>
            <w:r>
              <w:rPr>
                <w:rFonts w:hint="eastAsia"/>
                <w:color w:val="000000" w:themeColor="text1"/>
                <w:lang w:val="en-US"/>
              </w:rPr>
              <w:t>从2024年下半年开始，公司围绕提升单店收入开展了各项优化举措，具体包括门店的升级改造，产品结构的不断优化和贯彻落实鲜食好吃战略。在门店升级改造方面，公司主要采取小店改布局、大店改堂食两种方式。小店通过改布局来提升门店烟火气，进而吸引到店；大店通过改堂食来增加客流，进而提升单店收入。</w:t>
            </w:r>
          </w:p>
          <w:p w14:paraId="448818A8" w14:textId="77777777" w:rsidR="003045C7" w:rsidRDefault="00000000" w:rsidP="00EE553B">
            <w:pPr>
              <w:ind w:firstLineChars="200" w:firstLine="440"/>
              <w:jc w:val="both"/>
              <w:rPr>
                <w:rFonts w:hint="eastAsia"/>
                <w:color w:val="000000" w:themeColor="text1"/>
                <w:lang w:val="en-US"/>
              </w:rPr>
            </w:pPr>
            <w:r>
              <w:rPr>
                <w:rFonts w:hint="eastAsia"/>
                <w:color w:val="000000" w:themeColor="text1"/>
                <w:lang w:val="en-US"/>
              </w:rPr>
              <w:t>在上述举措的推进下，单店收入呈现一定的修复态势。7-8月，单店修复态势持续巩固。展望未来，公司将持续推进单店模型的优化，不断提升经营质量。</w:t>
            </w:r>
          </w:p>
          <w:p w14:paraId="3426C76A" w14:textId="77777777" w:rsidR="003045C7" w:rsidRDefault="003045C7" w:rsidP="00EE553B">
            <w:pPr>
              <w:pStyle w:val="TOC2"/>
              <w:ind w:leftChars="0" w:left="0"/>
              <w:jc w:val="both"/>
              <w:rPr>
                <w:rFonts w:hint="eastAsia"/>
                <w:color w:val="000000" w:themeColor="text1"/>
                <w:lang w:val="en-US"/>
              </w:rPr>
            </w:pPr>
          </w:p>
          <w:p w14:paraId="4EBCF3F1" w14:textId="77777777" w:rsidR="003045C7" w:rsidRDefault="00000000" w:rsidP="00EE553B">
            <w:pPr>
              <w:jc w:val="both"/>
              <w:rPr>
                <w:rFonts w:hint="eastAsia"/>
                <w:b/>
                <w:bCs/>
                <w:color w:val="000000" w:themeColor="text1"/>
                <w:lang w:val="en-US"/>
              </w:rPr>
            </w:pPr>
            <w:r>
              <w:rPr>
                <w:rFonts w:hint="eastAsia"/>
                <w:b/>
                <w:bCs/>
                <w:color w:val="000000" w:themeColor="text1"/>
                <w:lang w:val="en-US"/>
              </w:rPr>
              <w:t>2</w:t>
            </w:r>
            <w:r>
              <w:rPr>
                <w:rFonts w:hint="eastAsia"/>
                <w:b/>
                <w:bCs/>
                <w:color w:val="000000" w:themeColor="text1"/>
              </w:rPr>
              <w:t>、</w:t>
            </w:r>
            <w:r>
              <w:rPr>
                <w:rFonts w:hint="eastAsia"/>
                <w:b/>
                <w:bCs/>
                <w:color w:val="000000" w:themeColor="text1"/>
                <w:lang w:val="en-US"/>
              </w:rPr>
              <w:t>2025年半年度来看，公司各区域的单店收入如何？</w:t>
            </w:r>
          </w:p>
          <w:p w14:paraId="41E73480" w14:textId="77777777" w:rsidR="003045C7" w:rsidRDefault="00000000" w:rsidP="00EE553B">
            <w:pPr>
              <w:jc w:val="both"/>
              <w:rPr>
                <w:rFonts w:hint="eastAsia"/>
                <w:b/>
                <w:bCs/>
                <w:color w:val="000000" w:themeColor="text1"/>
              </w:rPr>
            </w:pPr>
            <w:r>
              <w:rPr>
                <w:rFonts w:hint="eastAsia"/>
                <w:b/>
                <w:bCs/>
                <w:color w:val="000000" w:themeColor="text1"/>
              </w:rPr>
              <w:t>回复：</w:t>
            </w:r>
            <w:r>
              <w:rPr>
                <w:rFonts w:hint="eastAsia"/>
                <w:color w:val="000000" w:themeColor="text1"/>
                <w:lang w:val="en-US"/>
              </w:rPr>
              <w:t>外区的单店收入和华东单店收入的比例与以往保持一致。华南和华中单店收入分别约为华东的50%-60%。</w:t>
            </w:r>
          </w:p>
          <w:p w14:paraId="5DD5E512" w14:textId="77777777" w:rsidR="003045C7" w:rsidRDefault="003045C7" w:rsidP="00EE553B">
            <w:pPr>
              <w:jc w:val="both"/>
              <w:rPr>
                <w:rFonts w:hint="eastAsia"/>
                <w:color w:val="000000" w:themeColor="text1"/>
              </w:rPr>
            </w:pPr>
          </w:p>
          <w:p w14:paraId="71C1C3D2" w14:textId="77777777" w:rsidR="003045C7" w:rsidRDefault="00000000" w:rsidP="00EE553B">
            <w:pPr>
              <w:pStyle w:val="TOC2"/>
              <w:ind w:leftChars="0" w:left="0"/>
              <w:jc w:val="both"/>
              <w:rPr>
                <w:rFonts w:hint="eastAsia"/>
                <w:b/>
                <w:bCs/>
                <w:color w:val="000000" w:themeColor="text1"/>
                <w:lang w:val="en-US"/>
              </w:rPr>
            </w:pPr>
            <w:r>
              <w:rPr>
                <w:rFonts w:hint="eastAsia"/>
                <w:b/>
                <w:bCs/>
                <w:color w:val="000000" w:themeColor="text1"/>
                <w:lang w:val="en-US"/>
              </w:rPr>
              <w:t>3</w:t>
            </w:r>
            <w:r>
              <w:rPr>
                <w:rFonts w:hint="eastAsia"/>
                <w:b/>
                <w:bCs/>
                <w:color w:val="000000" w:themeColor="text1"/>
              </w:rPr>
              <w:t>、</w:t>
            </w:r>
            <w:r>
              <w:rPr>
                <w:rFonts w:hint="eastAsia"/>
                <w:b/>
                <w:bCs/>
                <w:color w:val="000000" w:themeColor="text1"/>
                <w:lang w:val="en-US"/>
              </w:rPr>
              <w:t>2025年半年度公司开店较去年同期加速，主要得益于哪些因素，以及预计全年目标如何？</w:t>
            </w:r>
          </w:p>
          <w:p w14:paraId="318238CA" w14:textId="77777777" w:rsidR="003045C7" w:rsidRDefault="00000000" w:rsidP="00EE553B">
            <w:pPr>
              <w:pStyle w:val="TOC2"/>
              <w:ind w:leftChars="0" w:left="0"/>
              <w:jc w:val="both"/>
              <w:rPr>
                <w:rFonts w:hint="eastAsia"/>
                <w:color w:val="000000" w:themeColor="text1"/>
                <w:lang w:val="en-US"/>
              </w:rPr>
            </w:pPr>
            <w:r>
              <w:rPr>
                <w:rFonts w:hint="eastAsia"/>
                <w:b/>
                <w:bCs/>
                <w:color w:val="000000" w:themeColor="text1"/>
              </w:rPr>
              <w:t>回复：</w:t>
            </w:r>
            <w:r>
              <w:rPr>
                <w:rFonts w:hint="eastAsia"/>
                <w:color w:val="000000" w:themeColor="text1"/>
                <w:lang w:val="en-US"/>
              </w:rPr>
              <w:t>2025年上半年开店加速主要得益于单店收入的逐步修复提振加盟商的边际开店意愿，公司对于翻牌门店给予了更灵活的市场补贴政策，以及公司持续不断的在品牌营销活动上进行投入，包括打造短视频账号矩阵等，尽可能的为加盟商赋能，并通过宣传好店来吸引更多的潜在加盟商加盟。</w:t>
            </w:r>
          </w:p>
          <w:p w14:paraId="6BC96DA1" w14:textId="77777777" w:rsidR="003045C7" w:rsidRDefault="00000000" w:rsidP="00EE553B">
            <w:pPr>
              <w:pStyle w:val="TOC2"/>
              <w:ind w:leftChars="0" w:left="0" w:firstLineChars="200" w:firstLine="440"/>
              <w:jc w:val="both"/>
              <w:rPr>
                <w:rFonts w:hint="eastAsia"/>
                <w:color w:val="000000" w:themeColor="text1"/>
                <w:lang w:val="en-US"/>
              </w:rPr>
            </w:pPr>
            <w:r>
              <w:rPr>
                <w:rFonts w:hint="eastAsia"/>
                <w:color w:val="000000" w:themeColor="text1"/>
                <w:lang w:val="en-US"/>
              </w:rPr>
              <w:t>从目标上来看，预计全年新开店1,000家，目前7-8月新开店数量和去年同期保持一致。</w:t>
            </w:r>
          </w:p>
          <w:p w14:paraId="297FA7EF" w14:textId="77777777" w:rsidR="003045C7" w:rsidRDefault="003045C7" w:rsidP="00EE553B">
            <w:pPr>
              <w:jc w:val="both"/>
              <w:rPr>
                <w:rFonts w:hint="eastAsia"/>
                <w:color w:val="000000" w:themeColor="text1"/>
                <w:lang w:val="en-US"/>
              </w:rPr>
            </w:pPr>
          </w:p>
          <w:p w14:paraId="215A4BC6" w14:textId="77777777" w:rsidR="003045C7" w:rsidRDefault="00000000" w:rsidP="00EE553B">
            <w:pPr>
              <w:pStyle w:val="TOC2"/>
              <w:ind w:leftChars="0" w:left="0"/>
              <w:jc w:val="both"/>
              <w:rPr>
                <w:rFonts w:hint="eastAsia"/>
                <w:b/>
                <w:bCs/>
                <w:color w:val="000000" w:themeColor="text1"/>
              </w:rPr>
            </w:pPr>
            <w:r>
              <w:rPr>
                <w:rFonts w:hint="eastAsia"/>
                <w:b/>
                <w:bCs/>
                <w:color w:val="000000" w:themeColor="text1"/>
                <w:lang w:val="en-US"/>
              </w:rPr>
              <w:t>4</w:t>
            </w:r>
            <w:r>
              <w:rPr>
                <w:rFonts w:hint="eastAsia"/>
                <w:b/>
                <w:bCs/>
                <w:color w:val="000000" w:themeColor="text1"/>
              </w:rPr>
              <w:t>、</w:t>
            </w:r>
            <w:r>
              <w:rPr>
                <w:rFonts w:hint="eastAsia"/>
                <w:b/>
                <w:bCs/>
                <w:color w:val="000000" w:themeColor="text1"/>
                <w:lang w:val="en-US"/>
              </w:rPr>
              <w:t>公司单店企稳回升，在闭店方面有什么预期</w:t>
            </w:r>
            <w:r>
              <w:rPr>
                <w:rFonts w:hint="eastAsia"/>
                <w:b/>
                <w:bCs/>
                <w:color w:val="000000" w:themeColor="text1"/>
              </w:rPr>
              <w:t>？</w:t>
            </w:r>
          </w:p>
          <w:p w14:paraId="2019BD81" w14:textId="7EA63194" w:rsidR="003045C7" w:rsidRDefault="00000000" w:rsidP="00EE553B">
            <w:pPr>
              <w:pStyle w:val="TOC2"/>
              <w:ind w:leftChars="0" w:left="0"/>
              <w:jc w:val="both"/>
              <w:rPr>
                <w:rFonts w:hint="eastAsia"/>
                <w:color w:val="000000" w:themeColor="text1"/>
                <w:lang w:val="en-US"/>
              </w:rPr>
            </w:pPr>
            <w:r>
              <w:rPr>
                <w:rFonts w:hint="eastAsia"/>
                <w:b/>
                <w:bCs/>
                <w:color w:val="000000" w:themeColor="text1"/>
              </w:rPr>
              <w:t>回复：</w:t>
            </w:r>
            <w:r>
              <w:rPr>
                <w:rFonts w:hint="eastAsia"/>
                <w:color w:val="000000" w:themeColor="text1"/>
                <w:lang w:val="en-US"/>
              </w:rPr>
              <w:t>2025年上半年公司闭店的绝对数量较去年同期有所增长，但</w:t>
            </w:r>
            <w:r w:rsidR="00EE553B">
              <w:rPr>
                <w:rFonts w:hint="eastAsia"/>
                <w:color w:val="000000" w:themeColor="text1"/>
                <w:lang w:val="en-US"/>
              </w:rPr>
              <w:t>公司</w:t>
            </w:r>
            <w:r>
              <w:rPr>
                <w:rFonts w:hint="eastAsia"/>
                <w:color w:val="000000" w:themeColor="text1"/>
                <w:lang w:val="en-US"/>
              </w:rPr>
              <w:t>预计随着单店收入的不断修复，今年闭店的绝对数量不会超过去年同期。</w:t>
            </w:r>
          </w:p>
          <w:p w14:paraId="233EC140" w14:textId="77777777" w:rsidR="00EE553B" w:rsidRPr="00EE553B" w:rsidRDefault="00EE553B" w:rsidP="0014514F">
            <w:pPr>
              <w:pStyle w:val="TOC2"/>
              <w:ind w:leftChars="0" w:left="0"/>
              <w:rPr>
                <w:rFonts w:hint="eastAsia"/>
                <w:lang w:val="en-US"/>
              </w:rPr>
            </w:pPr>
          </w:p>
          <w:p w14:paraId="6FA25D27" w14:textId="77777777" w:rsidR="003045C7" w:rsidRDefault="00000000" w:rsidP="00EE553B">
            <w:pPr>
              <w:pStyle w:val="TOC2"/>
              <w:ind w:leftChars="0" w:left="0"/>
              <w:jc w:val="both"/>
              <w:rPr>
                <w:rFonts w:hint="eastAsia"/>
                <w:b/>
                <w:bCs/>
                <w:color w:val="000000" w:themeColor="text1"/>
                <w:lang w:val="en-US"/>
              </w:rPr>
            </w:pPr>
            <w:r>
              <w:rPr>
                <w:rFonts w:hint="eastAsia"/>
                <w:b/>
                <w:bCs/>
                <w:color w:val="000000" w:themeColor="text1"/>
                <w:lang w:val="en-US"/>
              </w:rPr>
              <w:t>5</w:t>
            </w:r>
            <w:r>
              <w:rPr>
                <w:rFonts w:hint="eastAsia"/>
                <w:b/>
                <w:bCs/>
                <w:color w:val="000000" w:themeColor="text1"/>
              </w:rPr>
              <w:t>、</w:t>
            </w:r>
            <w:r>
              <w:rPr>
                <w:rFonts w:hint="eastAsia"/>
                <w:b/>
                <w:bCs/>
                <w:color w:val="000000" w:themeColor="text1"/>
                <w:lang w:val="en-US"/>
              </w:rPr>
              <w:t>公司闭店原因包括哪些</w:t>
            </w:r>
            <w:r>
              <w:rPr>
                <w:rFonts w:hint="eastAsia"/>
                <w:b/>
                <w:bCs/>
                <w:color w:val="000000" w:themeColor="text1"/>
              </w:rPr>
              <w:t>？</w:t>
            </w:r>
            <w:r>
              <w:rPr>
                <w:rFonts w:hint="eastAsia"/>
                <w:b/>
                <w:bCs/>
                <w:color w:val="000000" w:themeColor="text1"/>
                <w:lang w:val="en-US"/>
              </w:rPr>
              <w:t>后续有哪些针对性措施来降低闭店率？</w:t>
            </w:r>
          </w:p>
          <w:p w14:paraId="42DC97C8" w14:textId="77777777" w:rsidR="003045C7" w:rsidRDefault="00000000" w:rsidP="00EE553B">
            <w:pPr>
              <w:pStyle w:val="TOC2"/>
              <w:ind w:leftChars="0" w:left="0"/>
              <w:jc w:val="both"/>
              <w:rPr>
                <w:rFonts w:hint="eastAsia"/>
                <w:lang w:val="en-US"/>
              </w:rPr>
            </w:pPr>
            <w:r>
              <w:rPr>
                <w:rFonts w:hint="eastAsia"/>
                <w:b/>
                <w:bCs/>
                <w:color w:val="000000" w:themeColor="text1"/>
              </w:rPr>
              <w:t>回复：</w:t>
            </w:r>
            <w:r>
              <w:rPr>
                <w:rFonts w:hint="eastAsia"/>
                <w:color w:val="000000" w:themeColor="text1"/>
                <w:lang w:val="en-US"/>
              </w:rPr>
              <w:t>公司闭店原因主要包括加盟商个人原因、门店租期到期、部分</w:t>
            </w:r>
            <w:r>
              <w:rPr>
                <w:rFonts w:hint="eastAsia"/>
                <w:color w:val="000000" w:themeColor="text1"/>
                <w:lang w:val="en-US"/>
              </w:rPr>
              <w:lastRenderedPageBreak/>
              <w:t>门店经营能力较弱，周边竞争加剧、商圈人流量变化等。针对上述闭店原因，公司后续将有针对性的对门店采取帮扶措施，以改善闭店率。</w:t>
            </w:r>
          </w:p>
          <w:p w14:paraId="23B79BD0" w14:textId="77777777" w:rsidR="003045C7" w:rsidRDefault="003045C7" w:rsidP="00EE553B">
            <w:pPr>
              <w:jc w:val="both"/>
              <w:rPr>
                <w:rFonts w:hint="eastAsia"/>
                <w:color w:val="000000" w:themeColor="text1"/>
              </w:rPr>
            </w:pPr>
          </w:p>
          <w:p w14:paraId="55E15154" w14:textId="77777777" w:rsidR="003045C7" w:rsidRDefault="00000000" w:rsidP="00EE553B">
            <w:pPr>
              <w:pStyle w:val="TOC2"/>
              <w:ind w:leftChars="0" w:left="0"/>
              <w:jc w:val="both"/>
              <w:rPr>
                <w:rFonts w:hint="eastAsia"/>
                <w:b/>
                <w:bCs/>
                <w:color w:val="000000" w:themeColor="text1"/>
              </w:rPr>
            </w:pPr>
            <w:r>
              <w:rPr>
                <w:rFonts w:hint="eastAsia"/>
                <w:b/>
                <w:bCs/>
                <w:color w:val="000000" w:themeColor="text1"/>
                <w:lang w:val="en-US"/>
              </w:rPr>
              <w:t>6</w:t>
            </w:r>
            <w:r>
              <w:rPr>
                <w:rFonts w:hint="eastAsia"/>
                <w:b/>
                <w:bCs/>
                <w:color w:val="000000" w:themeColor="text1"/>
              </w:rPr>
              <w:t>、</w:t>
            </w:r>
            <w:r>
              <w:rPr>
                <w:rFonts w:hint="eastAsia"/>
                <w:b/>
                <w:bCs/>
                <w:color w:val="000000" w:themeColor="text1"/>
                <w:lang w:val="en-US"/>
              </w:rPr>
              <w:t>在小店改布局和大店改堂食方面，公司未来有何发展计划</w:t>
            </w:r>
            <w:r>
              <w:rPr>
                <w:rFonts w:hint="eastAsia"/>
                <w:b/>
                <w:bCs/>
                <w:color w:val="000000" w:themeColor="text1"/>
              </w:rPr>
              <w:t>？</w:t>
            </w:r>
          </w:p>
          <w:p w14:paraId="3FF9EA64" w14:textId="77777777" w:rsidR="003045C7" w:rsidRDefault="00000000" w:rsidP="00EE553B">
            <w:pPr>
              <w:pStyle w:val="TOC2"/>
              <w:ind w:leftChars="0" w:left="0"/>
              <w:jc w:val="both"/>
              <w:rPr>
                <w:rFonts w:hint="eastAsia"/>
                <w:color w:val="000000" w:themeColor="text1"/>
                <w:lang w:val="en-US"/>
              </w:rPr>
            </w:pPr>
            <w:r>
              <w:rPr>
                <w:rFonts w:hint="eastAsia"/>
                <w:b/>
                <w:bCs/>
                <w:color w:val="000000" w:themeColor="text1"/>
                <w:lang w:val="en-US"/>
              </w:rPr>
              <w:t>回复：</w:t>
            </w:r>
            <w:r>
              <w:rPr>
                <w:rFonts w:hint="eastAsia"/>
                <w:color w:val="000000" w:themeColor="text1"/>
                <w:lang w:val="en-US"/>
              </w:rPr>
              <w:t>在小店改布局方面，目前各区域均有几十家的改造门店，改造后大部分门店的营业额能到得到10%-15%的提升，改造投入在1-2万内。长期来看，公司大部分的外带店均具备改造条件。</w:t>
            </w:r>
          </w:p>
          <w:p w14:paraId="71A1E73A" w14:textId="77777777" w:rsidR="003045C7" w:rsidRDefault="00000000" w:rsidP="00EE553B">
            <w:pPr>
              <w:ind w:firstLineChars="200" w:firstLine="440"/>
              <w:jc w:val="both"/>
              <w:rPr>
                <w:rFonts w:hint="eastAsia"/>
                <w:lang w:val="en-US"/>
              </w:rPr>
            </w:pPr>
            <w:r>
              <w:rPr>
                <w:rFonts w:hint="eastAsia"/>
                <w:color w:val="000000" w:themeColor="text1"/>
                <w:lang w:val="en-US"/>
              </w:rPr>
              <w:t>在大店改堂食方面，目前公司探索出一个较好的单店模型，即手工小笼包店，改造后的标杆门店日营业额约等于三个外带店，装修升级成本在10-15万，门店毛利率约55%，回本周期在3-4个月。长期来看，公司将通过对标杆门店加大营销宣传等形式来推广该店型，从华东来看，目前15%的门店具备改造条件。</w:t>
            </w:r>
          </w:p>
          <w:p w14:paraId="6B30814C" w14:textId="77777777" w:rsidR="003045C7" w:rsidRDefault="003045C7" w:rsidP="00EE553B">
            <w:pPr>
              <w:pStyle w:val="TOC2"/>
              <w:ind w:leftChars="0" w:left="0"/>
              <w:jc w:val="both"/>
              <w:rPr>
                <w:rFonts w:hint="eastAsia"/>
              </w:rPr>
            </w:pPr>
          </w:p>
          <w:p w14:paraId="3EDD29BC" w14:textId="77777777" w:rsidR="003045C7" w:rsidRDefault="00000000" w:rsidP="00EE553B">
            <w:pPr>
              <w:pStyle w:val="TOC2"/>
              <w:ind w:leftChars="0" w:left="0"/>
              <w:jc w:val="both"/>
              <w:rPr>
                <w:rFonts w:hint="eastAsia"/>
                <w:b/>
                <w:bCs/>
                <w:color w:val="000000" w:themeColor="text1"/>
              </w:rPr>
            </w:pPr>
            <w:r>
              <w:rPr>
                <w:rFonts w:hint="eastAsia"/>
                <w:b/>
                <w:bCs/>
                <w:color w:val="000000" w:themeColor="text1"/>
                <w:lang w:val="en-US"/>
              </w:rPr>
              <w:t>7</w:t>
            </w:r>
            <w:r>
              <w:rPr>
                <w:rFonts w:hint="eastAsia"/>
                <w:b/>
                <w:bCs/>
                <w:color w:val="000000" w:themeColor="text1"/>
              </w:rPr>
              <w:t>、</w:t>
            </w:r>
            <w:r>
              <w:rPr>
                <w:rFonts w:hint="eastAsia"/>
                <w:b/>
                <w:bCs/>
                <w:color w:val="000000" w:themeColor="text1"/>
                <w:lang w:val="en-US"/>
              </w:rPr>
              <w:t>在外延并购方面，公司有何进展和预期</w:t>
            </w:r>
            <w:r>
              <w:rPr>
                <w:rFonts w:hint="eastAsia"/>
                <w:b/>
                <w:bCs/>
                <w:color w:val="000000" w:themeColor="text1"/>
              </w:rPr>
              <w:t>？</w:t>
            </w:r>
          </w:p>
          <w:p w14:paraId="4596E524" w14:textId="77777777" w:rsidR="003045C7" w:rsidRDefault="00000000" w:rsidP="00EE553B">
            <w:pPr>
              <w:jc w:val="both"/>
              <w:rPr>
                <w:rFonts w:hint="eastAsia"/>
                <w:color w:val="000000" w:themeColor="text1"/>
                <w:lang w:val="en-US"/>
              </w:rPr>
            </w:pPr>
            <w:r>
              <w:rPr>
                <w:rFonts w:hint="eastAsia"/>
                <w:b/>
                <w:bCs/>
                <w:color w:val="000000" w:themeColor="text1"/>
                <w:lang w:val="en-US"/>
              </w:rPr>
              <w:t>回复：</w:t>
            </w:r>
            <w:r>
              <w:rPr>
                <w:rFonts w:hint="eastAsia"/>
                <w:color w:val="000000" w:themeColor="text1"/>
                <w:lang w:val="en-US"/>
              </w:rPr>
              <w:t>公司始终致力于推动行业整合。今年以来，外延并购步伐显著加快。一季度，青露品牌已成功并表；三季度，馒乡人品牌并购项目正在按计划稳步推进。</w:t>
            </w:r>
          </w:p>
          <w:p w14:paraId="48E179BC" w14:textId="77777777" w:rsidR="003045C7" w:rsidRDefault="00000000" w:rsidP="00EE553B">
            <w:pPr>
              <w:pStyle w:val="TOC2"/>
              <w:ind w:leftChars="0" w:left="0" w:firstLineChars="200" w:firstLine="440"/>
              <w:jc w:val="both"/>
              <w:rPr>
                <w:rFonts w:hint="eastAsia"/>
                <w:lang w:val="en-US"/>
              </w:rPr>
            </w:pPr>
            <w:r>
              <w:rPr>
                <w:rFonts w:hint="eastAsia"/>
                <w:color w:val="000000" w:themeColor="text1"/>
                <w:lang w:val="en-US"/>
              </w:rPr>
              <w:t>在下半年，公司将继续与目标标的进行积极洽谈，推动更多并购项目落地。展望未来，公司仍将聚焦餐饮行业及供应链协同，择优选取并购标的。</w:t>
            </w:r>
          </w:p>
          <w:p w14:paraId="0D07EB1B" w14:textId="77777777" w:rsidR="003045C7" w:rsidRDefault="003045C7" w:rsidP="00EE553B">
            <w:pPr>
              <w:jc w:val="both"/>
              <w:rPr>
                <w:rFonts w:hint="eastAsia"/>
              </w:rPr>
            </w:pPr>
          </w:p>
          <w:p w14:paraId="03D31B11" w14:textId="77777777" w:rsidR="003045C7" w:rsidRDefault="00000000" w:rsidP="00EE553B">
            <w:pPr>
              <w:pStyle w:val="TOC2"/>
              <w:ind w:leftChars="0" w:left="0"/>
              <w:jc w:val="both"/>
              <w:rPr>
                <w:rFonts w:hint="eastAsia"/>
                <w:b/>
                <w:bCs/>
                <w:color w:val="000000" w:themeColor="text1"/>
              </w:rPr>
            </w:pPr>
            <w:r>
              <w:rPr>
                <w:rFonts w:hint="eastAsia"/>
                <w:b/>
                <w:bCs/>
                <w:color w:val="000000" w:themeColor="text1"/>
                <w:lang w:val="en-US"/>
              </w:rPr>
              <w:t>8</w:t>
            </w:r>
            <w:r>
              <w:rPr>
                <w:rFonts w:hint="eastAsia"/>
                <w:b/>
                <w:bCs/>
                <w:color w:val="000000" w:themeColor="text1"/>
              </w:rPr>
              <w:t>、</w:t>
            </w:r>
            <w:r>
              <w:rPr>
                <w:rFonts w:hint="eastAsia"/>
                <w:b/>
                <w:bCs/>
                <w:color w:val="000000" w:themeColor="text1"/>
                <w:lang w:val="en-US"/>
              </w:rPr>
              <w:t>请详细介绍馒乡人的基本情况和并购节奏</w:t>
            </w:r>
            <w:r>
              <w:rPr>
                <w:rFonts w:hint="eastAsia"/>
                <w:b/>
                <w:bCs/>
                <w:color w:val="000000" w:themeColor="text1"/>
              </w:rPr>
              <w:t>？</w:t>
            </w:r>
          </w:p>
          <w:p w14:paraId="54C20DC0" w14:textId="77777777" w:rsidR="003045C7" w:rsidRDefault="00000000" w:rsidP="00EE553B">
            <w:pPr>
              <w:pStyle w:val="TOC2"/>
              <w:ind w:leftChars="0" w:left="0"/>
              <w:jc w:val="both"/>
              <w:rPr>
                <w:rFonts w:hint="eastAsia"/>
                <w:color w:val="000000" w:themeColor="text1"/>
                <w:lang w:val="en-US"/>
              </w:rPr>
            </w:pPr>
            <w:r>
              <w:rPr>
                <w:rFonts w:hint="eastAsia"/>
                <w:b/>
                <w:bCs/>
                <w:color w:val="000000" w:themeColor="text1"/>
                <w:lang w:val="en-US"/>
              </w:rPr>
              <w:t>回复：</w:t>
            </w:r>
            <w:r>
              <w:rPr>
                <w:rFonts w:hint="eastAsia"/>
                <w:color w:val="000000" w:themeColor="text1"/>
                <w:lang w:val="en-US"/>
              </w:rPr>
              <w:t>馒乡人品牌目前门店数量约250家，主要分布在浙江省的嘉兴市和湖州市，其供应链端收入约在5000万/年。通过收并购该品牌，助力公司在成熟市场实现进一步的加密和下沉。</w:t>
            </w:r>
          </w:p>
          <w:p w14:paraId="33966FE5" w14:textId="77777777" w:rsidR="003045C7" w:rsidRDefault="00000000" w:rsidP="00EE553B">
            <w:pPr>
              <w:ind w:firstLineChars="200" w:firstLine="440"/>
              <w:jc w:val="both"/>
              <w:rPr>
                <w:rFonts w:hint="eastAsia"/>
                <w:lang w:val="en-US"/>
              </w:rPr>
            </w:pPr>
            <w:r>
              <w:rPr>
                <w:rFonts w:hint="eastAsia"/>
                <w:lang w:val="en-US"/>
              </w:rPr>
              <w:t>在并表节奏方面，6月份公司与馒乡人品牌签订合作协议，7月份完成供应链切换和整合，8-9月推动股权转让，并推动后续并表。</w:t>
            </w:r>
          </w:p>
          <w:p w14:paraId="2D4F624F" w14:textId="77777777" w:rsidR="003045C7" w:rsidRDefault="003045C7" w:rsidP="00EE553B">
            <w:pPr>
              <w:jc w:val="both"/>
              <w:rPr>
                <w:rFonts w:hint="eastAsia"/>
              </w:rPr>
            </w:pPr>
          </w:p>
          <w:p w14:paraId="597B3A6D" w14:textId="77777777" w:rsidR="003045C7" w:rsidRDefault="00000000" w:rsidP="00EE553B">
            <w:pPr>
              <w:jc w:val="both"/>
              <w:rPr>
                <w:rFonts w:hint="eastAsia"/>
                <w:b/>
                <w:bCs/>
                <w:color w:val="000000" w:themeColor="text1"/>
                <w:lang w:val="en-US"/>
              </w:rPr>
            </w:pPr>
            <w:r>
              <w:rPr>
                <w:rFonts w:hint="eastAsia"/>
                <w:b/>
                <w:bCs/>
                <w:color w:val="000000" w:themeColor="text1"/>
                <w:lang w:val="en-US"/>
              </w:rPr>
              <w:t>9</w:t>
            </w:r>
            <w:r>
              <w:rPr>
                <w:rFonts w:hint="eastAsia"/>
                <w:b/>
                <w:bCs/>
                <w:color w:val="000000" w:themeColor="text1"/>
              </w:rPr>
              <w:t>、</w:t>
            </w:r>
            <w:r>
              <w:rPr>
                <w:rFonts w:hint="eastAsia"/>
                <w:b/>
                <w:bCs/>
                <w:color w:val="000000" w:themeColor="text1"/>
                <w:lang w:val="en-US"/>
              </w:rPr>
              <w:t>2025年半年度公司团餐业务超预期，主要是得益于哪些因素？</w:t>
            </w:r>
          </w:p>
          <w:p w14:paraId="677D5D9C" w14:textId="77777777" w:rsidR="003045C7" w:rsidRDefault="00000000" w:rsidP="00EE553B">
            <w:pPr>
              <w:pStyle w:val="TOC2"/>
              <w:ind w:leftChars="0" w:left="0"/>
              <w:jc w:val="both"/>
              <w:rPr>
                <w:rFonts w:hint="eastAsia"/>
                <w:color w:val="000000" w:themeColor="text1"/>
                <w:lang w:val="en-US"/>
              </w:rPr>
            </w:pPr>
            <w:r>
              <w:rPr>
                <w:rFonts w:hint="eastAsia"/>
                <w:b/>
                <w:bCs/>
                <w:color w:val="000000" w:themeColor="text1"/>
                <w:lang w:val="en-US"/>
              </w:rPr>
              <w:t>回复：</w:t>
            </w:r>
            <w:r>
              <w:rPr>
                <w:rFonts w:hint="eastAsia"/>
                <w:color w:val="000000" w:themeColor="text1"/>
                <w:lang w:val="en-US"/>
              </w:rPr>
              <w:t>2025年上半年公司团餐业务超预期增长主要得益于</w:t>
            </w:r>
            <w:r>
              <w:rPr>
                <w:rFonts w:hint="eastAsia"/>
              </w:rPr>
              <w:t>公司聚焦产品体系优化与分渠道布局深耕</w:t>
            </w:r>
            <w:r>
              <w:rPr>
                <w:rFonts w:hint="eastAsia"/>
                <w:color w:val="000000" w:themeColor="text1"/>
                <w:lang w:val="en-US"/>
              </w:rPr>
              <w:t>。</w:t>
            </w:r>
          </w:p>
          <w:p w14:paraId="4F7D06BB" w14:textId="77777777" w:rsidR="003045C7" w:rsidRDefault="003045C7" w:rsidP="00EE553B">
            <w:pPr>
              <w:jc w:val="both"/>
              <w:rPr>
                <w:rFonts w:hint="eastAsia"/>
                <w:color w:val="000000" w:themeColor="text1"/>
              </w:rPr>
            </w:pPr>
          </w:p>
          <w:p w14:paraId="0A7824B4" w14:textId="77777777" w:rsidR="003045C7" w:rsidRDefault="00000000" w:rsidP="00EE553B">
            <w:pPr>
              <w:jc w:val="both"/>
              <w:rPr>
                <w:rFonts w:hint="eastAsia"/>
                <w:b/>
                <w:bCs/>
                <w:color w:val="000000" w:themeColor="text1"/>
                <w:lang w:val="en-US"/>
              </w:rPr>
            </w:pPr>
            <w:r>
              <w:rPr>
                <w:rFonts w:hint="eastAsia"/>
                <w:b/>
                <w:bCs/>
                <w:color w:val="000000" w:themeColor="text1"/>
                <w:lang w:val="en-US"/>
              </w:rPr>
              <w:t>10</w:t>
            </w:r>
            <w:r>
              <w:rPr>
                <w:rFonts w:hint="eastAsia"/>
                <w:b/>
                <w:bCs/>
                <w:color w:val="000000" w:themeColor="text1"/>
              </w:rPr>
              <w:t>、</w:t>
            </w:r>
            <w:r>
              <w:rPr>
                <w:rFonts w:hint="eastAsia"/>
                <w:b/>
                <w:bCs/>
                <w:color w:val="000000" w:themeColor="text1"/>
                <w:lang w:val="en-US"/>
              </w:rPr>
              <w:t>请介绍一下团餐业务中的馅料产品？并按区域和客户拆分一下团餐收入？</w:t>
            </w:r>
          </w:p>
          <w:p w14:paraId="3E24CF07" w14:textId="30B58FDB" w:rsidR="003045C7" w:rsidRDefault="00000000" w:rsidP="00EE553B">
            <w:pPr>
              <w:pStyle w:val="TOC2"/>
              <w:ind w:leftChars="0" w:left="0"/>
              <w:jc w:val="both"/>
              <w:rPr>
                <w:rFonts w:hint="eastAsia"/>
                <w:color w:val="000000" w:themeColor="text1"/>
                <w:lang w:val="en-US"/>
              </w:rPr>
            </w:pPr>
            <w:r>
              <w:rPr>
                <w:rFonts w:hint="eastAsia"/>
                <w:b/>
                <w:bCs/>
                <w:color w:val="000000" w:themeColor="text1"/>
                <w:lang w:val="en-US"/>
              </w:rPr>
              <w:t>回复：</w:t>
            </w:r>
            <w:r>
              <w:rPr>
                <w:rFonts w:hint="eastAsia"/>
                <w:color w:val="000000" w:themeColor="text1"/>
                <w:lang w:val="en-US"/>
              </w:rPr>
              <w:t>2025年上半年公司团餐业务的产品种类持续丰富。馅料增速可观但销售规模偏小，其主要包括定制鲜包馅料、</w:t>
            </w:r>
            <w:r w:rsidR="002650AA">
              <w:rPr>
                <w:rFonts w:hint="eastAsia"/>
                <w:color w:val="000000" w:themeColor="text1"/>
                <w:lang w:val="en-US"/>
              </w:rPr>
              <w:t>馅饼馅</w:t>
            </w:r>
            <w:r>
              <w:rPr>
                <w:rFonts w:hint="eastAsia"/>
                <w:color w:val="000000" w:themeColor="text1"/>
                <w:lang w:val="en-US"/>
              </w:rPr>
              <w:t>、煎包</w:t>
            </w:r>
            <w:r w:rsidR="002650AA">
              <w:rPr>
                <w:rFonts w:hint="eastAsia"/>
                <w:color w:val="000000" w:themeColor="text1"/>
                <w:lang w:val="en-US"/>
              </w:rPr>
              <w:t>馅</w:t>
            </w:r>
            <w:r>
              <w:rPr>
                <w:rFonts w:hint="eastAsia"/>
                <w:color w:val="000000" w:themeColor="text1"/>
                <w:lang w:val="en-US"/>
              </w:rPr>
              <w:t>等，使用场景主要为连锁餐饮门店或食堂。</w:t>
            </w:r>
          </w:p>
          <w:p w14:paraId="25271DE1" w14:textId="77777777" w:rsidR="003045C7" w:rsidRDefault="00000000" w:rsidP="00EE553B">
            <w:pPr>
              <w:ind w:firstLineChars="200" w:firstLine="440"/>
              <w:jc w:val="both"/>
              <w:rPr>
                <w:rFonts w:hint="eastAsia"/>
              </w:rPr>
            </w:pPr>
            <w:r>
              <w:rPr>
                <w:rFonts w:hint="eastAsia"/>
                <w:color w:val="000000" w:themeColor="text1"/>
                <w:lang w:val="en-US"/>
              </w:rPr>
              <w:t>从区域来看，外区团餐收入占比20%左右，但增速较高。从客户来看，新零售渠道收入占比约为华东团餐收入的20%，其余的为企事业单位、食材供应链、便利连锁和餐饮连锁等。</w:t>
            </w:r>
          </w:p>
          <w:p w14:paraId="68B20E83" w14:textId="77777777" w:rsidR="003045C7" w:rsidRDefault="003045C7" w:rsidP="00EE553B">
            <w:pPr>
              <w:jc w:val="both"/>
              <w:rPr>
                <w:rFonts w:hint="eastAsia"/>
              </w:rPr>
            </w:pPr>
          </w:p>
          <w:p w14:paraId="11E3A643" w14:textId="77777777" w:rsidR="003045C7" w:rsidRDefault="00000000" w:rsidP="00EE553B">
            <w:pPr>
              <w:pStyle w:val="TOC2"/>
              <w:ind w:leftChars="0" w:left="0"/>
              <w:jc w:val="both"/>
              <w:rPr>
                <w:rFonts w:hint="eastAsia"/>
                <w:b/>
                <w:bCs/>
                <w:color w:val="000000" w:themeColor="text1"/>
                <w:lang w:val="en-US"/>
              </w:rPr>
            </w:pPr>
            <w:r>
              <w:rPr>
                <w:rFonts w:hint="eastAsia"/>
                <w:b/>
                <w:bCs/>
                <w:color w:val="000000" w:themeColor="text1"/>
                <w:lang w:val="en-US"/>
              </w:rPr>
              <w:t>11</w:t>
            </w:r>
            <w:r>
              <w:rPr>
                <w:rFonts w:hint="eastAsia"/>
                <w:b/>
                <w:bCs/>
                <w:color w:val="000000" w:themeColor="text1"/>
              </w:rPr>
              <w:t>、</w:t>
            </w:r>
            <w:r>
              <w:rPr>
                <w:b/>
                <w:bCs/>
                <w:color w:val="000000" w:themeColor="text1"/>
              </w:rPr>
              <w:t>公司</w:t>
            </w:r>
            <w:r>
              <w:rPr>
                <w:rFonts w:hint="eastAsia"/>
                <w:b/>
                <w:bCs/>
                <w:color w:val="000000" w:themeColor="text1"/>
                <w:lang w:val="en-US"/>
              </w:rPr>
              <w:t>对于团餐业务的增长预期如何</w:t>
            </w:r>
            <w:r>
              <w:rPr>
                <w:rFonts w:hint="eastAsia"/>
                <w:b/>
                <w:bCs/>
                <w:color w:val="000000" w:themeColor="text1"/>
              </w:rPr>
              <w:t>？</w:t>
            </w:r>
          </w:p>
          <w:p w14:paraId="656E16AE" w14:textId="77777777" w:rsidR="003045C7" w:rsidRDefault="00000000" w:rsidP="00EE553B">
            <w:pPr>
              <w:pStyle w:val="TOC2"/>
              <w:ind w:leftChars="0" w:left="0"/>
              <w:jc w:val="both"/>
              <w:rPr>
                <w:rFonts w:hint="eastAsia"/>
                <w:color w:val="000000" w:themeColor="text1"/>
                <w:lang w:val="en-US"/>
              </w:rPr>
            </w:pPr>
            <w:r>
              <w:rPr>
                <w:rFonts w:hint="eastAsia"/>
                <w:b/>
                <w:bCs/>
                <w:color w:val="000000" w:themeColor="text1"/>
                <w:lang w:val="en-US"/>
              </w:rPr>
              <w:t>回复：</w:t>
            </w:r>
            <w:r>
              <w:rPr>
                <w:rFonts w:hint="eastAsia"/>
                <w:color w:val="000000" w:themeColor="text1"/>
                <w:lang w:val="en-US"/>
              </w:rPr>
              <w:t>2025年上半年，得益于对大客户业务划分直销团餐和经销团队，公司持续优化客户管理方式，产品开发和渠道运营。展望全年，公司仍将积极优化产品类型，提升客户定制服务能力，预计团餐收入有望保持双位数增长。</w:t>
            </w:r>
          </w:p>
          <w:p w14:paraId="4B68EFD8" w14:textId="77777777" w:rsidR="003045C7" w:rsidRDefault="003045C7" w:rsidP="00EE553B">
            <w:pPr>
              <w:jc w:val="both"/>
              <w:rPr>
                <w:rFonts w:hint="eastAsia"/>
                <w:color w:val="000000" w:themeColor="text1"/>
                <w:lang w:val="en-US"/>
              </w:rPr>
            </w:pPr>
          </w:p>
          <w:p w14:paraId="13C61B1F" w14:textId="77777777" w:rsidR="003045C7" w:rsidRDefault="00000000" w:rsidP="00EE553B">
            <w:pPr>
              <w:jc w:val="both"/>
              <w:rPr>
                <w:rFonts w:hint="eastAsia"/>
                <w:b/>
                <w:bCs/>
                <w:color w:val="000000" w:themeColor="text1"/>
                <w:lang w:val="en-US"/>
              </w:rPr>
            </w:pPr>
            <w:r>
              <w:rPr>
                <w:rFonts w:hint="eastAsia"/>
                <w:b/>
                <w:bCs/>
                <w:color w:val="000000" w:themeColor="text1"/>
                <w:lang w:val="en-US"/>
              </w:rPr>
              <w:lastRenderedPageBreak/>
              <w:t>12</w:t>
            </w:r>
            <w:r>
              <w:rPr>
                <w:rFonts w:hint="eastAsia"/>
                <w:b/>
                <w:bCs/>
                <w:color w:val="000000" w:themeColor="text1"/>
              </w:rPr>
              <w:t>、</w:t>
            </w:r>
            <w:r>
              <w:rPr>
                <w:rFonts w:hint="eastAsia"/>
                <w:b/>
                <w:bCs/>
                <w:color w:val="000000" w:themeColor="text1"/>
                <w:lang w:val="en-US"/>
              </w:rPr>
              <w:t>公司是否有尝试去零食量贩店合作？</w:t>
            </w:r>
          </w:p>
          <w:p w14:paraId="320B2C16" w14:textId="77777777" w:rsidR="003045C7" w:rsidRDefault="00000000" w:rsidP="00EE553B">
            <w:pPr>
              <w:jc w:val="both"/>
              <w:rPr>
                <w:rFonts w:hint="eastAsia"/>
                <w:color w:val="000000" w:themeColor="text1"/>
                <w:lang w:val="en-US"/>
              </w:rPr>
            </w:pPr>
            <w:r>
              <w:rPr>
                <w:rFonts w:hint="eastAsia"/>
                <w:b/>
                <w:bCs/>
                <w:color w:val="000000" w:themeColor="text1"/>
                <w:lang w:val="en-US"/>
              </w:rPr>
              <w:t>回复：</w:t>
            </w:r>
            <w:r>
              <w:rPr>
                <w:rFonts w:hint="eastAsia"/>
                <w:color w:val="000000" w:themeColor="text1"/>
                <w:lang w:val="en-US"/>
              </w:rPr>
              <w:t>公司密切关注下游客户动态，实时跟进客户需求。目前，已与盒马、美团、天猫、京东等优质渠道达成深度合作，并依据市场变化，积极拓展新客户，持续优化合作布局。</w:t>
            </w:r>
          </w:p>
          <w:p w14:paraId="71A707D4" w14:textId="77777777" w:rsidR="003045C7" w:rsidRDefault="003045C7" w:rsidP="00EE553B">
            <w:pPr>
              <w:pStyle w:val="TOC2"/>
              <w:ind w:leftChars="0" w:left="0"/>
              <w:jc w:val="both"/>
              <w:rPr>
                <w:rFonts w:hint="eastAsia"/>
                <w:color w:val="000000" w:themeColor="text1"/>
              </w:rPr>
            </w:pPr>
          </w:p>
          <w:p w14:paraId="2FE446EE" w14:textId="77777777" w:rsidR="003045C7" w:rsidRDefault="00000000" w:rsidP="00EE553B">
            <w:pPr>
              <w:pStyle w:val="TOC2"/>
              <w:ind w:leftChars="0" w:left="0"/>
              <w:jc w:val="both"/>
              <w:rPr>
                <w:rFonts w:hint="eastAsia"/>
                <w:b/>
                <w:bCs/>
                <w:color w:val="000000" w:themeColor="text1"/>
                <w:lang w:val="en-US"/>
              </w:rPr>
            </w:pPr>
            <w:r>
              <w:rPr>
                <w:rFonts w:hint="eastAsia"/>
                <w:b/>
                <w:bCs/>
                <w:color w:val="000000" w:themeColor="text1"/>
                <w:lang w:val="en-US"/>
              </w:rPr>
              <w:t>13</w:t>
            </w:r>
            <w:r>
              <w:rPr>
                <w:rFonts w:hint="eastAsia"/>
                <w:b/>
                <w:bCs/>
                <w:color w:val="000000" w:themeColor="text1"/>
              </w:rPr>
              <w:t>、</w:t>
            </w:r>
            <w:r>
              <w:rPr>
                <w:rFonts w:hint="eastAsia"/>
                <w:b/>
                <w:bCs/>
                <w:color w:val="000000" w:themeColor="text1"/>
                <w:lang w:val="en-US"/>
              </w:rPr>
              <w:t>外卖大战对公司门店业务的影响如何？外卖客单价和门店客单价的差异如何？</w:t>
            </w:r>
          </w:p>
          <w:p w14:paraId="6381D620" w14:textId="77777777" w:rsidR="003045C7" w:rsidRDefault="00000000" w:rsidP="00EE553B">
            <w:pPr>
              <w:pStyle w:val="TOC2"/>
              <w:ind w:leftChars="0" w:left="0"/>
              <w:jc w:val="both"/>
              <w:rPr>
                <w:rFonts w:hint="eastAsia"/>
                <w:color w:val="000000" w:themeColor="text1"/>
                <w:lang w:val="en-US"/>
              </w:rPr>
            </w:pPr>
            <w:r>
              <w:rPr>
                <w:rFonts w:hint="eastAsia"/>
                <w:b/>
                <w:bCs/>
                <w:color w:val="000000" w:themeColor="text1"/>
                <w:lang w:val="en-US"/>
              </w:rPr>
              <w:t>回复：</w:t>
            </w:r>
            <w:r>
              <w:rPr>
                <w:rFonts w:hint="eastAsia"/>
                <w:color w:val="000000" w:themeColor="text1"/>
                <w:lang w:val="en-US"/>
              </w:rPr>
              <w:t>4月份外卖大战以来，外卖对单店收入和加盟商到手收入的提升有一定的促进作用。截至6月份，从全国来看，外卖覆盖率约60%，华东略高于全国水平；外卖渗透率达23%，较年初的15%有明显提升。</w:t>
            </w:r>
          </w:p>
          <w:p w14:paraId="07007646" w14:textId="77777777" w:rsidR="003045C7" w:rsidRDefault="00000000" w:rsidP="00EE553B">
            <w:pPr>
              <w:ind w:firstLineChars="200" w:firstLine="440"/>
              <w:jc w:val="both"/>
              <w:rPr>
                <w:rFonts w:hint="eastAsia"/>
                <w:color w:val="000000" w:themeColor="text1"/>
                <w:lang w:val="en-US"/>
              </w:rPr>
            </w:pPr>
            <w:r>
              <w:rPr>
                <w:rFonts w:hint="eastAsia"/>
                <w:color w:val="000000" w:themeColor="text1"/>
                <w:lang w:val="en-US"/>
              </w:rPr>
              <w:t>从客单价来说，外卖客单价在10-15元，门店客单价约7.5元。</w:t>
            </w:r>
          </w:p>
          <w:p w14:paraId="37C61D71" w14:textId="77777777" w:rsidR="003045C7" w:rsidRDefault="003045C7" w:rsidP="00EE553B">
            <w:pPr>
              <w:pStyle w:val="TOC2"/>
              <w:ind w:left="440"/>
              <w:jc w:val="both"/>
              <w:rPr>
                <w:rFonts w:hint="eastAsia"/>
                <w:color w:val="000000" w:themeColor="text1"/>
                <w:lang w:val="en-US"/>
              </w:rPr>
            </w:pPr>
          </w:p>
          <w:p w14:paraId="466452DD" w14:textId="77777777" w:rsidR="003045C7" w:rsidRDefault="00000000" w:rsidP="00EE553B">
            <w:pPr>
              <w:jc w:val="both"/>
              <w:rPr>
                <w:rFonts w:hint="eastAsia"/>
                <w:b/>
                <w:bCs/>
                <w:color w:val="000000" w:themeColor="text1"/>
                <w:lang w:val="en-US"/>
              </w:rPr>
            </w:pPr>
            <w:r>
              <w:rPr>
                <w:rFonts w:hint="eastAsia"/>
                <w:b/>
                <w:bCs/>
                <w:color w:val="000000" w:themeColor="text1"/>
                <w:lang w:val="en-US"/>
              </w:rPr>
              <w:t>14</w:t>
            </w:r>
            <w:r>
              <w:rPr>
                <w:rFonts w:hint="eastAsia"/>
                <w:b/>
                <w:bCs/>
                <w:color w:val="000000" w:themeColor="text1"/>
              </w:rPr>
              <w:t>、</w:t>
            </w:r>
            <w:r>
              <w:rPr>
                <w:rFonts w:hint="eastAsia"/>
                <w:b/>
                <w:bCs/>
                <w:color w:val="000000" w:themeColor="text1"/>
                <w:lang w:val="en-US"/>
              </w:rPr>
              <w:t>目前公司的产能利用率如何？</w:t>
            </w:r>
          </w:p>
          <w:p w14:paraId="11CBC7D2" w14:textId="77777777" w:rsidR="003045C7" w:rsidRDefault="00000000" w:rsidP="00EE553B">
            <w:pPr>
              <w:jc w:val="both"/>
              <w:rPr>
                <w:rFonts w:hint="eastAsia"/>
                <w:lang w:val="en-US"/>
              </w:rPr>
            </w:pPr>
            <w:r>
              <w:rPr>
                <w:rFonts w:hint="eastAsia"/>
                <w:b/>
                <w:bCs/>
                <w:color w:val="000000" w:themeColor="text1"/>
                <w:lang w:val="en-US"/>
              </w:rPr>
              <w:t>回复：</w:t>
            </w:r>
            <w:r>
              <w:rPr>
                <w:rFonts w:hint="eastAsia"/>
                <w:color w:val="000000" w:themeColor="text1"/>
                <w:lang w:val="en-US"/>
              </w:rPr>
              <w:t>考虑到馒乡人供应链整合进展，上海中央厨房整体产能利用率约90%，南京中央厨房的产能利用率约30%-40%，华中整体产能利用率约10%。</w:t>
            </w:r>
          </w:p>
          <w:p w14:paraId="51BD8D78" w14:textId="77777777" w:rsidR="003045C7" w:rsidRDefault="003045C7" w:rsidP="00EE553B">
            <w:pPr>
              <w:pStyle w:val="TOC2"/>
              <w:ind w:leftChars="0" w:left="0"/>
              <w:jc w:val="both"/>
              <w:rPr>
                <w:rFonts w:hint="eastAsia"/>
                <w:color w:val="000000" w:themeColor="text1"/>
              </w:rPr>
            </w:pPr>
          </w:p>
          <w:p w14:paraId="6FE907B0" w14:textId="77777777" w:rsidR="003045C7" w:rsidRDefault="00000000" w:rsidP="00EE553B">
            <w:pPr>
              <w:pStyle w:val="TOC2"/>
              <w:ind w:leftChars="0" w:left="0"/>
              <w:jc w:val="both"/>
              <w:rPr>
                <w:rFonts w:hint="eastAsia"/>
                <w:b/>
                <w:bCs/>
                <w:color w:val="000000" w:themeColor="text1"/>
              </w:rPr>
            </w:pPr>
            <w:r>
              <w:rPr>
                <w:rFonts w:hint="eastAsia"/>
                <w:b/>
                <w:bCs/>
                <w:color w:val="000000" w:themeColor="text1"/>
                <w:lang w:val="en-US"/>
              </w:rPr>
              <w:t>15</w:t>
            </w:r>
            <w:r>
              <w:rPr>
                <w:rFonts w:hint="eastAsia"/>
                <w:b/>
                <w:bCs/>
                <w:color w:val="000000" w:themeColor="text1"/>
              </w:rPr>
              <w:t>、</w:t>
            </w:r>
            <w:r>
              <w:rPr>
                <w:rFonts w:hint="eastAsia"/>
                <w:b/>
                <w:bCs/>
                <w:color w:val="000000" w:themeColor="text1"/>
                <w:lang w:val="en-US"/>
              </w:rPr>
              <w:t>2025年半年度，公司毛利率提升的原因是什么</w:t>
            </w:r>
            <w:r>
              <w:rPr>
                <w:rFonts w:hint="eastAsia"/>
                <w:b/>
                <w:bCs/>
                <w:color w:val="000000" w:themeColor="text1"/>
              </w:rPr>
              <w:t>？</w:t>
            </w:r>
            <w:r>
              <w:rPr>
                <w:rFonts w:hint="eastAsia"/>
                <w:b/>
                <w:bCs/>
                <w:color w:val="000000" w:themeColor="text1"/>
                <w:lang w:val="en-US"/>
              </w:rPr>
              <w:t>后续对于毛利率和销售费用率的预期如何？</w:t>
            </w:r>
            <w:r>
              <w:rPr>
                <w:b/>
                <w:bCs/>
                <w:color w:val="000000" w:themeColor="text1"/>
              </w:rPr>
              <w:t xml:space="preserve"> </w:t>
            </w:r>
          </w:p>
          <w:p w14:paraId="59D8D5A2" w14:textId="77777777" w:rsidR="003045C7" w:rsidRDefault="00000000" w:rsidP="00EE553B">
            <w:pPr>
              <w:pStyle w:val="TOC2"/>
              <w:ind w:leftChars="0" w:left="0"/>
              <w:jc w:val="both"/>
              <w:rPr>
                <w:rFonts w:hint="eastAsia"/>
                <w:color w:val="000000" w:themeColor="text1"/>
                <w:lang w:val="en-US"/>
              </w:rPr>
            </w:pPr>
            <w:r>
              <w:rPr>
                <w:rFonts w:hint="eastAsia"/>
                <w:b/>
                <w:bCs/>
                <w:color w:val="000000" w:themeColor="text1"/>
                <w:lang w:val="en-US"/>
              </w:rPr>
              <w:t>回复：</w:t>
            </w:r>
            <w:r>
              <w:rPr>
                <w:rFonts w:hint="eastAsia"/>
                <w:color w:val="000000" w:themeColor="text1"/>
                <w:lang w:val="en-US"/>
              </w:rPr>
              <w:t>2025年二季度，公司毛利率持续改善，主要得益于原材料成本处于下行区间和公司持续推进降本增效举措。预计下半年，公司仍将得益于原材料成本和规模效应的发挥，毛利率有望持续稳中向好。长期来看，28%的毛利率是一个较为合理的中枢。</w:t>
            </w:r>
          </w:p>
          <w:p w14:paraId="6E889ADD" w14:textId="77777777" w:rsidR="003045C7" w:rsidRDefault="00000000" w:rsidP="00EE553B">
            <w:pPr>
              <w:ind w:firstLineChars="200" w:firstLine="440"/>
              <w:jc w:val="both"/>
              <w:rPr>
                <w:rFonts w:hint="eastAsia"/>
                <w:lang w:val="en-US"/>
              </w:rPr>
            </w:pPr>
            <w:r>
              <w:rPr>
                <w:rFonts w:hint="eastAsia"/>
                <w:color w:val="000000" w:themeColor="text1"/>
                <w:lang w:val="en-US"/>
              </w:rPr>
              <w:t>在销售费用率方面，公司会根据市场动态情况，实时调整开店补贴、营销宣传和人才引进的投入节奏，预计下半年销售费用率保持稳定。</w:t>
            </w:r>
          </w:p>
          <w:p w14:paraId="09AA0986" w14:textId="77777777" w:rsidR="003045C7" w:rsidRDefault="003045C7" w:rsidP="00EE553B">
            <w:pPr>
              <w:jc w:val="both"/>
              <w:rPr>
                <w:rFonts w:hint="eastAsia"/>
                <w:color w:val="000000" w:themeColor="text1"/>
              </w:rPr>
            </w:pPr>
          </w:p>
          <w:p w14:paraId="5B3C0942" w14:textId="77777777" w:rsidR="003045C7" w:rsidRDefault="00000000" w:rsidP="00EE553B">
            <w:pPr>
              <w:pStyle w:val="TOC2"/>
              <w:ind w:leftChars="0" w:left="0"/>
              <w:jc w:val="both"/>
              <w:rPr>
                <w:rFonts w:hint="eastAsia"/>
                <w:b/>
                <w:bCs/>
                <w:color w:val="000000" w:themeColor="text1"/>
              </w:rPr>
            </w:pPr>
            <w:r>
              <w:rPr>
                <w:rFonts w:hint="eastAsia"/>
                <w:b/>
                <w:bCs/>
                <w:color w:val="000000" w:themeColor="text1"/>
                <w:lang w:val="en-US"/>
              </w:rPr>
              <w:t>16</w:t>
            </w:r>
            <w:r>
              <w:rPr>
                <w:rFonts w:hint="eastAsia"/>
                <w:b/>
                <w:bCs/>
                <w:color w:val="000000" w:themeColor="text1"/>
              </w:rPr>
              <w:t>、</w:t>
            </w:r>
            <w:r>
              <w:rPr>
                <w:rFonts w:hint="eastAsia"/>
                <w:b/>
                <w:bCs/>
                <w:color w:val="000000" w:themeColor="text1"/>
                <w:lang w:val="en-US"/>
              </w:rPr>
              <w:t>公司后续分红的比例如何预期？是否考虑半年度分红？</w:t>
            </w:r>
            <w:r>
              <w:rPr>
                <w:b/>
                <w:bCs/>
                <w:color w:val="000000" w:themeColor="text1"/>
              </w:rPr>
              <w:t xml:space="preserve"> </w:t>
            </w:r>
          </w:p>
          <w:p w14:paraId="293C0FEE" w14:textId="347DFD2B" w:rsidR="003045C7" w:rsidRDefault="00000000" w:rsidP="00EE553B">
            <w:pPr>
              <w:jc w:val="both"/>
              <w:rPr>
                <w:rFonts w:hint="eastAsia"/>
                <w:lang w:val="en-US"/>
              </w:rPr>
            </w:pPr>
            <w:r>
              <w:rPr>
                <w:rFonts w:hint="eastAsia"/>
                <w:b/>
                <w:bCs/>
                <w:color w:val="000000" w:themeColor="text1"/>
                <w:lang w:val="en-US"/>
              </w:rPr>
              <w:t>回复：</w:t>
            </w:r>
            <w:r>
              <w:rPr>
                <w:rFonts w:hint="eastAsia"/>
                <w:color w:val="000000" w:themeColor="text1"/>
                <w:lang w:val="en-US"/>
              </w:rPr>
              <w:t>展望未来，公司将结合经营实际情况，继续保持稳定且积极的分红政策。</w:t>
            </w:r>
          </w:p>
          <w:p w14:paraId="003BE6F8" w14:textId="77777777" w:rsidR="003045C7" w:rsidRDefault="003045C7" w:rsidP="00EE553B">
            <w:pPr>
              <w:pStyle w:val="TOC2"/>
              <w:ind w:left="440"/>
              <w:jc w:val="both"/>
              <w:rPr>
                <w:rFonts w:hint="eastAsia"/>
              </w:rPr>
            </w:pPr>
          </w:p>
          <w:p w14:paraId="151872D7" w14:textId="77777777" w:rsidR="003045C7" w:rsidRDefault="003045C7" w:rsidP="00EE553B">
            <w:pPr>
              <w:jc w:val="both"/>
              <w:rPr>
                <w:rFonts w:hint="eastAsia"/>
                <w:sz w:val="21"/>
                <w:szCs w:val="21"/>
              </w:rPr>
            </w:pPr>
          </w:p>
        </w:tc>
      </w:tr>
    </w:tbl>
    <w:p w14:paraId="5207FA45" w14:textId="77777777" w:rsidR="003045C7" w:rsidRDefault="003045C7">
      <w:pPr>
        <w:rPr>
          <w:rFonts w:hint="eastAsia"/>
        </w:rPr>
      </w:pPr>
    </w:p>
    <w:p w14:paraId="1718F858" w14:textId="77777777" w:rsidR="003045C7" w:rsidRDefault="003045C7">
      <w:pPr>
        <w:pStyle w:val="TOC2"/>
        <w:ind w:left="440"/>
        <w:rPr>
          <w:rFonts w:hint="eastAsia"/>
        </w:rPr>
      </w:pPr>
    </w:p>
    <w:p w14:paraId="33FC0230" w14:textId="77777777" w:rsidR="003045C7" w:rsidRDefault="003045C7">
      <w:pPr>
        <w:rPr>
          <w:rFonts w:hint="eastAsia"/>
        </w:rPr>
      </w:pPr>
    </w:p>
    <w:p w14:paraId="65ECCA72" w14:textId="77777777" w:rsidR="003045C7" w:rsidRDefault="003045C7">
      <w:pPr>
        <w:pStyle w:val="TOC2"/>
        <w:ind w:left="440"/>
        <w:rPr>
          <w:rFonts w:hint="eastAsia"/>
        </w:rPr>
      </w:pPr>
    </w:p>
    <w:p w14:paraId="481F5D8B" w14:textId="77777777" w:rsidR="003045C7" w:rsidRDefault="003045C7">
      <w:pPr>
        <w:rPr>
          <w:rFonts w:hint="eastAsia"/>
        </w:rPr>
      </w:pPr>
    </w:p>
    <w:sectPr w:rsidR="003045C7">
      <w:headerReference w:type="default" r:id="rId8"/>
      <w:pgSz w:w="11910" w:h="16840"/>
      <w:pgMar w:top="1440" w:right="1800" w:bottom="1440" w:left="1800" w:header="8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E8922" w14:textId="77777777" w:rsidR="001B42D0" w:rsidRDefault="001B42D0">
      <w:pPr>
        <w:rPr>
          <w:rFonts w:hint="eastAsia"/>
        </w:rPr>
      </w:pPr>
      <w:r>
        <w:separator/>
      </w:r>
    </w:p>
  </w:endnote>
  <w:endnote w:type="continuationSeparator" w:id="0">
    <w:p w14:paraId="5C64FEA7" w14:textId="77777777" w:rsidR="001B42D0" w:rsidRDefault="001B42D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3CBB7" w14:textId="77777777" w:rsidR="001B42D0" w:rsidRDefault="001B42D0">
      <w:pPr>
        <w:rPr>
          <w:rFonts w:hint="eastAsia"/>
        </w:rPr>
      </w:pPr>
      <w:r>
        <w:separator/>
      </w:r>
    </w:p>
  </w:footnote>
  <w:footnote w:type="continuationSeparator" w:id="0">
    <w:p w14:paraId="2F3F9791" w14:textId="77777777" w:rsidR="001B42D0" w:rsidRDefault="001B42D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036D" w14:textId="77777777" w:rsidR="003045C7" w:rsidRDefault="00000000">
    <w:pPr>
      <w:pStyle w:val="a5"/>
      <w:spacing w:before="0" w:line="14" w:lineRule="auto"/>
      <w:rPr>
        <w:rFonts w:hint="eastAsia"/>
        <w:b w:val="0"/>
        <w:sz w:val="20"/>
      </w:rPr>
    </w:pPr>
    <w:r>
      <w:rPr>
        <w:noProof/>
        <w:lang w:val="en-US" w:bidi="ar-SA"/>
      </w:rPr>
      <mc:AlternateContent>
        <mc:Choice Requires="wps">
          <w:drawing>
            <wp:anchor distT="0" distB="0" distL="114300" distR="114300" simplePos="0" relativeHeight="251659264" behindDoc="1" locked="0" layoutInCell="1" allowOverlap="1" wp14:anchorId="7A088D18" wp14:editId="3519DCA3">
              <wp:simplePos x="0" y="0"/>
              <wp:positionH relativeFrom="page">
                <wp:posOffset>1124585</wp:posOffset>
              </wp:positionH>
              <wp:positionV relativeFrom="page">
                <wp:posOffset>705485</wp:posOffset>
              </wp:positionV>
              <wp:extent cx="5311775" cy="0"/>
              <wp:effectExtent l="0" t="0" r="0" b="0"/>
              <wp:wrapNone/>
              <wp:docPr id="1" name="直线 1"/>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 o:spid="_x0000_s1026" o:spt="20" style="position:absolute;left:0pt;margin-left:88.55pt;margin-top:55.55pt;height:0pt;width:418.25pt;mso-position-horizontal-relative:page;mso-position-vertical-relative:page;z-index:-251657216;mso-width-relative:page;mso-height-relative:page;" filled="f" stroked="t" coordsize="21600,21600" o:gfxdata="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9DvW1QAAAAwBAAAPAAAA&#10;AAAAAAEAIAAAACIAAABkcnMvZG93bnJldi54bWxQSwECFAAUAAAACACHTuJA8k42VN8BAADPAwAA&#10;DgAAAAAAAAABACAAAAAkAQAAZHJzL2Uyb0RvYy54bWxQSwUGAAAAAAYABgBZAQAAdQUAA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3C322A10" wp14:editId="6B848146">
              <wp:simplePos x="0" y="0"/>
              <wp:positionH relativeFrom="page">
                <wp:posOffset>1130300</wp:posOffset>
              </wp:positionH>
              <wp:positionV relativeFrom="page">
                <wp:posOffset>544195</wp:posOffset>
              </wp:positionV>
              <wp:extent cx="94488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4880" cy="152400"/>
                      </a:xfrm>
                      <a:prstGeom prst="rect">
                        <a:avLst/>
                      </a:prstGeom>
                      <a:noFill/>
                      <a:ln>
                        <a:noFill/>
                      </a:ln>
                    </wps:spPr>
                    <wps:txbx>
                      <w:txbxContent>
                        <w:p w14:paraId="15388AB9" w14:textId="77777777" w:rsidR="003045C7" w:rsidRDefault="00000000">
                          <w:pPr>
                            <w:spacing w:line="225" w:lineRule="exact"/>
                            <w:ind w:left="20"/>
                            <w:rPr>
                              <w:rFonts w:ascii="Calibri" w:hint="eastAsia"/>
                              <w:sz w:val="18"/>
                              <w:lang w:val="en-US"/>
                            </w:rPr>
                          </w:pPr>
                          <w:r>
                            <w:rPr>
                              <w:sz w:val="18"/>
                            </w:rPr>
                            <w:t>证券代码：</w:t>
                          </w:r>
                          <w:r>
                            <w:rPr>
                              <w:rFonts w:hint="eastAsia"/>
                              <w:sz w:val="18"/>
                              <w:lang w:val="en-US"/>
                            </w:rPr>
                            <w:t>605338</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89pt;margin-top:42.85pt;height:12pt;width:74.4pt;mso-position-horizontal-relative:page;mso-position-vertical-relative:page;z-index:-251656192;mso-width-relative:page;mso-height-relative:page;" filled="f" stroked="f" coordsize="21600,21600" o:gfxdata="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yhczYAAAACgEAAA8AAAAAAAAAAQAgAAAAIgAAAGRycy9kb3ducmV2&#10;LnhtbFBLAQIUABQAAAAIAIdO4kA3XHzvwwEAAH8DAAAOAAAAAAAAAAEAIAAAACcBAABkcnMvZTJv&#10;RG9jLnhtbFBLBQYAAAAABgAGAFkBAABcBQAAAAA=&#10;">
              <v:fill on="f" focussize="0,0"/>
              <v:stroke on="f"/>
              <v:imagedata o:title=""/>
              <o:lock v:ext="edit" aspectratio="f"/>
              <v:textbox inset="0mm,0mm,0mm,0mm">
                <w:txbxContent>
                  <w:p w14:paraId="215B08B9">
                    <w:pPr>
                      <w:spacing w:line="225" w:lineRule="exact"/>
                      <w:ind w:left="20"/>
                      <w:rPr>
                        <w:rFonts w:hint="eastAsia" w:ascii="Calibri"/>
                        <w:sz w:val="18"/>
                        <w:lang w:val="en-US"/>
                      </w:rPr>
                    </w:pPr>
                    <w:r>
                      <w:rPr>
                        <w:sz w:val="18"/>
                      </w:rPr>
                      <w:t>证券代码：</w:t>
                    </w:r>
                    <w:r>
                      <w:rPr>
                        <w:rFonts w:hint="eastAsia"/>
                        <w:sz w:val="18"/>
                        <w:lang w:val="en-US"/>
                      </w:rPr>
                      <w:t>605338</w:t>
                    </w:r>
                  </w:p>
                </w:txbxContent>
              </v:textbox>
            </v:shape>
          </w:pict>
        </mc:Fallback>
      </mc:AlternateContent>
    </w:r>
    <w:r>
      <w:rPr>
        <w:noProof/>
        <w:lang w:val="en-US" w:bidi="ar-SA"/>
      </w:rPr>
      <mc:AlternateContent>
        <mc:Choice Requires="wps">
          <w:drawing>
            <wp:anchor distT="0" distB="0" distL="114300" distR="114300" simplePos="0" relativeHeight="251661312" behindDoc="1" locked="0" layoutInCell="1" allowOverlap="1" wp14:anchorId="556055FC" wp14:editId="6BCF929D">
              <wp:simplePos x="0" y="0"/>
              <wp:positionH relativeFrom="page">
                <wp:posOffset>5367655</wp:posOffset>
              </wp:positionH>
              <wp:positionV relativeFrom="page">
                <wp:posOffset>544195</wp:posOffset>
              </wp:positionV>
              <wp:extent cx="105410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4100" cy="139700"/>
                      </a:xfrm>
                      <a:prstGeom prst="rect">
                        <a:avLst/>
                      </a:prstGeom>
                      <a:noFill/>
                      <a:ln>
                        <a:noFill/>
                      </a:ln>
                    </wps:spPr>
                    <wps:txbx>
                      <w:txbxContent>
                        <w:p w14:paraId="560DA248" w14:textId="77777777" w:rsidR="003045C7" w:rsidRDefault="00000000">
                          <w:pPr>
                            <w:spacing w:line="220" w:lineRule="exact"/>
                            <w:ind w:left="20"/>
                            <w:rPr>
                              <w:rFonts w:hint="eastAsia"/>
                              <w:sz w:val="18"/>
                              <w:lang w:val="en-US"/>
                            </w:rPr>
                          </w:pPr>
                          <w:r>
                            <w:rPr>
                              <w:sz w:val="18"/>
                            </w:rPr>
                            <w:t>证券简称：</w:t>
                          </w:r>
                          <w:r>
                            <w:rPr>
                              <w:rFonts w:hint="eastAsia"/>
                              <w:sz w:val="18"/>
                              <w:lang w:val="en-US"/>
                            </w:rPr>
                            <w:t>巴比食品</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422.65pt;margin-top:42.85pt;height:11pt;width:83pt;mso-position-horizontal-relative:page;mso-position-vertical-relative:page;z-index:-251655168;mso-width-relative:page;mso-height-relative:page;" filled="f" stroked="f" coordsize="21600,21600" o:gfxdata="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jLybYAAAACwEAAA8AAAAAAAAAAQAgAAAAIgAAAGRycy9kb3ducmV2&#10;LnhtbFBLAQIUABQAAAAIAIdO4kDo6BIWwwEAAIADAAAOAAAAAAAAAAEAIAAAACcBAABkcnMvZTJv&#10;RG9jLnhtbFBLBQYAAAAABgAGAFkBAABcBQAAAAA=&#10;">
              <v:fill on="f" focussize="0,0"/>
              <v:stroke on="f"/>
              <v:imagedata o:title=""/>
              <o:lock v:ext="edit" aspectratio="f"/>
              <v:textbox inset="0mm,0mm,0mm,0mm">
                <w:txbxContent>
                  <w:p w14:paraId="56A70A97">
                    <w:pPr>
                      <w:spacing w:line="220" w:lineRule="exact"/>
                      <w:ind w:left="20"/>
                      <w:rPr>
                        <w:rFonts w:hint="eastAsia"/>
                        <w:sz w:val="18"/>
                        <w:lang w:val="en-US"/>
                      </w:rPr>
                    </w:pPr>
                    <w:r>
                      <w:rPr>
                        <w:sz w:val="18"/>
                      </w:rPr>
                      <w:t>证券简称：</w:t>
                    </w:r>
                    <w:r>
                      <w:rPr>
                        <w:rFonts w:hint="eastAsia"/>
                        <w:sz w:val="18"/>
                        <w:lang w:val="en-US"/>
                      </w:rPr>
                      <w:t>巴比食品</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30C64"/>
    <w:multiLevelType w:val="multilevel"/>
    <w:tmpl w:val="79730C64"/>
    <w:lvl w:ilvl="0">
      <w:start w:val="1"/>
      <w:numFmt w:val="japaneseCounting"/>
      <w:lvlText w:val="%1、"/>
      <w:lvlJc w:val="left"/>
      <w:pPr>
        <w:ind w:left="460" w:hanging="4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4125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RhZTEyYzhjYWM5YTdlMTNmOWQwNGQxMzM4ODdkOTkifQ=="/>
  </w:docVars>
  <w:rsids>
    <w:rsidRoot w:val="00ED1AD7"/>
    <w:rsid w:val="00000701"/>
    <w:rsid w:val="00003632"/>
    <w:rsid w:val="0000365E"/>
    <w:rsid w:val="00005D06"/>
    <w:rsid w:val="00010C50"/>
    <w:rsid w:val="00013735"/>
    <w:rsid w:val="0001433E"/>
    <w:rsid w:val="00014F4C"/>
    <w:rsid w:val="0002323F"/>
    <w:rsid w:val="000237CE"/>
    <w:rsid w:val="000259BB"/>
    <w:rsid w:val="00026104"/>
    <w:rsid w:val="0002692C"/>
    <w:rsid w:val="00027C6F"/>
    <w:rsid w:val="00030E6A"/>
    <w:rsid w:val="000319B9"/>
    <w:rsid w:val="000356DC"/>
    <w:rsid w:val="00043F8D"/>
    <w:rsid w:val="000443CB"/>
    <w:rsid w:val="00044630"/>
    <w:rsid w:val="00044B8F"/>
    <w:rsid w:val="000455ED"/>
    <w:rsid w:val="00047C8F"/>
    <w:rsid w:val="00053A46"/>
    <w:rsid w:val="00053B5E"/>
    <w:rsid w:val="0006285C"/>
    <w:rsid w:val="000629D4"/>
    <w:rsid w:val="00063BC8"/>
    <w:rsid w:val="000648B5"/>
    <w:rsid w:val="0006739F"/>
    <w:rsid w:val="0007061A"/>
    <w:rsid w:val="000714B8"/>
    <w:rsid w:val="00072762"/>
    <w:rsid w:val="000729E6"/>
    <w:rsid w:val="00075587"/>
    <w:rsid w:val="000769C2"/>
    <w:rsid w:val="00083625"/>
    <w:rsid w:val="00083E86"/>
    <w:rsid w:val="00085E0A"/>
    <w:rsid w:val="00086283"/>
    <w:rsid w:val="00092617"/>
    <w:rsid w:val="00097CBF"/>
    <w:rsid w:val="000A10F7"/>
    <w:rsid w:val="000A179C"/>
    <w:rsid w:val="000A1B77"/>
    <w:rsid w:val="000A31DA"/>
    <w:rsid w:val="000A5F3D"/>
    <w:rsid w:val="000A62BD"/>
    <w:rsid w:val="000B109B"/>
    <w:rsid w:val="000B1BA0"/>
    <w:rsid w:val="000B57E6"/>
    <w:rsid w:val="000B7C12"/>
    <w:rsid w:val="000C35B3"/>
    <w:rsid w:val="000C47A5"/>
    <w:rsid w:val="000C5A02"/>
    <w:rsid w:val="000C7156"/>
    <w:rsid w:val="000D0839"/>
    <w:rsid w:val="000D371A"/>
    <w:rsid w:val="000D478A"/>
    <w:rsid w:val="000D6C40"/>
    <w:rsid w:val="000E231A"/>
    <w:rsid w:val="000E2667"/>
    <w:rsid w:val="000E5940"/>
    <w:rsid w:val="000E60C9"/>
    <w:rsid w:val="000F3486"/>
    <w:rsid w:val="000F7017"/>
    <w:rsid w:val="000F768C"/>
    <w:rsid w:val="00103FCC"/>
    <w:rsid w:val="001100FD"/>
    <w:rsid w:val="00112ED3"/>
    <w:rsid w:val="00113A98"/>
    <w:rsid w:val="00114282"/>
    <w:rsid w:val="001157EF"/>
    <w:rsid w:val="0011639D"/>
    <w:rsid w:val="00116D72"/>
    <w:rsid w:val="001248F5"/>
    <w:rsid w:val="001317B8"/>
    <w:rsid w:val="00133936"/>
    <w:rsid w:val="001377D4"/>
    <w:rsid w:val="00142635"/>
    <w:rsid w:val="001426DF"/>
    <w:rsid w:val="0014514F"/>
    <w:rsid w:val="00145C8C"/>
    <w:rsid w:val="00145FA6"/>
    <w:rsid w:val="0014707A"/>
    <w:rsid w:val="0015213C"/>
    <w:rsid w:val="00153BAF"/>
    <w:rsid w:val="00155250"/>
    <w:rsid w:val="00160660"/>
    <w:rsid w:val="00166FA4"/>
    <w:rsid w:val="00167EE7"/>
    <w:rsid w:val="001735F0"/>
    <w:rsid w:val="00177B1B"/>
    <w:rsid w:val="001819B7"/>
    <w:rsid w:val="001824D1"/>
    <w:rsid w:val="00185FAF"/>
    <w:rsid w:val="00186B93"/>
    <w:rsid w:val="00192794"/>
    <w:rsid w:val="001947E6"/>
    <w:rsid w:val="001949BC"/>
    <w:rsid w:val="001A098E"/>
    <w:rsid w:val="001A30D6"/>
    <w:rsid w:val="001A3626"/>
    <w:rsid w:val="001A64F2"/>
    <w:rsid w:val="001B2854"/>
    <w:rsid w:val="001B42D0"/>
    <w:rsid w:val="001C02E5"/>
    <w:rsid w:val="001C532E"/>
    <w:rsid w:val="001C57D8"/>
    <w:rsid w:val="001C688D"/>
    <w:rsid w:val="001C6E2B"/>
    <w:rsid w:val="001D0A4F"/>
    <w:rsid w:val="001D324C"/>
    <w:rsid w:val="001D79BA"/>
    <w:rsid w:val="001E3009"/>
    <w:rsid w:val="001E53B6"/>
    <w:rsid w:val="001F0D82"/>
    <w:rsid w:val="001F18FB"/>
    <w:rsid w:val="001F1EAF"/>
    <w:rsid w:val="001F2B51"/>
    <w:rsid w:val="001F496C"/>
    <w:rsid w:val="001F656B"/>
    <w:rsid w:val="002029D2"/>
    <w:rsid w:val="00202BB6"/>
    <w:rsid w:val="00206354"/>
    <w:rsid w:val="00210CDC"/>
    <w:rsid w:val="00212838"/>
    <w:rsid w:val="00220241"/>
    <w:rsid w:val="00220263"/>
    <w:rsid w:val="00220DC8"/>
    <w:rsid w:val="00220F3F"/>
    <w:rsid w:val="00221813"/>
    <w:rsid w:val="00221E45"/>
    <w:rsid w:val="00232DD7"/>
    <w:rsid w:val="0023384B"/>
    <w:rsid w:val="00233D73"/>
    <w:rsid w:val="00235190"/>
    <w:rsid w:val="00236C1C"/>
    <w:rsid w:val="00240BEE"/>
    <w:rsid w:val="00241EAD"/>
    <w:rsid w:val="002428EA"/>
    <w:rsid w:val="0024291E"/>
    <w:rsid w:val="00244483"/>
    <w:rsid w:val="00250A85"/>
    <w:rsid w:val="002521EF"/>
    <w:rsid w:val="002650AA"/>
    <w:rsid w:val="00265C4A"/>
    <w:rsid w:val="002664C3"/>
    <w:rsid w:val="00271C02"/>
    <w:rsid w:val="00275DC0"/>
    <w:rsid w:val="00277C5D"/>
    <w:rsid w:val="0028033D"/>
    <w:rsid w:val="002825E7"/>
    <w:rsid w:val="00282643"/>
    <w:rsid w:val="002901E5"/>
    <w:rsid w:val="002903D6"/>
    <w:rsid w:val="002924E0"/>
    <w:rsid w:val="00292CBE"/>
    <w:rsid w:val="0029458C"/>
    <w:rsid w:val="00296600"/>
    <w:rsid w:val="00296C87"/>
    <w:rsid w:val="002A0479"/>
    <w:rsid w:val="002A1C6C"/>
    <w:rsid w:val="002B0412"/>
    <w:rsid w:val="002B0D24"/>
    <w:rsid w:val="002B1723"/>
    <w:rsid w:val="002C0C89"/>
    <w:rsid w:val="002C6B10"/>
    <w:rsid w:val="002D2872"/>
    <w:rsid w:val="002D4737"/>
    <w:rsid w:val="002D4FEB"/>
    <w:rsid w:val="002D5640"/>
    <w:rsid w:val="002D56B5"/>
    <w:rsid w:val="002D6F84"/>
    <w:rsid w:val="002E2875"/>
    <w:rsid w:val="002E4372"/>
    <w:rsid w:val="002E5F15"/>
    <w:rsid w:val="002E68AF"/>
    <w:rsid w:val="002F05BA"/>
    <w:rsid w:val="002F5C08"/>
    <w:rsid w:val="003031E1"/>
    <w:rsid w:val="003045C7"/>
    <w:rsid w:val="003071B0"/>
    <w:rsid w:val="00307D86"/>
    <w:rsid w:val="00312AF9"/>
    <w:rsid w:val="00312E64"/>
    <w:rsid w:val="0031339D"/>
    <w:rsid w:val="00317DA9"/>
    <w:rsid w:val="003216E3"/>
    <w:rsid w:val="0032173C"/>
    <w:rsid w:val="00324FCC"/>
    <w:rsid w:val="00330F2A"/>
    <w:rsid w:val="003360CA"/>
    <w:rsid w:val="0034179B"/>
    <w:rsid w:val="00341B2D"/>
    <w:rsid w:val="00343104"/>
    <w:rsid w:val="00344B49"/>
    <w:rsid w:val="00352714"/>
    <w:rsid w:val="00354E01"/>
    <w:rsid w:val="00356DF9"/>
    <w:rsid w:val="00357136"/>
    <w:rsid w:val="00357228"/>
    <w:rsid w:val="00360218"/>
    <w:rsid w:val="003671FB"/>
    <w:rsid w:val="003676FA"/>
    <w:rsid w:val="00367895"/>
    <w:rsid w:val="00370678"/>
    <w:rsid w:val="00372A9B"/>
    <w:rsid w:val="00373706"/>
    <w:rsid w:val="00374157"/>
    <w:rsid w:val="003768A9"/>
    <w:rsid w:val="00381B4F"/>
    <w:rsid w:val="003858B5"/>
    <w:rsid w:val="0039211A"/>
    <w:rsid w:val="00393B91"/>
    <w:rsid w:val="00394297"/>
    <w:rsid w:val="0039714C"/>
    <w:rsid w:val="003A2390"/>
    <w:rsid w:val="003A3130"/>
    <w:rsid w:val="003A328E"/>
    <w:rsid w:val="003A3D65"/>
    <w:rsid w:val="003A5458"/>
    <w:rsid w:val="003A7565"/>
    <w:rsid w:val="003A784A"/>
    <w:rsid w:val="003B177A"/>
    <w:rsid w:val="003B4C24"/>
    <w:rsid w:val="003C64CD"/>
    <w:rsid w:val="003C6B33"/>
    <w:rsid w:val="003D299A"/>
    <w:rsid w:val="003D2BD1"/>
    <w:rsid w:val="003E3814"/>
    <w:rsid w:val="003E39C9"/>
    <w:rsid w:val="003E49A0"/>
    <w:rsid w:val="003E5866"/>
    <w:rsid w:val="003F1151"/>
    <w:rsid w:val="003F72C2"/>
    <w:rsid w:val="003F7E25"/>
    <w:rsid w:val="004013FE"/>
    <w:rsid w:val="00401A5D"/>
    <w:rsid w:val="00401B88"/>
    <w:rsid w:val="0040652F"/>
    <w:rsid w:val="00406C9F"/>
    <w:rsid w:val="00407B75"/>
    <w:rsid w:val="004118C7"/>
    <w:rsid w:val="00411DAF"/>
    <w:rsid w:val="00416528"/>
    <w:rsid w:val="004165AD"/>
    <w:rsid w:val="00417E1F"/>
    <w:rsid w:val="0042286D"/>
    <w:rsid w:val="00424081"/>
    <w:rsid w:val="004242A7"/>
    <w:rsid w:val="004262A4"/>
    <w:rsid w:val="004326C4"/>
    <w:rsid w:val="00433E95"/>
    <w:rsid w:val="00433ED1"/>
    <w:rsid w:val="004351BA"/>
    <w:rsid w:val="00441CA7"/>
    <w:rsid w:val="00443560"/>
    <w:rsid w:val="00444AFC"/>
    <w:rsid w:val="00445B79"/>
    <w:rsid w:val="004466AB"/>
    <w:rsid w:val="00446FD6"/>
    <w:rsid w:val="0045072A"/>
    <w:rsid w:val="00454A0F"/>
    <w:rsid w:val="00460FF3"/>
    <w:rsid w:val="00461118"/>
    <w:rsid w:val="00464DAC"/>
    <w:rsid w:val="00465E7F"/>
    <w:rsid w:val="00470C00"/>
    <w:rsid w:val="004776E9"/>
    <w:rsid w:val="0047795D"/>
    <w:rsid w:val="00480EF7"/>
    <w:rsid w:val="00483405"/>
    <w:rsid w:val="00490F49"/>
    <w:rsid w:val="0049301A"/>
    <w:rsid w:val="00496640"/>
    <w:rsid w:val="004A26D8"/>
    <w:rsid w:val="004A32E7"/>
    <w:rsid w:val="004A3F4D"/>
    <w:rsid w:val="004A7825"/>
    <w:rsid w:val="004B0442"/>
    <w:rsid w:val="004B18F3"/>
    <w:rsid w:val="004B205C"/>
    <w:rsid w:val="004C0CDE"/>
    <w:rsid w:val="004C3990"/>
    <w:rsid w:val="004C5EE7"/>
    <w:rsid w:val="004C67DE"/>
    <w:rsid w:val="004D240F"/>
    <w:rsid w:val="004D2803"/>
    <w:rsid w:val="004D29CC"/>
    <w:rsid w:val="004D622C"/>
    <w:rsid w:val="004D6F9B"/>
    <w:rsid w:val="004D73AA"/>
    <w:rsid w:val="004D74AC"/>
    <w:rsid w:val="004D7786"/>
    <w:rsid w:val="004E0C13"/>
    <w:rsid w:val="004E2861"/>
    <w:rsid w:val="004E295F"/>
    <w:rsid w:val="004E52D7"/>
    <w:rsid w:val="004E6159"/>
    <w:rsid w:val="004F065E"/>
    <w:rsid w:val="004F0D3D"/>
    <w:rsid w:val="004F21EA"/>
    <w:rsid w:val="004F22E8"/>
    <w:rsid w:val="004F5734"/>
    <w:rsid w:val="00500AED"/>
    <w:rsid w:val="00502351"/>
    <w:rsid w:val="00503CEE"/>
    <w:rsid w:val="0050761A"/>
    <w:rsid w:val="005077B7"/>
    <w:rsid w:val="00507C00"/>
    <w:rsid w:val="00510FA4"/>
    <w:rsid w:val="0051152A"/>
    <w:rsid w:val="00512DD7"/>
    <w:rsid w:val="00514905"/>
    <w:rsid w:val="005160AB"/>
    <w:rsid w:val="005172BD"/>
    <w:rsid w:val="00522A3F"/>
    <w:rsid w:val="00522EA5"/>
    <w:rsid w:val="00524FE8"/>
    <w:rsid w:val="005253BD"/>
    <w:rsid w:val="005256DE"/>
    <w:rsid w:val="00526DBB"/>
    <w:rsid w:val="00530E83"/>
    <w:rsid w:val="00532161"/>
    <w:rsid w:val="00534248"/>
    <w:rsid w:val="00536237"/>
    <w:rsid w:val="0053692E"/>
    <w:rsid w:val="00537D1A"/>
    <w:rsid w:val="00537EB4"/>
    <w:rsid w:val="00540B9E"/>
    <w:rsid w:val="00542140"/>
    <w:rsid w:val="00542CA0"/>
    <w:rsid w:val="0054583D"/>
    <w:rsid w:val="0054660F"/>
    <w:rsid w:val="00547AB0"/>
    <w:rsid w:val="005545BE"/>
    <w:rsid w:val="00557909"/>
    <w:rsid w:val="00557D3C"/>
    <w:rsid w:val="00560309"/>
    <w:rsid w:val="00564041"/>
    <w:rsid w:val="00564281"/>
    <w:rsid w:val="00564E0A"/>
    <w:rsid w:val="00565A34"/>
    <w:rsid w:val="00567FC9"/>
    <w:rsid w:val="00570CA7"/>
    <w:rsid w:val="00571174"/>
    <w:rsid w:val="00572AC1"/>
    <w:rsid w:val="005748CB"/>
    <w:rsid w:val="0057550F"/>
    <w:rsid w:val="005757F1"/>
    <w:rsid w:val="005758C8"/>
    <w:rsid w:val="005760CB"/>
    <w:rsid w:val="00577CF3"/>
    <w:rsid w:val="005817F7"/>
    <w:rsid w:val="005852D0"/>
    <w:rsid w:val="005900B8"/>
    <w:rsid w:val="00590D2B"/>
    <w:rsid w:val="00595A80"/>
    <w:rsid w:val="00595B52"/>
    <w:rsid w:val="00597B1D"/>
    <w:rsid w:val="005A1445"/>
    <w:rsid w:val="005A2CA4"/>
    <w:rsid w:val="005A3D38"/>
    <w:rsid w:val="005A49FF"/>
    <w:rsid w:val="005A5968"/>
    <w:rsid w:val="005A5BB0"/>
    <w:rsid w:val="005A5DA5"/>
    <w:rsid w:val="005B0079"/>
    <w:rsid w:val="005B01C0"/>
    <w:rsid w:val="005B42DC"/>
    <w:rsid w:val="005C392F"/>
    <w:rsid w:val="005C5BCA"/>
    <w:rsid w:val="005C7F72"/>
    <w:rsid w:val="005D321A"/>
    <w:rsid w:val="005E6D43"/>
    <w:rsid w:val="005E7977"/>
    <w:rsid w:val="005F6B00"/>
    <w:rsid w:val="00601163"/>
    <w:rsid w:val="00605F89"/>
    <w:rsid w:val="00610B1D"/>
    <w:rsid w:val="00612137"/>
    <w:rsid w:val="006129E0"/>
    <w:rsid w:val="006139D9"/>
    <w:rsid w:val="00613B36"/>
    <w:rsid w:val="00616950"/>
    <w:rsid w:val="00616A39"/>
    <w:rsid w:val="00617AC9"/>
    <w:rsid w:val="0062652C"/>
    <w:rsid w:val="00626F29"/>
    <w:rsid w:val="00627011"/>
    <w:rsid w:val="006277CC"/>
    <w:rsid w:val="00632DC1"/>
    <w:rsid w:val="006376B5"/>
    <w:rsid w:val="0064260C"/>
    <w:rsid w:val="006428F5"/>
    <w:rsid w:val="006434B4"/>
    <w:rsid w:val="006453E5"/>
    <w:rsid w:val="00650B03"/>
    <w:rsid w:val="00651B36"/>
    <w:rsid w:val="00652956"/>
    <w:rsid w:val="006549E9"/>
    <w:rsid w:val="00660F92"/>
    <w:rsid w:val="0066214A"/>
    <w:rsid w:val="00671012"/>
    <w:rsid w:val="006717AF"/>
    <w:rsid w:val="00672E4A"/>
    <w:rsid w:val="0067300A"/>
    <w:rsid w:val="00675BDE"/>
    <w:rsid w:val="006760FD"/>
    <w:rsid w:val="00676209"/>
    <w:rsid w:val="00676BE9"/>
    <w:rsid w:val="006841EA"/>
    <w:rsid w:val="006847F5"/>
    <w:rsid w:val="00685139"/>
    <w:rsid w:val="0068554D"/>
    <w:rsid w:val="00685866"/>
    <w:rsid w:val="006916D1"/>
    <w:rsid w:val="00695E67"/>
    <w:rsid w:val="006978A9"/>
    <w:rsid w:val="006A0B97"/>
    <w:rsid w:val="006B1EF7"/>
    <w:rsid w:val="006B4FBE"/>
    <w:rsid w:val="006B5BA1"/>
    <w:rsid w:val="006B5F48"/>
    <w:rsid w:val="006B767D"/>
    <w:rsid w:val="006C342B"/>
    <w:rsid w:val="006C3E6B"/>
    <w:rsid w:val="006C415E"/>
    <w:rsid w:val="006C6EF9"/>
    <w:rsid w:val="006D2EF9"/>
    <w:rsid w:val="006D419C"/>
    <w:rsid w:val="006D4293"/>
    <w:rsid w:val="006D62C1"/>
    <w:rsid w:val="006E0FF9"/>
    <w:rsid w:val="006E7270"/>
    <w:rsid w:val="006F1D2B"/>
    <w:rsid w:val="006F31C5"/>
    <w:rsid w:val="006F35CB"/>
    <w:rsid w:val="006F77EB"/>
    <w:rsid w:val="007022B3"/>
    <w:rsid w:val="00703A20"/>
    <w:rsid w:val="00710678"/>
    <w:rsid w:val="00713D42"/>
    <w:rsid w:val="00715C5E"/>
    <w:rsid w:val="007160A9"/>
    <w:rsid w:val="007228BE"/>
    <w:rsid w:val="00724FA4"/>
    <w:rsid w:val="0072652B"/>
    <w:rsid w:val="00730CF7"/>
    <w:rsid w:val="007337D6"/>
    <w:rsid w:val="0073517D"/>
    <w:rsid w:val="00735807"/>
    <w:rsid w:val="00740187"/>
    <w:rsid w:val="0074027F"/>
    <w:rsid w:val="0074241E"/>
    <w:rsid w:val="007430F4"/>
    <w:rsid w:val="007446B7"/>
    <w:rsid w:val="00745B2C"/>
    <w:rsid w:val="00747E4B"/>
    <w:rsid w:val="0075398A"/>
    <w:rsid w:val="00754D26"/>
    <w:rsid w:val="00754F8F"/>
    <w:rsid w:val="00764F04"/>
    <w:rsid w:val="00765AA6"/>
    <w:rsid w:val="00770184"/>
    <w:rsid w:val="00770796"/>
    <w:rsid w:val="00770C6F"/>
    <w:rsid w:val="00770DBB"/>
    <w:rsid w:val="00770F64"/>
    <w:rsid w:val="00771955"/>
    <w:rsid w:val="0077286F"/>
    <w:rsid w:val="00773D23"/>
    <w:rsid w:val="00776425"/>
    <w:rsid w:val="00780A68"/>
    <w:rsid w:val="00780D33"/>
    <w:rsid w:val="0078116F"/>
    <w:rsid w:val="0078262B"/>
    <w:rsid w:val="00782E96"/>
    <w:rsid w:val="00785781"/>
    <w:rsid w:val="00785B2E"/>
    <w:rsid w:val="00790FA7"/>
    <w:rsid w:val="00791678"/>
    <w:rsid w:val="00791D3B"/>
    <w:rsid w:val="0079495B"/>
    <w:rsid w:val="0079659A"/>
    <w:rsid w:val="00797D20"/>
    <w:rsid w:val="007A0915"/>
    <w:rsid w:val="007A1B70"/>
    <w:rsid w:val="007A20B5"/>
    <w:rsid w:val="007B065B"/>
    <w:rsid w:val="007C3F61"/>
    <w:rsid w:val="007C405F"/>
    <w:rsid w:val="007C7CE1"/>
    <w:rsid w:val="007D01EA"/>
    <w:rsid w:val="007D1047"/>
    <w:rsid w:val="007D1214"/>
    <w:rsid w:val="007D3BED"/>
    <w:rsid w:val="007D41C8"/>
    <w:rsid w:val="007E3C3B"/>
    <w:rsid w:val="007E6FC2"/>
    <w:rsid w:val="007E7430"/>
    <w:rsid w:val="007E78FA"/>
    <w:rsid w:val="007E795C"/>
    <w:rsid w:val="007F38AD"/>
    <w:rsid w:val="007F4F7B"/>
    <w:rsid w:val="007F7D19"/>
    <w:rsid w:val="008026CD"/>
    <w:rsid w:val="00802B1F"/>
    <w:rsid w:val="008031DD"/>
    <w:rsid w:val="00803EF9"/>
    <w:rsid w:val="00805B05"/>
    <w:rsid w:val="00806747"/>
    <w:rsid w:val="008069BF"/>
    <w:rsid w:val="008106DD"/>
    <w:rsid w:val="008116D4"/>
    <w:rsid w:val="00811C25"/>
    <w:rsid w:val="00812A6C"/>
    <w:rsid w:val="008137B4"/>
    <w:rsid w:val="00814113"/>
    <w:rsid w:val="008204CB"/>
    <w:rsid w:val="00826FC1"/>
    <w:rsid w:val="00832BF2"/>
    <w:rsid w:val="00836793"/>
    <w:rsid w:val="008367F0"/>
    <w:rsid w:val="00837B0B"/>
    <w:rsid w:val="00843A96"/>
    <w:rsid w:val="008473D0"/>
    <w:rsid w:val="0085005C"/>
    <w:rsid w:val="0085193B"/>
    <w:rsid w:val="0085196A"/>
    <w:rsid w:val="00852489"/>
    <w:rsid w:val="008527CA"/>
    <w:rsid w:val="008532BB"/>
    <w:rsid w:val="00853BAB"/>
    <w:rsid w:val="008543C6"/>
    <w:rsid w:val="00854C28"/>
    <w:rsid w:val="00856041"/>
    <w:rsid w:val="008575F7"/>
    <w:rsid w:val="0086646C"/>
    <w:rsid w:val="00872D19"/>
    <w:rsid w:val="0087566D"/>
    <w:rsid w:val="00882B05"/>
    <w:rsid w:val="008850C0"/>
    <w:rsid w:val="00885332"/>
    <w:rsid w:val="00886E24"/>
    <w:rsid w:val="00890398"/>
    <w:rsid w:val="008905D6"/>
    <w:rsid w:val="008918B1"/>
    <w:rsid w:val="0089593C"/>
    <w:rsid w:val="008A05A4"/>
    <w:rsid w:val="008A085B"/>
    <w:rsid w:val="008A3673"/>
    <w:rsid w:val="008A3D75"/>
    <w:rsid w:val="008A5ECE"/>
    <w:rsid w:val="008A72E7"/>
    <w:rsid w:val="008B128A"/>
    <w:rsid w:val="008B30BC"/>
    <w:rsid w:val="008B333D"/>
    <w:rsid w:val="008B47B9"/>
    <w:rsid w:val="008B5AF4"/>
    <w:rsid w:val="008B6367"/>
    <w:rsid w:val="008B63F3"/>
    <w:rsid w:val="008C37CD"/>
    <w:rsid w:val="008C45DB"/>
    <w:rsid w:val="008D25B5"/>
    <w:rsid w:val="008E168A"/>
    <w:rsid w:val="008E2BB5"/>
    <w:rsid w:val="008E39C1"/>
    <w:rsid w:val="008E7942"/>
    <w:rsid w:val="008F13DB"/>
    <w:rsid w:val="008F2414"/>
    <w:rsid w:val="008F425B"/>
    <w:rsid w:val="00900310"/>
    <w:rsid w:val="0090122D"/>
    <w:rsid w:val="00902084"/>
    <w:rsid w:val="0090241B"/>
    <w:rsid w:val="00903757"/>
    <w:rsid w:val="00905138"/>
    <w:rsid w:val="00905C10"/>
    <w:rsid w:val="00907AC0"/>
    <w:rsid w:val="00910A3A"/>
    <w:rsid w:val="00911DC4"/>
    <w:rsid w:val="0091678D"/>
    <w:rsid w:val="00916FD4"/>
    <w:rsid w:val="00922E5C"/>
    <w:rsid w:val="00925F76"/>
    <w:rsid w:val="00930DAD"/>
    <w:rsid w:val="00930F24"/>
    <w:rsid w:val="00932EDA"/>
    <w:rsid w:val="009363B2"/>
    <w:rsid w:val="00937DF5"/>
    <w:rsid w:val="00941FE2"/>
    <w:rsid w:val="009430B0"/>
    <w:rsid w:val="009434DC"/>
    <w:rsid w:val="009443EB"/>
    <w:rsid w:val="009456F3"/>
    <w:rsid w:val="00950167"/>
    <w:rsid w:val="009515A8"/>
    <w:rsid w:val="00953241"/>
    <w:rsid w:val="00953B8F"/>
    <w:rsid w:val="00954F5F"/>
    <w:rsid w:val="00957B12"/>
    <w:rsid w:val="00962898"/>
    <w:rsid w:val="009641A6"/>
    <w:rsid w:val="009655D8"/>
    <w:rsid w:val="00970444"/>
    <w:rsid w:val="00972991"/>
    <w:rsid w:val="00973DDB"/>
    <w:rsid w:val="009755C4"/>
    <w:rsid w:val="00981E0B"/>
    <w:rsid w:val="00983920"/>
    <w:rsid w:val="00987B9E"/>
    <w:rsid w:val="00990883"/>
    <w:rsid w:val="009911A7"/>
    <w:rsid w:val="0099292D"/>
    <w:rsid w:val="00992C9F"/>
    <w:rsid w:val="00992D96"/>
    <w:rsid w:val="00995141"/>
    <w:rsid w:val="00995177"/>
    <w:rsid w:val="00995558"/>
    <w:rsid w:val="009A07C9"/>
    <w:rsid w:val="009A0F42"/>
    <w:rsid w:val="009A51A4"/>
    <w:rsid w:val="009A7957"/>
    <w:rsid w:val="009B196C"/>
    <w:rsid w:val="009C022D"/>
    <w:rsid w:val="009C1286"/>
    <w:rsid w:val="009C4AB4"/>
    <w:rsid w:val="009C50C2"/>
    <w:rsid w:val="009C5ED4"/>
    <w:rsid w:val="009C6296"/>
    <w:rsid w:val="009C7AA7"/>
    <w:rsid w:val="009D1090"/>
    <w:rsid w:val="009D1B50"/>
    <w:rsid w:val="009D2319"/>
    <w:rsid w:val="009D6838"/>
    <w:rsid w:val="009D7033"/>
    <w:rsid w:val="009D71D7"/>
    <w:rsid w:val="009D7358"/>
    <w:rsid w:val="009D7875"/>
    <w:rsid w:val="009E134F"/>
    <w:rsid w:val="009E6DC0"/>
    <w:rsid w:val="009F1E1E"/>
    <w:rsid w:val="009F25F0"/>
    <w:rsid w:val="009F294E"/>
    <w:rsid w:val="009F5A31"/>
    <w:rsid w:val="009F66C0"/>
    <w:rsid w:val="00A00359"/>
    <w:rsid w:val="00A01213"/>
    <w:rsid w:val="00A017A2"/>
    <w:rsid w:val="00A03161"/>
    <w:rsid w:val="00A03C52"/>
    <w:rsid w:val="00A07308"/>
    <w:rsid w:val="00A12648"/>
    <w:rsid w:val="00A1269E"/>
    <w:rsid w:val="00A12E47"/>
    <w:rsid w:val="00A143EB"/>
    <w:rsid w:val="00A16F18"/>
    <w:rsid w:val="00A17D2A"/>
    <w:rsid w:val="00A2014B"/>
    <w:rsid w:val="00A225AF"/>
    <w:rsid w:val="00A22C62"/>
    <w:rsid w:val="00A24183"/>
    <w:rsid w:val="00A25FAF"/>
    <w:rsid w:val="00A318AA"/>
    <w:rsid w:val="00A31924"/>
    <w:rsid w:val="00A31DB3"/>
    <w:rsid w:val="00A3573A"/>
    <w:rsid w:val="00A36B83"/>
    <w:rsid w:val="00A42757"/>
    <w:rsid w:val="00A45B4A"/>
    <w:rsid w:val="00A477FF"/>
    <w:rsid w:val="00A52302"/>
    <w:rsid w:val="00A52BBB"/>
    <w:rsid w:val="00A52CCA"/>
    <w:rsid w:val="00A546BE"/>
    <w:rsid w:val="00A54F6F"/>
    <w:rsid w:val="00A616A2"/>
    <w:rsid w:val="00A6177E"/>
    <w:rsid w:val="00A668E8"/>
    <w:rsid w:val="00A70E7B"/>
    <w:rsid w:val="00A71705"/>
    <w:rsid w:val="00A717E5"/>
    <w:rsid w:val="00A73C25"/>
    <w:rsid w:val="00A7726E"/>
    <w:rsid w:val="00A77FA9"/>
    <w:rsid w:val="00A83177"/>
    <w:rsid w:val="00A862F3"/>
    <w:rsid w:val="00A920D7"/>
    <w:rsid w:val="00A93129"/>
    <w:rsid w:val="00A955E7"/>
    <w:rsid w:val="00AA2109"/>
    <w:rsid w:val="00AA4538"/>
    <w:rsid w:val="00AA5CAD"/>
    <w:rsid w:val="00AA6174"/>
    <w:rsid w:val="00AB03C4"/>
    <w:rsid w:val="00AB405C"/>
    <w:rsid w:val="00AB594F"/>
    <w:rsid w:val="00AB5C41"/>
    <w:rsid w:val="00AC0429"/>
    <w:rsid w:val="00AC3536"/>
    <w:rsid w:val="00AC436E"/>
    <w:rsid w:val="00AC47CB"/>
    <w:rsid w:val="00AC4A77"/>
    <w:rsid w:val="00AC6719"/>
    <w:rsid w:val="00AD4F51"/>
    <w:rsid w:val="00AD5CCB"/>
    <w:rsid w:val="00AE24AF"/>
    <w:rsid w:val="00AE3BA2"/>
    <w:rsid w:val="00AE41BE"/>
    <w:rsid w:val="00AE5CB9"/>
    <w:rsid w:val="00AE759E"/>
    <w:rsid w:val="00AF050C"/>
    <w:rsid w:val="00AF5078"/>
    <w:rsid w:val="00AF5361"/>
    <w:rsid w:val="00AF66EE"/>
    <w:rsid w:val="00AF6A0B"/>
    <w:rsid w:val="00B00D3F"/>
    <w:rsid w:val="00B01AA2"/>
    <w:rsid w:val="00B02B0F"/>
    <w:rsid w:val="00B052DB"/>
    <w:rsid w:val="00B062B0"/>
    <w:rsid w:val="00B06F5F"/>
    <w:rsid w:val="00B07320"/>
    <w:rsid w:val="00B07935"/>
    <w:rsid w:val="00B07CCB"/>
    <w:rsid w:val="00B148FB"/>
    <w:rsid w:val="00B14C10"/>
    <w:rsid w:val="00B16715"/>
    <w:rsid w:val="00B16F67"/>
    <w:rsid w:val="00B20261"/>
    <w:rsid w:val="00B20979"/>
    <w:rsid w:val="00B224EB"/>
    <w:rsid w:val="00B23AA0"/>
    <w:rsid w:val="00B243A7"/>
    <w:rsid w:val="00B24FCD"/>
    <w:rsid w:val="00B25152"/>
    <w:rsid w:val="00B27C82"/>
    <w:rsid w:val="00B3028A"/>
    <w:rsid w:val="00B3406C"/>
    <w:rsid w:val="00B36610"/>
    <w:rsid w:val="00B37D2E"/>
    <w:rsid w:val="00B42E98"/>
    <w:rsid w:val="00B4309B"/>
    <w:rsid w:val="00B440AE"/>
    <w:rsid w:val="00B5136E"/>
    <w:rsid w:val="00B51A89"/>
    <w:rsid w:val="00B53226"/>
    <w:rsid w:val="00B5448D"/>
    <w:rsid w:val="00B555B0"/>
    <w:rsid w:val="00B55B51"/>
    <w:rsid w:val="00B567A1"/>
    <w:rsid w:val="00B57C04"/>
    <w:rsid w:val="00B602C1"/>
    <w:rsid w:val="00B64663"/>
    <w:rsid w:val="00B65617"/>
    <w:rsid w:val="00B6651A"/>
    <w:rsid w:val="00B7120E"/>
    <w:rsid w:val="00B72181"/>
    <w:rsid w:val="00B7407C"/>
    <w:rsid w:val="00B744D4"/>
    <w:rsid w:val="00B81046"/>
    <w:rsid w:val="00B8355D"/>
    <w:rsid w:val="00B87E5F"/>
    <w:rsid w:val="00B91217"/>
    <w:rsid w:val="00B93F3B"/>
    <w:rsid w:val="00BA2A77"/>
    <w:rsid w:val="00BA2C39"/>
    <w:rsid w:val="00BA5456"/>
    <w:rsid w:val="00BA66D2"/>
    <w:rsid w:val="00BB123A"/>
    <w:rsid w:val="00BB2991"/>
    <w:rsid w:val="00BB3136"/>
    <w:rsid w:val="00BB3F22"/>
    <w:rsid w:val="00BB4C19"/>
    <w:rsid w:val="00BB7813"/>
    <w:rsid w:val="00BB7902"/>
    <w:rsid w:val="00BC162F"/>
    <w:rsid w:val="00BC3ADE"/>
    <w:rsid w:val="00BC3EF7"/>
    <w:rsid w:val="00BC411E"/>
    <w:rsid w:val="00BC4580"/>
    <w:rsid w:val="00BC64C6"/>
    <w:rsid w:val="00BC736E"/>
    <w:rsid w:val="00BC7EF8"/>
    <w:rsid w:val="00BD0D50"/>
    <w:rsid w:val="00BD1CF9"/>
    <w:rsid w:val="00BE0F99"/>
    <w:rsid w:val="00BE25C7"/>
    <w:rsid w:val="00BE55BE"/>
    <w:rsid w:val="00BE6E0E"/>
    <w:rsid w:val="00BF0064"/>
    <w:rsid w:val="00BF1CAD"/>
    <w:rsid w:val="00BF23B7"/>
    <w:rsid w:val="00C02CC4"/>
    <w:rsid w:val="00C037AF"/>
    <w:rsid w:val="00C06231"/>
    <w:rsid w:val="00C0643E"/>
    <w:rsid w:val="00C066D9"/>
    <w:rsid w:val="00C10A6C"/>
    <w:rsid w:val="00C12449"/>
    <w:rsid w:val="00C125EF"/>
    <w:rsid w:val="00C17B5B"/>
    <w:rsid w:val="00C17D13"/>
    <w:rsid w:val="00C202CF"/>
    <w:rsid w:val="00C23A74"/>
    <w:rsid w:val="00C23E8B"/>
    <w:rsid w:val="00C24ED6"/>
    <w:rsid w:val="00C2765D"/>
    <w:rsid w:val="00C334AE"/>
    <w:rsid w:val="00C34FAD"/>
    <w:rsid w:val="00C41428"/>
    <w:rsid w:val="00C4210F"/>
    <w:rsid w:val="00C42356"/>
    <w:rsid w:val="00C4644D"/>
    <w:rsid w:val="00C46577"/>
    <w:rsid w:val="00C51936"/>
    <w:rsid w:val="00C561AC"/>
    <w:rsid w:val="00C5636D"/>
    <w:rsid w:val="00C571E9"/>
    <w:rsid w:val="00C64769"/>
    <w:rsid w:val="00C672B5"/>
    <w:rsid w:val="00C70603"/>
    <w:rsid w:val="00C708F1"/>
    <w:rsid w:val="00C75CAB"/>
    <w:rsid w:val="00C76568"/>
    <w:rsid w:val="00C76714"/>
    <w:rsid w:val="00C85950"/>
    <w:rsid w:val="00C87BF1"/>
    <w:rsid w:val="00C90F6D"/>
    <w:rsid w:val="00C90F7F"/>
    <w:rsid w:val="00C92ECF"/>
    <w:rsid w:val="00C92EE6"/>
    <w:rsid w:val="00C9450E"/>
    <w:rsid w:val="00C97BDC"/>
    <w:rsid w:val="00C97C94"/>
    <w:rsid w:val="00CA2995"/>
    <w:rsid w:val="00CA5A96"/>
    <w:rsid w:val="00CA65E4"/>
    <w:rsid w:val="00CA6814"/>
    <w:rsid w:val="00CA6D89"/>
    <w:rsid w:val="00CB1E55"/>
    <w:rsid w:val="00CB299E"/>
    <w:rsid w:val="00CB2D95"/>
    <w:rsid w:val="00CB3987"/>
    <w:rsid w:val="00CB53E3"/>
    <w:rsid w:val="00CB5DD6"/>
    <w:rsid w:val="00CB7AAB"/>
    <w:rsid w:val="00CC1CEE"/>
    <w:rsid w:val="00CC3B77"/>
    <w:rsid w:val="00CC5508"/>
    <w:rsid w:val="00CC6DC8"/>
    <w:rsid w:val="00CD0B55"/>
    <w:rsid w:val="00CE0D76"/>
    <w:rsid w:val="00CE712B"/>
    <w:rsid w:val="00CF0EF6"/>
    <w:rsid w:val="00CF53CD"/>
    <w:rsid w:val="00D027A2"/>
    <w:rsid w:val="00D02E1C"/>
    <w:rsid w:val="00D04984"/>
    <w:rsid w:val="00D05907"/>
    <w:rsid w:val="00D07287"/>
    <w:rsid w:val="00D11FD9"/>
    <w:rsid w:val="00D1382C"/>
    <w:rsid w:val="00D1786C"/>
    <w:rsid w:val="00D17F19"/>
    <w:rsid w:val="00D20FEA"/>
    <w:rsid w:val="00D21BE1"/>
    <w:rsid w:val="00D24C3A"/>
    <w:rsid w:val="00D268EB"/>
    <w:rsid w:val="00D27802"/>
    <w:rsid w:val="00D3038D"/>
    <w:rsid w:val="00D34F6F"/>
    <w:rsid w:val="00D42338"/>
    <w:rsid w:val="00D429DB"/>
    <w:rsid w:val="00D460A4"/>
    <w:rsid w:val="00D46B5A"/>
    <w:rsid w:val="00D5033B"/>
    <w:rsid w:val="00D508B7"/>
    <w:rsid w:val="00D52E5B"/>
    <w:rsid w:val="00D56DBD"/>
    <w:rsid w:val="00D571C5"/>
    <w:rsid w:val="00D675CD"/>
    <w:rsid w:val="00D70DF6"/>
    <w:rsid w:val="00D7426B"/>
    <w:rsid w:val="00D7506E"/>
    <w:rsid w:val="00D76DA2"/>
    <w:rsid w:val="00D804EF"/>
    <w:rsid w:val="00D82F76"/>
    <w:rsid w:val="00D84798"/>
    <w:rsid w:val="00D84D8A"/>
    <w:rsid w:val="00D85C7B"/>
    <w:rsid w:val="00D92269"/>
    <w:rsid w:val="00D96200"/>
    <w:rsid w:val="00DA0E82"/>
    <w:rsid w:val="00DA3B8D"/>
    <w:rsid w:val="00DA50F2"/>
    <w:rsid w:val="00DA5777"/>
    <w:rsid w:val="00DA732B"/>
    <w:rsid w:val="00DA7E91"/>
    <w:rsid w:val="00DB295D"/>
    <w:rsid w:val="00DB43BF"/>
    <w:rsid w:val="00DB4449"/>
    <w:rsid w:val="00DB4E97"/>
    <w:rsid w:val="00DC2348"/>
    <w:rsid w:val="00DC52E8"/>
    <w:rsid w:val="00DD0A84"/>
    <w:rsid w:val="00DD2162"/>
    <w:rsid w:val="00DD39D1"/>
    <w:rsid w:val="00DD4730"/>
    <w:rsid w:val="00DD51B4"/>
    <w:rsid w:val="00DD5447"/>
    <w:rsid w:val="00DD586B"/>
    <w:rsid w:val="00DD5C5B"/>
    <w:rsid w:val="00DE3B90"/>
    <w:rsid w:val="00DE6289"/>
    <w:rsid w:val="00DF367A"/>
    <w:rsid w:val="00DF483E"/>
    <w:rsid w:val="00DF6A5E"/>
    <w:rsid w:val="00DF6D93"/>
    <w:rsid w:val="00E05526"/>
    <w:rsid w:val="00E058FD"/>
    <w:rsid w:val="00E1523B"/>
    <w:rsid w:val="00E153A1"/>
    <w:rsid w:val="00E175AC"/>
    <w:rsid w:val="00E17FBC"/>
    <w:rsid w:val="00E26C1C"/>
    <w:rsid w:val="00E27204"/>
    <w:rsid w:val="00E31477"/>
    <w:rsid w:val="00E377B3"/>
    <w:rsid w:val="00E3788F"/>
    <w:rsid w:val="00E41EB5"/>
    <w:rsid w:val="00E425D3"/>
    <w:rsid w:val="00E42767"/>
    <w:rsid w:val="00E468C9"/>
    <w:rsid w:val="00E4787D"/>
    <w:rsid w:val="00E5039F"/>
    <w:rsid w:val="00E5089E"/>
    <w:rsid w:val="00E514EE"/>
    <w:rsid w:val="00E5691C"/>
    <w:rsid w:val="00E6207C"/>
    <w:rsid w:val="00E64723"/>
    <w:rsid w:val="00E6697F"/>
    <w:rsid w:val="00E713EE"/>
    <w:rsid w:val="00E72131"/>
    <w:rsid w:val="00E75C9D"/>
    <w:rsid w:val="00E7613E"/>
    <w:rsid w:val="00E949F4"/>
    <w:rsid w:val="00E97ABD"/>
    <w:rsid w:val="00EA54A3"/>
    <w:rsid w:val="00EB2602"/>
    <w:rsid w:val="00EB76F4"/>
    <w:rsid w:val="00EC0734"/>
    <w:rsid w:val="00EC43BA"/>
    <w:rsid w:val="00EC4C63"/>
    <w:rsid w:val="00EC4D05"/>
    <w:rsid w:val="00EC520A"/>
    <w:rsid w:val="00EC53A7"/>
    <w:rsid w:val="00EC54E1"/>
    <w:rsid w:val="00EC5578"/>
    <w:rsid w:val="00ED0978"/>
    <w:rsid w:val="00ED18B9"/>
    <w:rsid w:val="00ED1AD7"/>
    <w:rsid w:val="00ED4546"/>
    <w:rsid w:val="00ED4E2E"/>
    <w:rsid w:val="00ED5B8D"/>
    <w:rsid w:val="00EE0CC0"/>
    <w:rsid w:val="00EE1BFE"/>
    <w:rsid w:val="00EE35E2"/>
    <w:rsid w:val="00EE4C46"/>
    <w:rsid w:val="00EE51E7"/>
    <w:rsid w:val="00EE553B"/>
    <w:rsid w:val="00EE7E6A"/>
    <w:rsid w:val="00EF1124"/>
    <w:rsid w:val="00EF1765"/>
    <w:rsid w:val="00EF240D"/>
    <w:rsid w:val="00EF33C8"/>
    <w:rsid w:val="00F00D79"/>
    <w:rsid w:val="00F02E9B"/>
    <w:rsid w:val="00F03333"/>
    <w:rsid w:val="00F056AF"/>
    <w:rsid w:val="00F115A2"/>
    <w:rsid w:val="00F16F0E"/>
    <w:rsid w:val="00F250A1"/>
    <w:rsid w:val="00F25F58"/>
    <w:rsid w:val="00F35E3B"/>
    <w:rsid w:val="00F37FF5"/>
    <w:rsid w:val="00F40315"/>
    <w:rsid w:val="00F465C4"/>
    <w:rsid w:val="00F465D4"/>
    <w:rsid w:val="00F46D4B"/>
    <w:rsid w:val="00F46F32"/>
    <w:rsid w:val="00F52FC6"/>
    <w:rsid w:val="00F574D6"/>
    <w:rsid w:val="00F627DD"/>
    <w:rsid w:val="00F67D4C"/>
    <w:rsid w:val="00F71E6A"/>
    <w:rsid w:val="00F72EA7"/>
    <w:rsid w:val="00F81C7A"/>
    <w:rsid w:val="00F83618"/>
    <w:rsid w:val="00F86897"/>
    <w:rsid w:val="00F966E7"/>
    <w:rsid w:val="00FA2557"/>
    <w:rsid w:val="00FA71D3"/>
    <w:rsid w:val="00FA7365"/>
    <w:rsid w:val="00FA7721"/>
    <w:rsid w:val="00FA7C47"/>
    <w:rsid w:val="00FB396B"/>
    <w:rsid w:val="00FC04FB"/>
    <w:rsid w:val="00FC3B00"/>
    <w:rsid w:val="00FC67C4"/>
    <w:rsid w:val="00FC6DA5"/>
    <w:rsid w:val="00FD110A"/>
    <w:rsid w:val="00FD5248"/>
    <w:rsid w:val="00FE0330"/>
    <w:rsid w:val="00FE36BF"/>
    <w:rsid w:val="00FE5BEC"/>
    <w:rsid w:val="010811C4"/>
    <w:rsid w:val="01510A39"/>
    <w:rsid w:val="02584601"/>
    <w:rsid w:val="03016292"/>
    <w:rsid w:val="030D40BE"/>
    <w:rsid w:val="033365C7"/>
    <w:rsid w:val="04974587"/>
    <w:rsid w:val="058034D0"/>
    <w:rsid w:val="05E03D0C"/>
    <w:rsid w:val="061E4834"/>
    <w:rsid w:val="0AAC240E"/>
    <w:rsid w:val="0B24469B"/>
    <w:rsid w:val="0B2467B8"/>
    <w:rsid w:val="0B7F7B23"/>
    <w:rsid w:val="0BF24799"/>
    <w:rsid w:val="0C384CD2"/>
    <w:rsid w:val="0F0232AF"/>
    <w:rsid w:val="0F24110D"/>
    <w:rsid w:val="0F9A1D90"/>
    <w:rsid w:val="11280D37"/>
    <w:rsid w:val="114A2A50"/>
    <w:rsid w:val="121E62E8"/>
    <w:rsid w:val="123A29F6"/>
    <w:rsid w:val="12EF3DD6"/>
    <w:rsid w:val="136441CE"/>
    <w:rsid w:val="137268BD"/>
    <w:rsid w:val="13726DF1"/>
    <w:rsid w:val="13D6541C"/>
    <w:rsid w:val="144B7D94"/>
    <w:rsid w:val="147E12BF"/>
    <w:rsid w:val="152F25BA"/>
    <w:rsid w:val="155E69FB"/>
    <w:rsid w:val="1629525B"/>
    <w:rsid w:val="1744303C"/>
    <w:rsid w:val="17C23271"/>
    <w:rsid w:val="17F56EDE"/>
    <w:rsid w:val="18BA0A37"/>
    <w:rsid w:val="18E611E1"/>
    <w:rsid w:val="1912647A"/>
    <w:rsid w:val="191F1353"/>
    <w:rsid w:val="191F54EE"/>
    <w:rsid w:val="19AC2F5A"/>
    <w:rsid w:val="1A0C09A3"/>
    <w:rsid w:val="1A1A47D1"/>
    <w:rsid w:val="1A522E26"/>
    <w:rsid w:val="1AF416CC"/>
    <w:rsid w:val="1BBC26CD"/>
    <w:rsid w:val="1BC97744"/>
    <w:rsid w:val="1BCD6AE7"/>
    <w:rsid w:val="1C182135"/>
    <w:rsid w:val="1C2D2A5D"/>
    <w:rsid w:val="1CA46214"/>
    <w:rsid w:val="1CFC0FD3"/>
    <w:rsid w:val="1DBE44DB"/>
    <w:rsid w:val="1DFF5310"/>
    <w:rsid w:val="1E2B5570"/>
    <w:rsid w:val="1E2F362A"/>
    <w:rsid w:val="1F15637C"/>
    <w:rsid w:val="1F1B761D"/>
    <w:rsid w:val="1F2E287D"/>
    <w:rsid w:val="1F3A483C"/>
    <w:rsid w:val="1F40172B"/>
    <w:rsid w:val="1F930BDA"/>
    <w:rsid w:val="1F9574BD"/>
    <w:rsid w:val="1FA47E80"/>
    <w:rsid w:val="1FE558F6"/>
    <w:rsid w:val="207E43F5"/>
    <w:rsid w:val="2105039F"/>
    <w:rsid w:val="228A72DA"/>
    <w:rsid w:val="22A53EBB"/>
    <w:rsid w:val="23C465C3"/>
    <w:rsid w:val="23FF3832"/>
    <w:rsid w:val="247578DE"/>
    <w:rsid w:val="247E6772"/>
    <w:rsid w:val="25DC7BF4"/>
    <w:rsid w:val="25FA69A3"/>
    <w:rsid w:val="262B2929"/>
    <w:rsid w:val="270C4509"/>
    <w:rsid w:val="27A25D8E"/>
    <w:rsid w:val="27D52B4D"/>
    <w:rsid w:val="27EB6814"/>
    <w:rsid w:val="28642123"/>
    <w:rsid w:val="28777BF4"/>
    <w:rsid w:val="28862099"/>
    <w:rsid w:val="29837BE6"/>
    <w:rsid w:val="29F574D6"/>
    <w:rsid w:val="2B2D4A4E"/>
    <w:rsid w:val="2B887E8F"/>
    <w:rsid w:val="2B990335"/>
    <w:rsid w:val="2C527E4A"/>
    <w:rsid w:val="2C7072E8"/>
    <w:rsid w:val="2D2D6F87"/>
    <w:rsid w:val="2DE955A4"/>
    <w:rsid w:val="2E813A2E"/>
    <w:rsid w:val="2F1E0F22"/>
    <w:rsid w:val="2F823A85"/>
    <w:rsid w:val="2FD91648"/>
    <w:rsid w:val="30BE2F56"/>
    <w:rsid w:val="31DD581A"/>
    <w:rsid w:val="34313D2C"/>
    <w:rsid w:val="34A26247"/>
    <w:rsid w:val="34BC67D7"/>
    <w:rsid w:val="34D04986"/>
    <w:rsid w:val="34E16FD5"/>
    <w:rsid w:val="35DF0B77"/>
    <w:rsid w:val="363475D8"/>
    <w:rsid w:val="3701698B"/>
    <w:rsid w:val="37790646"/>
    <w:rsid w:val="38C3655B"/>
    <w:rsid w:val="39055497"/>
    <w:rsid w:val="39203E44"/>
    <w:rsid w:val="3AD936A1"/>
    <w:rsid w:val="3B7D1998"/>
    <w:rsid w:val="3B8B56B5"/>
    <w:rsid w:val="3BDF3B42"/>
    <w:rsid w:val="3C756255"/>
    <w:rsid w:val="3C990801"/>
    <w:rsid w:val="3CE534C0"/>
    <w:rsid w:val="3D083FA1"/>
    <w:rsid w:val="3D54064D"/>
    <w:rsid w:val="3DAA47D2"/>
    <w:rsid w:val="3DF123FF"/>
    <w:rsid w:val="3DFD29A6"/>
    <w:rsid w:val="3E1E128E"/>
    <w:rsid w:val="3F853907"/>
    <w:rsid w:val="3FFE185D"/>
    <w:rsid w:val="403B1563"/>
    <w:rsid w:val="42075459"/>
    <w:rsid w:val="43AD2A6B"/>
    <w:rsid w:val="44042299"/>
    <w:rsid w:val="44A2460A"/>
    <w:rsid w:val="45173602"/>
    <w:rsid w:val="458539AC"/>
    <w:rsid w:val="458C7954"/>
    <w:rsid w:val="45F11042"/>
    <w:rsid w:val="472D7E58"/>
    <w:rsid w:val="47953C4F"/>
    <w:rsid w:val="47977365"/>
    <w:rsid w:val="49172B6D"/>
    <w:rsid w:val="49184B37"/>
    <w:rsid w:val="49BF6D61"/>
    <w:rsid w:val="4A3C6604"/>
    <w:rsid w:val="4A69389D"/>
    <w:rsid w:val="4B105AC6"/>
    <w:rsid w:val="4B8E2E8F"/>
    <w:rsid w:val="4C202DB8"/>
    <w:rsid w:val="4C53077D"/>
    <w:rsid w:val="4C7E695A"/>
    <w:rsid w:val="4D043409"/>
    <w:rsid w:val="4D232413"/>
    <w:rsid w:val="4D882D6A"/>
    <w:rsid w:val="4D9775E9"/>
    <w:rsid w:val="4E270E54"/>
    <w:rsid w:val="4EDF0F9F"/>
    <w:rsid w:val="503264DF"/>
    <w:rsid w:val="507B7E86"/>
    <w:rsid w:val="50965A49"/>
    <w:rsid w:val="51025EB1"/>
    <w:rsid w:val="511A0733"/>
    <w:rsid w:val="51835FE1"/>
    <w:rsid w:val="525A6314"/>
    <w:rsid w:val="528B5CE5"/>
    <w:rsid w:val="528E5230"/>
    <w:rsid w:val="537B0962"/>
    <w:rsid w:val="53E73A84"/>
    <w:rsid w:val="546A57B7"/>
    <w:rsid w:val="55344AA7"/>
    <w:rsid w:val="554622F4"/>
    <w:rsid w:val="55DC1C16"/>
    <w:rsid w:val="566077FB"/>
    <w:rsid w:val="56951575"/>
    <w:rsid w:val="56A96DCF"/>
    <w:rsid w:val="56CC500A"/>
    <w:rsid w:val="56E147BB"/>
    <w:rsid w:val="57CB2DF5"/>
    <w:rsid w:val="586321FD"/>
    <w:rsid w:val="59BF06D2"/>
    <w:rsid w:val="5A01773D"/>
    <w:rsid w:val="5A0329AD"/>
    <w:rsid w:val="5AAB3234"/>
    <w:rsid w:val="5B6F45BF"/>
    <w:rsid w:val="5B7025B1"/>
    <w:rsid w:val="5C7622AA"/>
    <w:rsid w:val="5C78171D"/>
    <w:rsid w:val="5D30585D"/>
    <w:rsid w:val="5DBF6738"/>
    <w:rsid w:val="5E14388B"/>
    <w:rsid w:val="5E370EEC"/>
    <w:rsid w:val="5E547699"/>
    <w:rsid w:val="5E837C93"/>
    <w:rsid w:val="5E953BF9"/>
    <w:rsid w:val="5F9C7C43"/>
    <w:rsid w:val="5FAF36A8"/>
    <w:rsid w:val="5FB8547F"/>
    <w:rsid w:val="60C05441"/>
    <w:rsid w:val="60E308E3"/>
    <w:rsid w:val="611D6D37"/>
    <w:rsid w:val="617050B9"/>
    <w:rsid w:val="63172813"/>
    <w:rsid w:val="63861381"/>
    <w:rsid w:val="63E678B4"/>
    <w:rsid w:val="64FE478A"/>
    <w:rsid w:val="65295866"/>
    <w:rsid w:val="65705687"/>
    <w:rsid w:val="65A74E21"/>
    <w:rsid w:val="65C46E98"/>
    <w:rsid w:val="665755E5"/>
    <w:rsid w:val="66794A10"/>
    <w:rsid w:val="671D539B"/>
    <w:rsid w:val="67C93707"/>
    <w:rsid w:val="681E586F"/>
    <w:rsid w:val="688E6C63"/>
    <w:rsid w:val="68FF7F45"/>
    <w:rsid w:val="69157BAE"/>
    <w:rsid w:val="69BF098B"/>
    <w:rsid w:val="69C266CE"/>
    <w:rsid w:val="6A184540"/>
    <w:rsid w:val="6A310411"/>
    <w:rsid w:val="6A3A0B74"/>
    <w:rsid w:val="6A944EE1"/>
    <w:rsid w:val="6A985AB9"/>
    <w:rsid w:val="6AE01FA6"/>
    <w:rsid w:val="6C2C42D2"/>
    <w:rsid w:val="6D4318EA"/>
    <w:rsid w:val="6D491D7F"/>
    <w:rsid w:val="6D642C33"/>
    <w:rsid w:val="6E71483D"/>
    <w:rsid w:val="6F3A0AB4"/>
    <w:rsid w:val="6F767D3E"/>
    <w:rsid w:val="6F9E54E7"/>
    <w:rsid w:val="6FAF16C2"/>
    <w:rsid w:val="716D3CED"/>
    <w:rsid w:val="726230A9"/>
    <w:rsid w:val="729B614B"/>
    <w:rsid w:val="73AB7D4A"/>
    <w:rsid w:val="7617017A"/>
    <w:rsid w:val="765608C9"/>
    <w:rsid w:val="766F7295"/>
    <w:rsid w:val="76832D41"/>
    <w:rsid w:val="775F12C1"/>
    <w:rsid w:val="778A0C6D"/>
    <w:rsid w:val="78580A64"/>
    <w:rsid w:val="78A331BB"/>
    <w:rsid w:val="78A855C2"/>
    <w:rsid w:val="79652BD2"/>
    <w:rsid w:val="799B65F3"/>
    <w:rsid w:val="79BF5D48"/>
    <w:rsid w:val="7AC81627"/>
    <w:rsid w:val="7C322CAF"/>
    <w:rsid w:val="7C6A000F"/>
    <w:rsid w:val="7D705A6D"/>
    <w:rsid w:val="7DB34CED"/>
    <w:rsid w:val="7E59139E"/>
    <w:rsid w:val="7EB34D96"/>
    <w:rsid w:val="7EBB501E"/>
    <w:rsid w:val="7EE33B7E"/>
    <w:rsid w:val="7F5D743D"/>
    <w:rsid w:val="7FA5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E79D6"/>
  <w15:docId w15:val="{F1B76369-D77F-4623-AA8F-D1F8B0D3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uiPriority w:val="1"/>
    <w:qFormat/>
    <w:pPr>
      <w:widowControl w:val="0"/>
      <w:autoSpaceDE w:val="0"/>
      <w:autoSpaceDN w:val="0"/>
    </w:pPr>
    <w:rPr>
      <w:rFonts w:ascii="宋体" w:hAnsi="宋体" w:cs="宋体"/>
      <w:sz w:val="22"/>
      <w:szCs w:val="22"/>
      <w:lang w:val="zh-CN" w:bidi="zh-CN"/>
    </w:rPr>
  </w:style>
  <w:style w:type="paragraph" w:styleId="2">
    <w:name w:val="heading 2"/>
    <w:basedOn w:val="a"/>
    <w:next w:val="a"/>
    <w:unhideWhenUsed/>
    <w:qFormat/>
    <w:pPr>
      <w:keepNext/>
      <w:keepLines/>
      <w:adjustRightInd w:val="0"/>
      <w:snapToGrid w:val="0"/>
      <w:spacing w:beforeLines="50" w:before="50" w:afterLines="50" w:after="50"/>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style>
  <w:style w:type="paragraph" w:styleId="a3">
    <w:name w:val="annotation text"/>
    <w:basedOn w:val="a"/>
    <w:link w:val="a4"/>
    <w:qFormat/>
  </w:style>
  <w:style w:type="paragraph" w:styleId="a5">
    <w:name w:val="Body Text"/>
    <w:basedOn w:val="a"/>
    <w:uiPriority w:val="1"/>
    <w:qFormat/>
    <w:pPr>
      <w:spacing w:before="9"/>
    </w:pPr>
    <w:rPr>
      <w:b/>
      <w:bCs/>
      <w:sz w:val="28"/>
      <w:szCs w:val="28"/>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cs="Times New Roman"/>
      <w:sz w:val="24"/>
      <w:lang w:val="en-US" w:bidi="ar-SA"/>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TableParagraph">
    <w:name w:val="Table Paragraph"/>
    <w:basedOn w:val="a"/>
    <w:uiPriority w:val="1"/>
    <w:qFormat/>
    <w:pPr>
      <w:spacing w:before="22"/>
    </w:pPr>
  </w:style>
  <w:style w:type="paragraph" w:styleId="af0">
    <w:name w:val="List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aa">
    <w:name w:val="页眉 字符"/>
    <w:basedOn w:val="a0"/>
    <w:link w:val="a9"/>
    <w:uiPriority w:val="99"/>
    <w:qFormat/>
    <w:rPr>
      <w:rFonts w:ascii="宋体" w:hAnsi="宋体" w:cs="宋体"/>
      <w:sz w:val="18"/>
      <w:szCs w:val="18"/>
      <w:lang w:val="zh-CN" w:bidi="zh-CN"/>
    </w:rPr>
  </w:style>
  <w:style w:type="paragraph" w:customStyle="1" w:styleId="1">
    <w:name w:val="修订1"/>
    <w:hidden/>
    <w:uiPriority w:val="99"/>
    <w:semiHidden/>
    <w:qFormat/>
    <w:rPr>
      <w:rFonts w:ascii="宋体" w:hAnsi="宋体" w:cs="宋体"/>
      <w:sz w:val="22"/>
      <w:szCs w:val="22"/>
      <w:lang w:val="zh-CN" w:bidi="zh-CN"/>
    </w:rPr>
  </w:style>
  <w:style w:type="character" w:customStyle="1" w:styleId="a4">
    <w:name w:val="批注文字 字符"/>
    <w:basedOn w:val="a0"/>
    <w:link w:val="a3"/>
    <w:qFormat/>
    <w:rPr>
      <w:rFonts w:ascii="宋体" w:hAnsi="宋体" w:cs="宋体"/>
      <w:sz w:val="22"/>
      <w:szCs w:val="22"/>
      <w:lang w:val="zh-CN" w:bidi="zh-CN"/>
    </w:rPr>
  </w:style>
  <w:style w:type="character" w:customStyle="1" w:styleId="ad">
    <w:name w:val="批注主题 字符"/>
    <w:basedOn w:val="a4"/>
    <w:link w:val="ac"/>
    <w:qFormat/>
    <w:rPr>
      <w:rFonts w:ascii="宋体" w:hAnsi="宋体" w:cs="宋体"/>
      <w:b/>
      <w:bCs/>
      <w:sz w:val="22"/>
      <w:szCs w:val="22"/>
      <w:lang w:val="zh-CN" w:bidi="zh-CN"/>
    </w:rPr>
  </w:style>
  <w:style w:type="character" w:customStyle="1" w:styleId="a7">
    <w:name w:val="批注框文本 字符"/>
    <w:basedOn w:val="a0"/>
    <w:link w:val="a6"/>
    <w:qFormat/>
    <w:rPr>
      <w:rFonts w:ascii="宋体" w:hAnsi="宋体" w:cs="宋体"/>
      <w:sz w:val="18"/>
      <w:szCs w:val="18"/>
      <w:lang w:val="zh-CN" w:bidi="zh-CN"/>
    </w:rPr>
  </w:style>
  <w:style w:type="paragraph" w:customStyle="1" w:styleId="20">
    <w:name w:val="修订2"/>
    <w:hidden/>
    <w:uiPriority w:val="99"/>
    <w:semiHidden/>
    <w:qFormat/>
    <w:rPr>
      <w:rFonts w:ascii="宋体" w:hAnsi="宋体" w:cs="宋体"/>
      <w:sz w:val="22"/>
      <w:szCs w:val="22"/>
      <w:lang w:val="zh-CN" w:bidi="zh-CN"/>
    </w:rPr>
  </w:style>
  <w:style w:type="paragraph" w:customStyle="1" w:styleId="3">
    <w:name w:val="修订3"/>
    <w:hidden/>
    <w:uiPriority w:val="99"/>
    <w:semiHidden/>
    <w:qFormat/>
    <w:rPr>
      <w:rFonts w:ascii="宋体" w:hAnsi="宋体" w:cs="宋体"/>
      <w:sz w:val="22"/>
      <w:szCs w:val="22"/>
      <w:lang w:val="zh-CN" w:bidi="zh-CN"/>
    </w:rPr>
  </w:style>
  <w:style w:type="paragraph" w:customStyle="1" w:styleId="4">
    <w:name w:val="修订4"/>
    <w:hidden/>
    <w:uiPriority w:val="99"/>
    <w:semiHidden/>
    <w:qFormat/>
    <w:rPr>
      <w:rFonts w:ascii="宋体" w:hAnsi="宋体" w:cs="宋体"/>
      <w:sz w:val="22"/>
      <w:szCs w:val="22"/>
      <w:lang w:val="zh-CN" w:bidi="zh-CN"/>
    </w:rPr>
  </w:style>
  <w:style w:type="paragraph" w:customStyle="1" w:styleId="5">
    <w:name w:val="修订5"/>
    <w:hidden/>
    <w:uiPriority w:val="99"/>
    <w:semiHidden/>
    <w:qFormat/>
    <w:rPr>
      <w:rFonts w:ascii="宋体" w:hAnsi="宋体" w:cs="宋体"/>
      <w:sz w:val="22"/>
      <w:szCs w:val="22"/>
      <w:lang w:val="zh-CN" w:bidi="zh-CN"/>
    </w:rPr>
  </w:style>
  <w:style w:type="paragraph" w:customStyle="1" w:styleId="6">
    <w:name w:val="修订6"/>
    <w:hidden/>
    <w:uiPriority w:val="99"/>
    <w:semiHidden/>
    <w:qFormat/>
    <w:rPr>
      <w:rFonts w:ascii="宋体" w:hAnsi="宋体" w:cs="宋体"/>
      <w:sz w:val="22"/>
      <w:szCs w:val="22"/>
      <w:lang w:val="zh-CN" w:bidi="zh-CN"/>
    </w:rPr>
  </w:style>
  <w:style w:type="paragraph" w:customStyle="1" w:styleId="7">
    <w:name w:val="修订7"/>
    <w:hidden/>
    <w:uiPriority w:val="99"/>
    <w:unhideWhenUsed/>
    <w:qFormat/>
    <w:rPr>
      <w:rFonts w:ascii="宋体" w:hAnsi="宋体" w:cs="宋体"/>
      <w:sz w:val="22"/>
      <w:szCs w:val="22"/>
      <w:lang w:val="zh-CN" w:bidi="zh-CN"/>
    </w:rPr>
  </w:style>
  <w:style w:type="paragraph" w:customStyle="1" w:styleId="8">
    <w:name w:val="修订8"/>
    <w:hidden/>
    <w:uiPriority w:val="99"/>
    <w:unhideWhenUsed/>
    <w:qFormat/>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Jiajia Li(李佳佳)</dc:creator>
  <cp:lastModifiedBy>杨扬</cp:lastModifiedBy>
  <cp:revision>278</cp:revision>
  <cp:lastPrinted>2024-04-01T03:17:00Z</cp:lastPrinted>
  <dcterms:created xsi:type="dcterms:W3CDTF">2023-09-11T09:27:00Z</dcterms:created>
  <dcterms:modified xsi:type="dcterms:W3CDTF">2025-08-22T09:04:00Z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2052-12.1.0.22529</vt:lpwstr>
  </property>
  <property fmtid="{D5CDD505-2E9C-101B-9397-08002B2CF9AE}" pid="6" name="ICV">
    <vt:lpwstr>7F391299D69747BBAC04FFB59269ED72_13</vt:lpwstr>
  </property>
  <property fmtid="{D5CDD505-2E9C-101B-9397-08002B2CF9AE}" pid="7" name="KSOTemplateDocerSaveRecord">
    <vt:lpwstr>eyJoZGlkIjoiMDljMDdhNTg2MjkxNDdhODgzZWYzM2E2M2E2N2I4ZTYiLCJ1c2VySWQiOiIzNzk3OTI5MDcifQ==</vt:lpwstr>
  </property>
</Properties>
</file>