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80D" w:rsidRDefault="00012D52">
      <w:pPr>
        <w:rPr>
          <w:rFonts w:ascii="宋体" w:hAnsi="宋体"/>
          <w:bCs/>
          <w:sz w:val="24"/>
        </w:rPr>
      </w:pPr>
      <w:r>
        <w:rPr>
          <w:rFonts w:ascii="宋体" w:hAnsi="宋体" w:hint="eastAsia"/>
          <w:bCs/>
          <w:sz w:val="24"/>
        </w:rPr>
        <w:t>公司</w:t>
      </w:r>
      <w:r>
        <w:rPr>
          <w:rFonts w:ascii="宋体" w:hAnsi="宋体"/>
          <w:bCs/>
          <w:sz w:val="24"/>
        </w:rPr>
        <w:t>代码：</w:t>
      </w:r>
      <w:r>
        <w:rPr>
          <w:bCs/>
          <w:sz w:val="24"/>
        </w:rPr>
        <w:t xml:space="preserve">688278    </w:t>
      </w:r>
      <w:r>
        <w:rPr>
          <w:rFonts w:ascii="宋体" w:hAnsi="宋体"/>
          <w:bCs/>
          <w:sz w:val="24"/>
        </w:rPr>
        <w:t xml:space="preserve">                     </w:t>
      </w:r>
      <w:r>
        <w:rPr>
          <w:bCs/>
          <w:sz w:val="24"/>
        </w:rPr>
        <w:t xml:space="preserve">         </w:t>
      </w:r>
      <w:r>
        <w:rPr>
          <w:rFonts w:ascii="宋体" w:hAnsi="宋体" w:hint="eastAsia"/>
          <w:bCs/>
          <w:sz w:val="24"/>
        </w:rPr>
        <w:t>公司简称：</w:t>
      </w:r>
      <w:proofErr w:type="gramStart"/>
      <w:r>
        <w:rPr>
          <w:rFonts w:ascii="宋体" w:hAnsi="宋体"/>
          <w:bCs/>
          <w:sz w:val="24"/>
        </w:rPr>
        <w:t>特宝生物</w:t>
      </w:r>
      <w:proofErr w:type="gramEnd"/>
    </w:p>
    <w:p w:rsidR="000D180D" w:rsidRDefault="000D180D"/>
    <w:p w:rsidR="000D180D" w:rsidRDefault="000D180D"/>
    <w:p w:rsidR="000D180D" w:rsidRDefault="000D180D"/>
    <w:p w:rsidR="000D180D" w:rsidRDefault="000D180D"/>
    <w:p w:rsidR="000D180D" w:rsidRDefault="000D180D"/>
    <w:p w:rsidR="000D180D" w:rsidRDefault="000D180D"/>
    <w:p w:rsidR="000D180D" w:rsidRDefault="000D180D"/>
    <w:p w:rsidR="000D180D" w:rsidRDefault="000D180D"/>
    <w:p w:rsidR="000D180D" w:rsidRDefault="00012D52">
      <w:pPr>
        <w:autoSpaceDE w:val="0"/>
        <w:autoSpaceDN w:val="0"/>
        <w:adjustRightInd w:val="0"/>
        <w:spacing w:beforeLines="50" w:before="156" w:afterLines="50" w:after="156" w:line="720" w:lineRule="exact"/>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厦门特宝生物工程股份有限公司</w:t>
      </w:r>
    </w:p>
    <w:p w:rsidR="000D180D" w:rsidRDefault="00012D52">
      <w:pPr>
        <w:autoSpaceDE w:val="0"/>
        <w:autoSpaceDN w:val="0"/>
        <w:adjustRightInd w:val="0"/>
        <w:spacing w:beforeLines="50" w:before="156" w:afterLines="50" w:after="156" w:line="720" w:lineRule="exact"/>
        <w:jc w:val="center"/>
        <w:rPr>
          <w:rFonts w:ascii="黑体" w:eastAsia="黑体" w:hAnsi="黑体" w:cs="黑体"/>
          <w:color w:val="000000"/>
          <w:sz w:val="48"/>
          <w:szCs w:val="48"/>
        </w:rPr>
      </w:pPr>
      <w:r>
        <w:rPr>
          <w:rFonts w:ascii="黑体" w:eastAsia="黑体" w:hAnsi="黑体" w:cs="黑体" w:hint="eastAsia"/>
          <w:color w:val="000000"/>
          <w:kern w:val="0"/>
          <w:sz w:val="48"/>
          <w:szCs w:val="48"/>
        </w:rPr>
        <w:t>投资者关系活动记录表</w:t>
      </w:r>
    </w:p>
    <w:p w:rsidR="000D180D" w:rsidRDefault="000D180D">
      <w:pPr>
        <w:autoSpaceDE w:val="0"/>
        <w:autoSpaceDN w:val="0"/>
        <w:adjustRightInd w:val="0"/>
        <w:spacing w:beforeLines="50" w:before="156" w:afterLines="50" w:after="156" w:line="720" w:lineRule="exact"/>
        <w:ind w:rightChars="-24" w:right="-50"/>
        <w:jc w:val="center"/>
        <w:rPr>
          <w:rFonts w:eastAsia="黑体"/>
          <w:color w:val="000000"/>
          <w:sz w:val="44"/>
          <w:szCs w:val="34"/>
        </w:rPr>
      </w:pPr>
    </w:p>
    <w:p w:rsidR="000D180D" w:rsidRDefault="000D180D"/>
    <w:p w:rsidR="000D180D" w:rsidRDefault="000D180D"/>
    <w:p w:rsidR="000D180D" w:rsidRDefault="00012D52">
      <w:pPr>
        <w:jc w:val="center"/>
      </w:pPr>
      <w:r>
        <w:rPr>
          <w:noProof/>
        </w:rPr>
        <w:drawing>
          <wp:inline distT="0" distB="0" distL="0" distR="0">
            <wp:extent cx="2876550" cy="127508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99288" cy="1285466"/>
                    </a:xfrm>
                    <a:prstGeom prst="rect">
                      <a:avLst/>
                    </a:prstGeom>
                    <a:noFill/>
                    <a:ln>
                      <a:noFill/>
                    </a:ln>
                  </pic:spPr>
                </pic:pic>
              </a:graphicData>
            </a:graphic>
          </wp:inline>
        </w:drawing>
      </w:r>
    </w:p>
    <w:p w:rsidR="000D180D" w:rsidRDefault="000D180D">
      <w:pPr>
        <w:jc w:val="center"/>
      </w:pPr>
    </w:p>
    <w:p w:rsidR="000D180D" w:rsidRDefault="000D180D">
      <w:pPr>
        <w:autoSpaceDE w:val="0"/>
        <w:autoSpaceDN w:val="0"/>
        <w:adjustRightInd w:val="0"/>
        <w:rPr>
          <w:rFonts w:ascii="宋体" w:hAnsi="宋体" w:cs="黑体"/>
          <w:b/>
          <w:color w:val="000000"/>
          <w:kern w:val="0"/>
          <w:sz w:val="24"/>
        </w:rPr>
      </w:pPr>
    </w:p>
    <w:p w:rsidR="000D180D" w:rsidRDefault="000D180D">
      <w:pPr>
        <w:autoSpaceDE w:val="0"/>
        <w:autoSpaceDN w:val="0"/>
        <w:adjustRightInd w:val="0"/>
        <w:rPr>
          <w:rFonts w:ascii="宋体" w:hAnsi="宋体" w:cs="黑体"/>
          <w:b/>
          <w:color w:val="000000"/>
          <w:kern w:val="0"/>
          <w:sz w:val="24"/>
        </w:rPr>
      </w:pPr>
    </w:p>
    <w:p w:rsidR="000D180D" w:rsidRDefault="000D180D">
      <w:pPr>
        <w:autoSpaceDE w:val="0"/>
        <w:autoSpaceDN w:val="0"/>
        <w:adjustRightInd w:val="0"/>
        <w:spacing w:beforeLines="100" w:before="312"/>
        <w:rPr>
          <w:rFonts w:ascii="黑体" w:eastAsia="黑体" w:cs="黑体"/>
          <w:color w:val="000000"/>
          <w:kern w:val="0"/>
          <w:sz w:val="32"/>
          <w:szCs w:val="28"/>
        </w:rPr>
      </w:pPr>
    </w:p>
    <w:p w:rsidR="000D180D" w:rsidRDefault="000D180D">
      <w:pPr>
        <w:rPr>
          <w:rFonts w:ascii="黑体" w:eastAsia="黑体" w:cs="黑体"/>
          <w:sz w:val="32"/>
          <w:szCs w:val="28"/>
        </w:rPr>
      </w:pPr>
    </w:p>
    <w:p w:rsidR="000D180D" w:rsidRDefault="000D180D">
      <w:pPr>
        <w:rPr>
          <w:rFonts w:ascii="黑体" w:eastAsia="黑体" w:cs="黑体"/>
          <w:sz w:val="32"/>
          <w:szCs w:val="28"/>
        </w:rPr>
      </w:pPr>
    </w:p>
    <w:p w:rsidR="000D180D" w:rsidRDefault="000D180D">
      <w:pPr>
        <w:rPr>
          <w:rFonts w:ascii="黑体" w:eastAsia="黑体" w:cs="黑体"/>
          <w:sz w:val="32"/>
          <w:szCs w:val="28"/>
        </w:rPr>
      </w:pPr>
    </w:p>
    <w:p w:rsidR="000D180D" w:rsidRDefault="000D180D">
      <w:pPr>
        <w:rPr>
          <w:rFonts w:ascii="黑体" w:eastAsia="黑体" w:cs="黑体"/>
          <w:sz w:val="32"/>
          <w:szCs w:val="28"/>
        </w:rPr>
      </w:pPr>
    </w:p>
    <w:p w:rsidR="000D180D" w:rsidRDefault="000D180D">
      <w:pPr>
        <w:rPr>
          <w:rFonts w:ascii="黑体" w:eastAsia="黑体" w:cs="黑体"/>
          <w:sz w:val="32"/>
          <w:szCs w:val="28"/>
        </w:rPr>
      </w:pPr>
    </w:p>
    <w:p w:rsidR="000D180D" w:rsidRDefault="00012D52">
      <w:pPr>
        <w:widowControl/>
        <w:jc w:val="left"/>
        <w:rPr>
          <w:rFonts w:ascii="黑体" w:eastAsia="黑体" w:cs="黑体"/>
          <w:sz w:val="32"/>
          <w:szCs w:val="28"/>
        </w:rPr>
      </w:pPr>
      <w:r>
        <w:rPr>
          <w:rFonts w:ascii="黑体" w:eastAsia="黑体" w:cs="黑体"/>
          <w:sz w:val="32"/>
          <w:szCs w:val="28"/>
        </w:rPr>
        <w:br w:type="page"/>
      </w:r>
    </w:p>
    <w:p w:rsidR="000D180D" w:rsidRDefault="00012D52">
      <w:pPr>
        <w:autoSpaceDE w:val="0"/>
        <w:autoSpaceDN w:val="0"/>
        <w:adjustRightInd w:val="0"/>
        <w:spacing w:beforeLines="100" w:before="312"/>
        <w:jc w:val="center"/>
        <w:rPr>
          <w:rFonts w:ascii="黑体" w:eastAsia="黑体" w:cs="黑体"/>
          <w:color w:val="000000"/>
          <w:kern w:val="0"/>
          <w:sz w:val="36"/>
          <w:szCs w:val="36"/>
        </w:rPr>
      </w:pPr>
      <w:r>
        <w:rPr>
          <w:rFonts w:ascii="黑体" w:eastAsia="黑体" w:cs="黑体" w:hint="eastAsia"/>
          <w:color w:val="000000"/>
          <w:kern w:val="0"/>
          <w:sz w:val="36"/>
          <w:szCs w:val="36"/>
        </w:rPr>
        <w:lastRenderedPageBreak/>
        <w:t>厦门特宝生物工程股份有限公司</w:t>
      </w:r>
    </w:p>
    <w:p w:rsidR="000D180D" w:rsidRDefault="00012D52">
      <w:pPr>
        <w:autoSpaceDE w:val="0"/>
        <w:autoSpaceDN w:val="0"/>
        <w:adjustRightInd w:val="0"/>
        <w:spacing w:afterLines="100" w:after="312"/>
        <w:jc w:val="center"/>
        <w:rPr>
          <w:rFonts w:ascii="黑体" w:eastAsia="黑体" w:cs="黑体"/>
          <w:color w:val="000000"/>
          <w:kern w:val="0"/>
          <w:sz w:val="36"/>
          <w:szCs w:val="36"/>
        </w:rPr>
      </w:pPr>
      <w:r>
        <w:rPr>
          <w:rFonts w:ascii="黑体" w:eastAsia="黑体" w:cs="黑体" w:hint="eastAsia"/>
          <w:color w:val="000000"/>
          <w:kern w:val="0"/>
          <w:sz w:val="36"/>
          <w:szCs w:val="36"/>
        </w:rPr>
        <w:t>投资者关系活动记录表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5915"/>
      </w:tblGrid>
      <w:tr w:rsidR="000D180D">
        <w:trPr>
          <w:trHeight w:val="1698"/>
          <w:jc w:val="center"/>
        </w:trPr>
        <w:tc>
          <w:tcPr>
            <w:tcW w:w="1437" w:type="pct"/>
            <w:vAlign w:val="center"/>
          </w:tcPr>
          <w:p w:rsidR="000D180D" w:rsidRDefault="00012D52">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563" w:type="pct"/>
            <w:vAlign w:val="center"/>
          </w:tcPr>
          <w:p w:rsidR="000D180D" w:rsidRDefault="00012D52">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 xml:space="preserve">□公司现场接待     </w:t>
            </w:r>
            <w:r>
              <w:rPr>
                <w:rFonts w:ascii="宋体" w:hAnsi="Calibri" w:cs="宋体" w:hint="eastAsia"/>
                <w:color w:val="000000"/>
                <w:kern w:val="0"/>
                <w:sz w:val="24"/>
              </w:rPr>
              <w:sym w:font="Wingdings 2" w:char="F052"/>
            </w:r>
            <w:r>
              <w:rPr>
                <w:rFonts w:ascii="宋体" w:hAnsi="Calibri" w:cs="宋体" w:hint="eastAsia"/>
                <w:color w:val="000000"/>
                <w:kern w:val="0"/>
                <w:sz w:val="24"/>
              </w:rPr>
              <w:t>电话接待</w:t>
            </w:r>
          </w:p>
          <w:p w:rsidR="000D180D" w:rsidRDefault="00012D52">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□其它场所接待     □公开说明会</w:t>
            </w:r>
          </w:p>
          <w:p w:rsidR="000D180D" w:rsidRDefault="00012D52">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□定期报告说明会   □重要公告说明会</w:t>
            </w:r>
          </w:p>
        </w:tc>
      </w:tr>
      <w:tr w:rsidR="000D180D" w:rsidTr="00DD0763">
        <w:trPr>
          <w:trHeight w:val="3393"/>
          <w:jc w:val="center"/>
        </w:trPr>
        <w:tc>
          <w:tcPr>
            <w:tcW w:w="1437" w:type="pct"/>
            <w:vAlign w:val="center"/>
          </w:tcPr>
          <w:p w:rsidR="000D180D" w:rsidRDefault="00012D52">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563" w:type="pct"/>
            <w:vAlign w:val="center"/>
          </w:tcPr>
          <w:p w:rsidR="000D180D" w:rsidRDefault="00012D52" w:rsidP="00CB6ECD">
            <w:pPr>
              <w:autoSpaceDE w:val="0"/>
              <w:autoSpaceDN w:val="0"/>
              <w:adjustRightInd w:val="0"/>
              <w:spacing w:line="460" w:lineRule="exact"/>
              <w:rPr>
                <w:color w:val="000000"/>
                <w:kern w:val="0"/>
                <w:sz w:val="24"/>
              </w:rPr>
            </w:pPr>
            <w:proofErr w:type="gramStart"/>
            <w:r>
              <w:rPr>
                <w:rFonts w:hint="eastAsia"/>
                <w:color w:val="000000"/>
                <w:kern w:val="0"/>
                <w:sz w:val="24"/>
              </w:rPr>
              <w:t>国泰海通</w:t>
            </w:r>
            <w:proofErr w:type="gramEnd"/>
            <w:r>
              <w:rPr>
                <w:rFonts w:hint="eastAsia"/>
                <w:color w:val="000000"/>
                <w:kern w:val="0"/>
                <w:sz w:val="24"/>
              </w:rPr>
              <w:t>证券；国金证券；兴业证券；银河证券；平安证券；国海证券；东方证券；东海证券；西部证券；方正证券；中信证券；西南证券；</w:t>
            </w:r>
            <w:proofErr w:type="gramStart"/>
            <w:r>
              <w:rPr>
                <w:rFonts w:hint="eastAsia"/>
                <w:color w:val="000000"/>
                <w:kern w:val="0"/>
                <w:sz w:val="24"/>
              </w:rPr>
              <w:t>申万证券</w:t>
            </w:r>
            <w:proofErr w:type="gramEnd"/>
            <w:r>
              <w:rPr>
                <w:rFonts w:hint="eastAsia"/>
                <w:color w:val="000000"/>
                <w:kern w:val="0"/>
                <w:sz w:val="24"/>
              </w:rPr>
              <w:t>；华泰证券；中泰证券；中邮证券；华源证券；华夏基金管理有限公司；南方基金管理股份有限公司；景顺长城基金；博时基金管理有限公司；</w:t>
            </w:r>
            <w:proofErr w:type="gramStart"/>
            <w:r>
              <w:rPr>
                <w:rFonts w:hint="eastAsia"/>
                <w:color w:val="000000"/>
                <w:kern w:val="0"/>
                <w:sz w:val="24"/>
              </w:rPr>
              <w:t>工银瑞信</w:t>
            </w:r>
            <w:proofErr w:type="gramEnd"/>
            <w:r>
              <w:rPr>
                <w:rFonts w:hint="eastAsia"/>
                <w:color w:val="000000"/>
                <w:kern w:val="0"/>
                <w:sz w:val="24"/>
              </w:rPr>
              <w:t>基金管理有限公司；国泰基金管理有限公司；</w:t>
            </w:r>
            <w:proofErr w:type="gramStart"/>
            <w:r>
              <w:rPr>
                <w:rFonts w:hint="eastAsia"/>
                <w:color w:val="000000"/>
                <w:kern w:val="0"/>
                <w:sz w:val="24"/>
              </w:rPr>
              <w:t>天弘基金</w:t>
            </w:r>
            <w:proofErr w:type="gramEnd"/>
            <w:r>
              <w:rPr>
                <w:rFonts w:hint="eastAsia"/>
                <w:color w:val="000000"/>
                <w:kern w:val="0"/>
                <w:sz w:val="24"/>
              </w:rPr>
              <w:t>管理有限公司；兴</w:t>
            </w:r>
            <w:proofErr w:type="gramStart"/>
            <w:r>
              <w:rPr>
                <w:rFonts w:hint="eastAsia"/>
                <w:color w:val="000000"/>
                <w:kern w:val="0"/>
                <w:sz w:val="24"/>
              </w:rPr>
              <w:t>银基金</w:t>
            </w:r>
            <w:proofErr w:type="gramEnd"/>
            <w:r>
              <w:rPr>
                <w:rFonts w:hint="eastAsia"/>
                <w:color w:val="000000"/>
                <w:kern w:val="0"/>
                <w:sz w:val="24"/>
              </w:rPr>
              <w:t>管理有限责任公司；</w:t>
            </w:r>
            <w:proofErr w:type="gramStart"/>
            <w:r>
              <w:rPr>
                <w:rFonts w:hint="eastAsia"/>
                <w:color w:val="000000"/>
                <w:kern w:val="0"/>
                <w:sz w:val="24"/>
              </w:rPr>
              <w:t>汇安基金</w:t>
            </w:r>
            <w:proofErr w:type="gramEnd"/>
            <w:r>
              <w:rPr>
                <w:rFonts w:hint="eastAsia"/>
                <w:color w:val="000000"/>
                <w:kern w:val="0"/>
                <w:sz w:val="24"/>
              </w:rPr>
              <w:t>管理有限责任公司；</w:t>
            </w:r>
            <w:proofErr w:type="gramStart"/>
            <w:r>
              <w:rPr>
                <w:rFonts w:hint="eastAsia"/>
                <w:color w:val="000000"/>
                <w:kern w:val="0"/>
                <w:sz w:val="24"/>
              </w:rPr>
              <w:t>信达澳亚基</w:t>
            </w:r>
            <w:proofErr w:type="gramEnd"/>
            <w:r>
              <w:rPr>
                <w:rFonts w:hint="eastAsia"/>
                <w:color w:val="000000"/>
                <w:kern w:val="0"/>
                <w:sz w:val="24"/>
              </w:rPr>
              <w:t>金；摩根士丹利华</w:t>
            </w:r>
            <w:proofErr w:type="gramStart"/>
            <w:r>
              <w:rPr>
                <w:rFonts w:hint="eastAsia"/>
                <w:color w:val="000000"/>
                <w:kern w:val="0"/>
                <w:sz w:val="24"/>
              </w:rPr>
              <w:t>鑫</w:t>
            </w:r>
            <w:proofErr w:type="gramEnd"/>
            <w:r>
              <w:rPr>
                <w:rFonts w:hint="eastAsia"/>
                <w:color w:val="000000"/>
                <w:kern w:val="0"/>
                <w:sz w:val="24"/>
              </w:rPr>
              <w:t>基金管理有限公司；</w:t>
            </w:r>
            <w:proofErr w:type="gramStart"/>
            <w:r>
              <w:rPr>
                <w:rFonts w:hint="eastAsia"/>
                <w:color w:val="000000"/>
                <w:kern w:val="0"/>
                <w:sz w:val="24"/>
              </w:rPr>
              <w:t>浦银安盛基金</w:t>
            </w:r>
            <w:proofErr w:type="gramEnd"/>
            <w:r>
              <w:rPr>
                <w:rFonts w:hint="eastAsia"/>
                <w:color w:val="000000"/>
                <w:kern w:val="0"/>
                <w:sz w:val="24"/>
              </w:rPr>
              <w:t>管理有限公司；上海东方证券资产管理有限公司；南华基金管理有限公司；富安达基金管理有限公司；银河基金管理有限公司；中</w:t>
            </w:r>
            <w:proofErr w:type="gramStart"/>
            <w:r>
              <w:rPr>
                <w:rFonts w:hint="eastAsia"/>
                <w:color w:val="000000"/>
                <w:kern w:val="0"/>
                <w:sz w:val="24"/>
              </w:rPr>
              <w:t>海基金</w:t>
            </w:r>
            <w:proofErr w:type="gramEnd"/>
            <w:r>
              <w:rPr>
                <w:rFonts w:hint="eastAsia"/>
                <w:color w:val="000000"/>
                <w:kern w:val="0"/>
                <w:sz w:val="24"/>
              </w:rPr>
              <w:t>管理有限公司；金鹰基金管理有限公司（广州）；长江养老保险；</w:t>
            </w:r>
            <w:r>
              <w:rPr>
                <w:rFonts w:hint="eastAsia"/>
                <w:color w:val="000000"/>
                <w:kern w:val="0"/>
                <w:sz w:val="24"/>
              </w:rPr>
              <w:t>HBM Partners Hong Kong Limited</w:t>
            </w:r>
            <w:r>
              <w:rPr>
                <w:rFonts w:hint="eastAsia"/>
                <w:color w:val="000000"/>
                <w:kern w:val="0"/>
                <w:sz w:val="24"/>
              </w:rPr>
              <w:t>；华夏</w:t>
            </w:r>
            <w:proofErr w:type="gramStart"/>
            <w:r>
              <w:rPr>
                <w:rFonts w:hint="eastAsia"/>
                <w:color w:val="000000"/>
                <w:kern w:val="0"/>
                <w:sz w:val="24"/>
              </w:rPr>
              <w:t>久盈资产</w:t>
            </w:r>
            <w:proofErr w:type="gramEnd"/>
            <w:r>
              <w:rPr>
                <w:rFonts w:hint="eastAsia"/>
                <w:color w:val="000000"/>
                <w:kern w:val="0"/>
                <w:sz w:val="24"/>
              </w:rPr>
              <w:t>管理有限责任公司；</w:t>
            </w:r>
            <w:proofErr w:type="gramStart"/>
            <w:r>
              <w:rPr>
                <w:rFonts w:hint="eastAsia"/>
                <w:color w:val="000000"/>
                <w:kern w:val="0"/>
                <w:sz w:val="24"/>
              </w:rPr>
              <w:t>盘京投资</w:t>
            </w:r>
            <w:proofErr w:type="gramEnd"/>
            <w:r>
              <w:rPr>
                <w:rFonts w:hint="eastAsia"/>
                <w:color w:val="000000"/>
                <w:kern w:val="0"/>
                <w:sz w:val="24"/>
              </w:rPr>
              <w:t>管理中心（有限合伙）；行</w:t>
            </w:r>
            <w:proofErr w:type="gramStart"/>
            <w:r>
              <w:rPr>
                <w:rFonts w:hint="eastAsia"/>
                <w:color w:val="000000"/>
                <w:kern w:val="0"/>
                <w:sz w:val="24"/>
              </w:rPr>
              <w:t>健</w:t>
            </w:r>
            <w:r w:rsidR="00A05AF3">
              <w:rPr>
                <w:rFonts w:hint="eastAsia"/>
                <w:color w:val="000000"/>
                <w:kern w:val="0"/>
                <w:sz w:val="24"/>
              </w:rPr>
              <w:t>资产</w:t>
            </w:r>
            <w:proofErr w:type="gramEnd"/>
            <w:r>
              <w:rPr>
                <w:rFonts w:hint="eastAsia"/>
                <w:color w:val="000000"/>
                <w:kern w:val="0"/>
                <w:sz w:val="24"/>
              </w:rPr>
              <w:t>管理有限公司（</w:t>
            </w:r>
            <w:r>
              <w:rPr>
                <w:rFonts w:hint="eastAsia"/>
                <w:color w:val="000000"/>
                <w:kern w:val="0"/>
                <w:sz w:val="24"/>
              </w:rPr>
              <w:t>Lily Wang</w:t>
            </w:r>
            <w:r>
              <w:rPr>
                <w:rFonts w:hint="eastAsia"/>
                <w:color w:val="000000"/>
                <w:kern w:val="0"/>
                <w:sz w:val="24"/>
              </w:rPr>
              <w:t>）；诚旸投资；光大保德信基金管理有限公司；中</w:t>
            </w:r>
            <w:proofErr w:type="gramStart"/>
            <w:r>
              <w:rPr>
                <w:rFonts w:hint="eastAsia"/>
                <w:color w:val="000000"/>
                <w:kern w:val="0"/>
                <w:sz w:val="24"/>
              </w:rPr>
              <w:t>银资管</w:t>
            </w:r>
            <w:proofErr w:type="gramEnd"/>
            <w:r>
              <w:rPr>
                <w:rFonts w:hint="eastAsia"/>
                <w:color w:val="000000"/>
                <w:kern w:val="0"/>
                <w:sz w:val="24"/>
              </w:rPr>
              <w:t>；大家资产管理有限责任公司；中国人</w:t>
            </w:r>
            <w:proofErr w:type="gramStart"/>
            <w:r>
              <w:rPr>
                <w:rFonts w:hint="eastAsia"/>
                <w:color w:val="000000"/>
                <w:kern w:val="0"/>
                <w:sz w:val="24"/>
              </w:rPr>
              <w:t>寿资产</w:t>
            </w:r>
            <w:proofErr w:type="gramEnd"/>
            <w:r>
              <w:rPr>
                <w:rFonts w:hint="eastAsia"/>
                <w:color w:val="000000"/>
                <w:kern w:val="0"/>
                <w:sz w:val="24"/>
              </w:rPr>
              <w:t>管理有限公司；中信资管；东方证券自营；拾贝投资管理（北京）有限公司；</w:t>
            </w:r>
            <w:proofErr w:type="gramStart"/>
            <w:r>
              <w:rPr>
                <w:rFonts w:hint="eastAsia"/>
                <w:color w:val="000000"/>
                <w:kern w:val="0"/>
                <w:sz w:val="24"/>
              </w:rPr>
              <w:t>征金资本</w:t>
            </w:r>
            <w:proofErr w:type="gramEnd"/>
            <w:r>
              <w:rPr>
                <w:rFonts w:hint="eastAsia"/>
                <w:color w:val="000000"/>
                <w:kern w:val="0"/>
                <w:sz w:val="24"/>
              </w:rPr>
              <w:t>；坚果投资；东海基金；东海证券自营；大连道合投资管理有限公司；</w:t>
            </w:r>
            <w:proofErr w:type="gramStart"/>
            <w:r>
              <w:rPr>
                <w:rFonts w:hint="eastAsia"/>
                <w:color w:val="000000"/>
                <w:kern w:val="0"/>
                <w:sz w:val="24"/>
              </w:rPr>
              <w:t>中域投资</w:t>
            </w:r>
            <w:proofErr w:type="gramEnd"/>
            <w:r>
              <w:rPr>
                <w:rFonts w:hint="eastAsia"/>
                <w:color w:val="000000"/>
                <w:kern w:val="0"/>
                <w:sz w:val="24"/>
              </w:rPr>
              <w:t>；湖南源乘私募基金管理有限公司；国</w:t>
            </w:r>
            <w:proofErr w:type="gramStart"/>
            <w:r>
              <w:rPr>
                <w:rFonts w:hint="eastAsia"/>
                <w:color w:val="000000"/>
                <w:kern w:val="0"/>
                <w:sz w:val="24"/>
              </w:rPr>
              <w:t>任财产</w:t>
            </w:r>
            <w:proofErr w:type="gramEnd"/>
            <w:r>
              <w:rPr>
                <w:rFonts w:hint="eastAsia"/>
                <w:color w:val="000000"/>
                <w:kern w:val="0"/>
                <w:sz w:val="24"/>
              </w:rPr>
              <w:t>保险股份有限公司；驼铃资产；中欧瑞博；西部证券自营；上海同犇投资管理中心（有限合伙）；</w:t>
            </w:r>
            <w:r>
              <w:rPr>
                <w:rFonts w:hint="eastAsia"/>
                <w:color w:val="000000"/>
                <w:kern w:val="0"/>
                <w:sz w:val="24"/>
              </w:rPr>
              <w:lastRenderedPageBreak/>
              <w:t>中</w:t>
            </w:r>
            <w:proofErr w:type="gramStart"/>
            <w:r>
              <w:rPr>
                <w:rFonts w:hint="eastAsia"/>
                <w:color w:val="000000"/>
                <w:kern w:val="0"/>
                <w:sz w:val="24"/>
              </w:rPr>
              <w:t>融汇</w:t>
            </w:r>
            <w:proofErr w:type="gramEnd"/>
            <w:r>
              <w:rPr>
                <w:rFonts w:hint="eastAsia"/>
                <w:color w:val="000000"/>
                <w:kern w:val="0"/>
                <w:sz w:val="24"/>
              </w:rPr>
              <w:t>信投资有限公司；华宝基金；赢利基金；国富人寿保险股份有限公司；蜂巢基金管理有限公司；深圳市千</w:t>
            </w:r>
            <w:proofErr w:type="gramStart"/>
            <w:r>
              <w:rPr>
                <w:rFonts w:hint="eastAsia"/>
                <w:color w:val="000000"/>
                <w:kern w:val="0"/>
                <w:sz w:val="24"/>
              </w:rPr>
              <w:t>榕</w:t>
            </w:r>
            <w:proofErr w:type="gramEnd"/>
            <w:r>
              <w:rPr>
                <w:rFonts w:hint="eastAsia"/>
                <w:color w:val="000000"/>
                <w:kern w:val="0"/>
                <w:sz w:val="24"/>
              </w:rPr>
              <w:t>资产管理有限公司；</w:t>
            </w:r>
            <w:proofErr w:type="gramStart"/>
            <w:r>
              <w:rPr>
                <w:rFonts w:hint="eastAsia"/>
                <w:color w:val="000000"/>
                <w:kern w:val="0"/>
                <w:sz w:val="24"/>
              </w:rPr>
              <w:t>深圳翼虎投资</w:t>
            </w:r>
            <w:proofErr w:type="gramEnd"/>
            <w:r>
              <w:rPr>
                <w:rFonts w:hint="eastAsia"/>
                <w:color w:val="000000"/>
                <w:kern w:val="0"/>
                <w:sz w:val="24"/>
              </w:rPr>
              <w:t>；杭州</w:t>
            </w:r>
            <w:proofErr w:type="gramStart"/>
            <w:r>
              <w:rPr>
                <w:rFonts w:hint="eastAsia"/>
                <w:color w:val="000000"/>
                <w:kern w:val="0"/>
                <w:sz w:val="24"/>
              </w:rPr>
              <w:t>深沃投资</w:t>
            </w:r>
            <w:proofErr w:type="gramEnd"/>
            <w:r>
              <w:rPr>
                <w:rFonts w:hint="eastAsia"/>
                <w:color w:val="000000"/>
                <w:kern w:val="0"/>
                <w:sz w:val="24"/>
              </w:rPr>
              <w:t>管理合伙企业（有限合伙）；福建辰盛资产管理有限公司；</w:t>
            </w:r>
            <w:proofErr w:type="gramStart"/>
            <w:r>
              <w:rPr>
                <w:rFonts w:hint="eastAsia"/>
                <w:color w:val="000000"/>
                <w:kern w:val="0"/>
                <w:sz w:val="24"/>
              </w:rPr>
              <w:t>幂</w:t>
            </w:r>
            <w:proofErr w:type="gramEnd"/>
            <w:r>
              <w:rPr>
                <w:rFonts w:hint="eastAsia"/>
                <w:color w:val="000000"/>
                <w:kern w:val="0"/>
                <w:sz w:val="24"/>
              </w:rPr>
              <w:t>方资本；上海高恩私募基金管理有限公司；昆仑健康保险股份有限公司；江海证券自营；上海途灵资产管理有限公司；隆</w:t>
            </w:r>
            <w:proofErr w:type="gramStart"/>
            <w:r>
              <w:rPr>
                <w:rFonts w:hint="eastAsia"/>
                <w:color w:val="000000"/>
                <w:kern w:val="0"/>
                <w:sz w:val="24"/>
              </w:rPr>
              <w:t>象</w:t>
            </w:r>
            <w:proofErr w:type="gramEnd"/>
            <w:r>
              <w:rPr>
                <w:rFonts w:hint="eastAsia"/>
                <w:color w:val="000000"/>
                <w:kern w:val="0"/>
                <w:sz w:val="24"/>
              </w:rPr>
              <w:t>资本；</w:t>
            </w:r>
            <w:proofErr w:type="gramStart"/>
            <w:r>
              <w:rPr>
                <w:rFonts w:hint="eastAsia"/>
                <w:color w:val="000000"/>
                <w:kern w:val="0"/>
                <w:sz w:val="24"/>
              </w:rPr>
              <w:t>弘尚资产</w:t>
            </w:r>
            <w:proofErr w:type="gramEnd"/>
          </w:p>
        </w:tc>
      </w:tr>
      <w:tr w:rsidR="000D180D">
        <w:trPr>
          <w:trHeight w:val="624"/>
          <w:jc w:val="center"/>
        </w:trPr>
        <w:tc>
          <w:tcPr>
            <w:tcW w:w="1437" w:type="pct"/>
            <w:vAlign w:val="center"/>
          </w:tcPr>
          <w:p w:rsidR="000D180D" w:rsidRDefault="00012D52">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lastRenderedPageBreak/>
              <w:t>时间</w:t>
            </w:r>
          </w:p>
        </w:tc>
        <w:tc>
          <w:tcPr>
            <w:tcW w:w="3563" w:type="pct"/>
            <w:vAlign w:val="center"/>
          </w:tcPr>
          <w:p w:rsidR="000D180D" w:rsidRDefault="00012D52">
            <w:pPr>
              <w:autoSpaceDE w:val="0"/>
              <w:autoSpaceDN w:val="0"/>
              <w:adjustRightInd w:val="0"/>
              <w:spacing w:line="460" w:lineRule="exact"/>
              <w:rPr>
                <w:color w:val="000000"/>
                <w:kern w:val="0"/>
                <w:sz w:val="24"/>
              </w:rPr>
            </w:pPr>
            <w:r>
              <w:rPr>
                <w:rFonts w:hint="eastAsia"/>
                <w:kern w:val="0"/>
                <w:sz w:val="24"/>
              </w:rPr>
              <w:t>2025</w:t>
            </w:r>
            <w:r>
              <w:rPr>
                <w:rFonts w:hint="eastAsia"/>
                <w:kern w:val="0"/>
                <w:sz w:val="24"/>
              </w:rPr>
              <w:t>年</w:t>
            </w:r>
            <w:r>
              <w:rPr>
                <w:rFonts w:hint="eastAsia"/>
                <w:kern w:val="0"/>
                <w:sz w:val="24"/>
              </w:rPr>
              <w:t>8</w:t>
            </w:r>
            <w:r>
              <w:rPr>
                <w:rFonts w:hint="eastAsia"/>
                <w:kern w:val="0"/>
                <w:sz w:val="24"/>
              </w:rPr>
              <w:t>月</w:t>
            </w:r>
            <w:r>
              <w:rPr>
                <w:rFonts w:hint="eastAsia"/>
                <w:kern w:val="0"/>
                <w:sz w:val="24"/>
              </w:rPr>
              <w:t>21</w:t>
            </w:r>
            <w:r>
              <w:rPr>
                <w:rFonts w:hint="eastAsia"/>
                <w:kern w:val="0"/>
                <w:sz w:val="24"/>
              </w:rPr>
              <w:t>日</w:t>
            </w:r>
            <w:r>
              <w:rPr>
                <w:rFonts w:hint="eastAsia"/>
                <w:kern w:val="0"/>
                <w:sz w:val="24"/>
              </w:rPr>
              <w:t xml:space="preserve"> 09:</w:t>
            </w:r>
            <w:r>
              <w:rPr>
                <w:kern w:val="0"/>
                <w:sz w:val="24"/>
              </w:rPr>
              <w:t>30-</w:t>
            </w:r>
            <w:r>
              <w:rPr>
                <w:rFonts w:hint="eastAsia"/>
                <w:kern w:val="0"/>
                <w:sz w:val="24"/>
              </w:rPr>
              <w:t>10:</w:t>
            </w:r>
            <w:r>
              <w:rPr>
                <w:kern w:val="0"/>
                <w:sz w:val="24"/>
              </w:rPr>
              <w:t>30</w:t>
            </w:r>
          </w:p>
        </w:tc>
      </w:tr>
      <w:tr w:rsidR="000D180D">
        <w:trPr>
          <w:trHeight w:val="624"/>
          <w:jc w:val="center"/>
        </w:trPr>
        <w:tc>
          <w:tcPr>
            <w:tcW w:w="1437" w:type="pct"/>
            <w:vAlign w:val="center"/>
          </w:tcPr>
          <w:p w:rsidR="000D180D" w:rsidRDefault="00012D52">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563" w:type="pct"/>
            <w:vAlign w:val="center"/>
          </w:tcPr>
          <w:p w:rsidR="000D180D" w:rsidRDefault="00012D52">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公司会议室</w:t>
            </w:r>
          </w:p>
        </w:tc>
      </w:tr>
      <w:tr w:rsidR="000D180D">
        <w:trPr>
          <w:trHeight w:val="624"/>
          <w:jc w:val="center"/>
        </w:trPr>
        <w:tc>
          <w:tcPr>
            <w:tcW w:w="1437" w:type="pct"/>
            <w:vAlign w:val="center"/>
          </w:tcPr>
          <w:p w:rsidR="000D180D" w:rsidRDefault="00012D52">
            <w:pPr>
              <w:pStyle w:val="af5"/>
              <w:ind w:firstLineChars="0" w:firstLine="0"/>
              <w:jc w:val="center"/>
              <w:rPr>
                <w:shd w:val="clear" w:color="auto" w:fill="auto"/>
              </w:rPr>
            </w:pPr>
            <w:r>
              <w:rPr>
                <w:rFonts w:hint="eastAsia"/>
                <w:shd w:val="clear" w:color="auto" w:fill="auto"/>
              </w:rPr>
              <w:t>公司接待人员姓名</w:t>
            </w:r>
          </w:p>
        </w:tc>
        <w:tc>
          <w:tcPr>
            <w:tcW w:w="3563" w:type="pct"/>
            <w:vAlign w:val="center"/>
          </w:tcPr>
          <w:p w:rsidR="000D180D" w:rsidRDefault="00012D52">
            <w:pPr>
              <w:pStyle w:val="af5"/>
              <w:ind w:firstLineChars="0" w:firstLine="0"/>
              <w:rPr>
                <w:shd w:val="clear" w:color="auto" w:fill="auto"/>
              </w:rPr>
            </w:pPr>
            <w:r>
              <w:rPr>
                <w:rFonts w:hint="eastAsia"/>
                <w:shd w:val="clear" w:color="auto" w:fill="auto"/>
              </w:rPr>
              <w:t>董事长、总经理</w:t>
            </w:r>
            <w:r>
              <w:rPr>
                <w:rFonts w:hint="eastAsia"/>
                <w:shd w:val="clear" w:color="auto" w:fill="auto"/>
              </w:rPr>
              <w:t xml:space="preserve">   </w:t>
            </w:r>
            <w:r>
              <w:rPr>
                <w:rFonts w:hint="eastAsia"/>
                <w:shd w:val="clear" w:color="auto" w:fill="auto"/>
              </w:rPr>
              <w:t>孙黎先生</w:t>
            </w:r>
          </w:p>
          <w:p w:rsidR="000D180D" w:rsidRDefault="00012D52">
            <w:pPr>
              <w:pStyle w:val="af5"/>
              <w:ind w:firstLineChars="0" w:firstLine="0"/>
              <w:rPr>
                <w:shd w:val="clear" w:color="auto" w:fill="auto"/>
              </w:rPr>
            </w:pPr>
            <w:r>
              <w:rPr>
                <w:rFonts w:hint="eastAsia"/>
                <w:shd w:val="clear" w:color="auto" w:fill="auto"/>
              </w:rPr>
              <w:t>董事长助理</w:t>
            </w:r>
            <w:r>
              <w:rPr>
                <w:rFonts w:hint="eastAsia"/>
                <w:shd w:val="clear" w:color="auto" w:fill="auto"/>
              </w:rPr>
              <w:t xml:space="preserve">   </w:t>
            </w:r>
            <w:r>
              <w:rPr>
                <w:rFonts w:hint="eastAsia"/>
                <w:shd w:val="clear" w:color="auto" w:fill="auto"/>
              </w:rPr>
              <w:t>孙志里先生</w:t>
            </w:r>
          </w:p>
          <w:p w:rsidR="000D180D" w:rsidRDefault="00012D52">
            <w:pPr>
              <w:pStyle w:val="af5"/>
              <w:ind w:firstLineChars="0" w:firstLine="0"/>
              <w:rPr>
                <w:shd w:val="clear" w:color="auto" w:fill="auto"/>
              </w:rPr>
            </w:pPr>
            <w:r>
              <w:rPr>
                <w:rFonts w:hint="eastAsia"/>
                <w:shd w:val="clear" w:color="auto" w:fill="auto"/>
              </w:rPr>
              <w:t>副总经理、</w:t>
            </w:r>
            <w:r w:rsidR="00125FC4">
              <w:rPr>
                <w:rFonts w:hint="eastAsia"/>
                <w:shd w:val="clear" w:color="auto" w:fill="auto"/>
              </w:rPr>
              <w:t>董事会秘书</w:t>
            </w:r>
            <w:r>
              <w:rPr>
                <w:rFonts w:hint="eastAsia"/>
                <w:shd w:val="clear" w:color="auto" w:fill="auto"/>
              </w:rPr>
              <w:t>、财务总监</w:t>
            </w:r>
            <w:r>
              <w:rPr>
                <w:rFonts w:hint="eastAsia"/>
                <w:shd w:val="clear" w:color="auto" w:fill="auto"/>
              </w:rPr>
              <w:t xml:space="preserve">   </w:t>
            </w:r>
            <w:r>
              <w:rPr>
                <w:rFonts w:hint="eastAsia"/>
                <w:shd w:val="clear" w:color="auto" w:fill="auto"/>
              </w:rPr>
              <w:t>杨毅玲女士</w:t>
            </w:r>
          </w:p>
        </w:tc>
      </w:tr>
      <w:tr w:rsidR="00BF46B9">
        <w:trPr>
          <w:trHeight w:val="699"/>
          <w:jc w:val="center"/>
        </w:trPr>
        <w:tc>
          <w:tcPr>
            <w:tcW w:w="1437" w:type="pct"/>
            <w:vAlign w:val="center"/>
          </w:tcPr>
          <w:p w:rsidR="00BF46B9" w:rsidRDefault="00BF46B9" w:rsidP="00BF46B9">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tc>
        <w:tc>
          <w:tcPr>
            <w:tcW w:w="3563" w:type="pct"/>
            <w:vAlign w:val="center"/>
          </w:tcPr>
          <w:p w:rsidR="00414DDC" w:rsidRDefault="00414DDC" w:rsidP="00414DDC">
            <w:pPr>
              <w:pStyle w:val="af5"/>
              <w:spacing w:beforeLines="50" w:before="156" w:afterLines="50" w:after="156"/>
              <w:ind w:firstLine="482"/>
              <w:rPr>
                <w:b/>
                <w:color w:val="000000"/>
                <w:szCs w:val="24"/>
              </w:rPr>
            </w:pPr>
            <w:r>
              <w:rPr>
                <w:rFonts w:ascii="宋体" w:hAnsi="宋体" w:hint="eastAsia"/>
                <w:b/>
                <w:color w:val="000000"/>
              </w:rPr>
              <w:t>一、现在针对乙肝功能性治愈有各种联</w:t>
            </w:r>
            <w:proofErr w:type="gramStart"/>
            <w:r>
              <w:rPr>
                <w:rFonts w:ascii="宋体" w:hAnsi="宋体" w:hint="eastAsia"/>
                <w:b/>
                <w:color w:val="000000"/>
              </w:rPr>
              <w:t>用方案</w:t>
            </w:r>
            <w:proofErr w:type="gramEnd"/>
            <w:r>
              <w:rPr>
                <w:rFonts w:ascii="宋体" w:hAnsi="宋体" w:hint="eastAsia"/>
                <w:b/>
                <w:color w:val="000000"/>
              </w:rPr>
              <w:t>在临床阶段，派格宾也参与到一些方案的联用中，如何看待乙肝功能性治愈的发展？</w:t>
            </w:r>
          </w:p>
          <w:p w:rsidR="00414DDC" w:rsidRDefault="00414DDC" w:rsidP="00414DDC">
            <w:pPr>
              <w:pStyle w:val="af5"/>
              <w:spacing w:beforeLines="50" w:before="156" w:afterLines="50" w:after="156"/>
              <w:ind w:firstLine="480"/>
              <w:rPr>
                <w:color w:val="000000"/>
              </w:rPr>
            </w:pPr>
            <w:r>
              <w:rPr>
                <w:rFonts w:ascii="宋体" w:hAnsi="宋体" w:hint="eastAsia"/>
                <w:color w:val="000000"/>
              </w:rPr>
              <w:t>答：现阶段无论是</w:t>
            </w:r>
            <w:r>
              <w:rPr>
                <w:rFonts w:hint="eastAsia"/>
                <w:color w:val="000000"/>
              </w:rPr>
              <w:t>siRNA</w:t>
            </w:r>
            <w:r>
              <w:rPr>
                <w:rFonts w:ascii="宋体" w:hAnsi="宋体" w:hint="eastAsia"/>
                <w:color w:val="000000"/>
              </w:rPr>
              <w:t>、</w:t>
            </w:r>
            <w:proofErr w:type="gramStart"/>
            <w:r>
              <w:rPr>
                <w:rFonts w:ascii="宋体" w:hAnsi="宋体" w:hint="eastAsia"/>
                <w:color w:val="000000"/>
              </w:rPr>
              <w:t>核衣壳</w:t>
            </w:r>
            <w:proofErr w:type="gramEnd"/>
            <w:r>
              <w:rPr>
                <w:rFonts w:ascii="宋体" w:hAnsi="宋体" w:hint="eastAsia"/>
                <w:color w:val="000000"/>
              </w:rPr>
              <w:t>、抑制病毒复制的药物组合方案，还是干扰素等免疫调节剂药物，在慢乙肝临床治愈假设上均需回答一个基础科学问题：慢乙肝临床治愈的实现是通过破坏或清除已经感染的肝脏细胞和整合细胞，还是在不破坏细胞的前提下清除病毒。当前，以聚乙二醇干扰素或反义核酸为基础的疗法，均在治疗过程中可以观察到显著的</w:t>
            </w:r>
            <w:r>
              <w:rPr>
                <w:rFonts w:hint="eastAsia"/>
                <w:color w:val="000000"/>
              </w:rPr>
              <w:t>ALT</w:t>
            </w:r>
            <w:r>
              <w:rPr>
                <w:rFonts w:ascii="宋体" w:hAnsi="宋体" w:hint="eastAsia"/>
                <w:color w:val="000000"/>
              </w:rPr>
              <w:t>快速升高，可能体现了感染细胞和整合细胞被清除所产生的生物学效应。基于现有科学研究，公司认为目前通过破坏乙肝相关感染细胞实现临床治愈的路径可能性更大。未来，乙肝临床治愈将趋于由不同机制药物与干扰素、核苷（酸）类似物进行更具体的优化和联合，联合和优化方式的提升将为患者带来更多福音</w:t>
            </w:r>
            <w:r>
              <w:rPr>
                <w:rFonts w:ascii="宋体" w:hAnsi="宋体"/>
                <w:color w:val="000000"/>
              </w:rPr>
              <w:t>。</w:t>
            </w:r>
          </w:p>
          <w:p w:rsidR="00414DDC" w:rsidRDefault="00414DDC" w:rsidP="00414DDC">
            <w:pPr>
              <w:pStyle w:val="af5"/>
              <w:spacing w:beforeLines="50" w:before="156" w:afterLines="50" w:after="156"/>
              <w:ind w:firstLine="482"/>
              <w:rPr>
                <w:b/>
                <w:color w:val="000000"/>
                <w:shd w:val="clear" w:color="auto" w:fill="auto"/>
              </w:rPr>
            </w:pPr>
            <w:r>
              <w:rPr>
                <w:rFonts w:ascii="宋体" w:hAnsi="宋体" w:hint="eastAsia"/>
                <w:b/>
                <w:color w:val="000000"/>
              </w:rPr>
              <w:lastRenderedPageBreak/>
              <w:t>二、慢乙肝治愈大会上</w:t>
            </w:r>
            <w:r>
              <w:rPr>
                <w:rFonts w:hint="eastAsia"/>
                <w:b/>
                <w:color w:val="000000"/>
              </w:rPr>
              <w:t>PI</w:t>
            </w:r>
            <w:r>
              <w:rPr>
                <w:rFonts w:ascii="宋体" w:hAnsi="宋体" w:hint="eastAsia"/>
                <w:b/>
                <w:color w:val="000000"/>
              </w:rPr>
              <w:t>披露全国慢乙肝门诊已经超过千家，公司预计未来慢乙肝治愈门诊数量还有多少上升空间？是否会实现三甲医院全覆盖</w:t>
            </w:r>
            <w:r>
              <w:rPr>
                <w:rStyle w:val="15"/>
                <w:rFonts w:ascii="宋体" w:hAnsi="宋体" w:hint="eastAsia"/>
                <w:color w:val="000000"/>
              </w:rPr>
              <w:t>？</w:t>
            </w:r>
          </w:p>
          <w:p w:rsidR="00414DDC" w:rsidRDefault="00414DDC" w:rsidP="00414DDC">
            <w:pPr>
              <w:pStyle w:val="af5"/>
              <w:ind w:firstLine="480"/>
              <w:rPr>
                <w:color w:val="000000"/>
              </w:rPr>
            </w:pPr>
            <w:r>
              <w:rPr>
                <w:rFonts w:ascii="宋体" w:hAnsi="宋体" w:hint="eastAsia"/>
                <w:color w:val="000000"/>
              </w:rPr>
              <w:t>答：慢乙肝临床治愈门诊旨在实现乙肝诊疗网络广覆盖，为乙肝患者提供“全病程科学管理”的乙肝诊疗新模式，通过规范化治疗，帮助更多患者实现疾病控制，部分优势患者可以追求临床治愈，最终实现预防乙肝相关肝癌与肝硬化的目标。公司认为，各医疗机构将结合当地乙肝感染者规模和临床需求、专家团队的技术能力，综合评估门诊建设目标。</w:t>
            </w:r>
          </w:p>
          <w:p w:rsidR="00414DDC" w:rsidRDefault="00414DDC" w:rsidP="00414DDC">
            <w:pPr>
              <w:pStyle w:val="af5"/>
              <w:spacing w:beforeLines="50" w:before="156" w:afterLines="50" w:after="156"/>
              <w:ind w:firstLine="482"/>
              <w:rPr>
                <w:b/>
                <w:color w:val="000000"/>
                <w:shd w:val="clear" w:color="auto" w:fill="auto"/>
              </w:rPr>
            </w:pPr>
            <w:r>
              <w:rPr>
                <w:rFonts w:ascii="宋体" w:hAnsi="宋体" w:hint="eastAsia"/>
                <w:b/>
                <w:color w:val="000000"/>
              </w:rPr>
              <w:t>三、公司和</w:t>
            </w:r>
            <w:r>
              <w:rPr>
                <w:rFonts w:hint="eastAsia"/>
                <w:b/>
                <w:color w:val="000000"/>
              </w:rPr>
              <w:t>Aligos</w:t>
            </w:r>
            <w:r>
              <w:rPr>
                <w:rFonts w:ascii="宋体" w:hAnsi="宋体" w:hint="eastAsia"/>
                <w:b/>
                <w:color w:val="000000"/>
              </w:rPr>
              <w:t>进行核衣壳抑制剂合作的进展与规划？</w:t>
            </w:r>
          </w:p>
          <w:p w:rsidR="00414DDC" w:rsidRDefault="00414DDC" w:rsidP="00414DDC">
            <w:pPr>
              <w:pStyle w:val="af5"/>
              <w:ind w:firstLine="480"/>
              <w:rPr>
                <w:color w:val="000000"/>
              </w:rPr>
            </w:pPr>
            <w:r>
              <w:rPr>
                <w:rFonts w:ascii="宋体" w:hAnsi="宋体" w:hint="eastAsia"/>
                <w:color w:val="000000"/>
              </w:rPr>
              <w:t>答：公司与</w:t>
            </w:r>
            <w:r>
              <w:rPr>
                <w:rFonts w:hint="eastAsia"/>
                <w:color w:val="000000"/>
              </w:rPr>
              <w:t>Aligos</w:t>
            </w:r>
            <w:r>
              <w:rPr>
                <w:rFonts w:ascii="宋体" w:hAnsi="宋体" w:hint="eastAsia"/>
                <w:color w:val="000000"/>
              </w:rPr>
              <w:t>在小核酸研究领域的合作目前已进入优化候选化合物阶段，本次合作旨在探索解决基于慢乙肝临床治愈的另一科学问题：即在清除感染细胞后，怎样有效控制再感染。</w:t>
            </w:r>
          </w:p>
          <w:p w:rsidR="00414DDC" w:rsidRDefault="00414DDC" w:rsidP="00414DDC">
            <w:pPr>
              <w:pStyle w:val="af5"/>
              <w:ind w:firstLine="480"/>
              <w:rPr>
                <w:color w:val="000000"/>
              </w:rPr>
            </w:pPr>
            <w:r>
              <w:rPr>
                <w:rFonts w:ascii="宋体" w:hAnsi="宋体" w:hint="eastAsia"/>
                <w:color w:val="000000"/>
              </w:rPr>
              <w:t>现有核苷（酸）类似物作为竞争性抑制剂，虽能抑制病毒复制，但难以完全阻断感染性病毒颗粒的产生及潜在的</w:t>
            </w:r>
            <w:r>
              <w:rPr>
                <w:rFonts w:hint="eastAsia"/>
                <w:color w:val="000000"/>
              </w:rPr>
              <w:t>pgRNA</w:t>
            </w:r>
            <w:r>
              <w:rPr>
                <w:rFonts w:ascii="宋体" w:hAnsi="宋体" w:hint="eastAsia"/>
                <w:color w:val="000000"/>
              </w:rPr>
              <w:t>介导的再感染进程。提升再感染控制的效率与速度，也是提高临床治愈率的关键科学问题。鉴于核苷（酸）类似物在此方面的局限性，探索新型疗法尤为重要。创新药物联合疗法相关的临床科学假设，还需通过持续的临床研究进行验证与优化，以完善慢乙肝整体治疗策略</w:t>
            </w:r>
            <w:r>
              <w:rPr>
                <w:rFonts w:ascii="宋体" w:hAnsi="宋体"/>
                <w:color w:val="000000"/>
              </w:rPr>
              <w:t>。</w:t>
            </w:r>
          </w:p>
          <w:p w:rsidR="00414DDC" w:rsidRDefault="00414DDC" w:rsidP="00414DDC">
            <w:pPr>
              <w:pStyle w:val="af5"/>
              <w:spacing w:beforeLines="50" w:before="156" w:afterLines="50" w:after="156"/>
              <w:ind w:firstLine="482"/>
              <w:rPr>
                <w:b/>
                <w:strike/>
                <w:color w:val="000000"/>
                <w:szCs w:val="24"/>
              </w:rPr>
            </w:pPr>
            <w:r>
              <w:rPr>
                <w:rFonts w:ascii="宋体" w:hAnsi="宋体" w:hint="eastAsia"/>
                <w:b/>
                <w:color w:val="000000"/>
              </w:rPr>
              <w:t>四、收购九天生物的考量及其目前研发管线，是否有可分享的数据？</w:t>
            </w:r>
          </w:p>
          <w:p w:rsidR="00414DDC" w:rsidRDefault="00414DDC" w:rsidP="00414DDC">
            <w:pPr>
              <w:pStyle w:val="af5"/>
              <w:ind w:firstLine="480"/>
              <w:rPr>
                <w:color w:val="000000"/>
              </w:rPr>
            </w:pPr>
            <w:r>
              <w:rPr>
                <w:rFonts w:ascii="宋体" w:hAnsi="宋体" w:hint="eastAsia"/>
                <w:color w:val="000000"/>
              </w:rPr>
              <w:t>答：九天生物拥有开发创新基因治疗的尖端核心技术和深厚的研发经验，对疾病有深刻理解且具备先进技术平台。公司本次收购的范围包含腺相关病毒（</w:t>
            </w:r>
            <w:r>
              <w:rPr>
                <w:rFonts w:hint="eastAsia"/>
                <w:color w:val="000000"/>
              </w:rPr>
              <w:t>AAV</w:t>
            </w:r>
            <w:r>
              <w:rPr>
                <w:rFonts w:ascii="宋体" w:hAnsi="宋体" w:hint="eastAsia"/>
                <w:color w:val="000000"/>
              </w:rPr>
              <w:t>）基因治疗技术平台和管线产品、固定资产和</w:t>
            </w:r>
            <w:r>
              <w:rPr>
                <w:rFonts w:ascii="宋体" w:hAnsi="宋体" w:hint="eastAsia"/>
                <w:color w:val="000000"/>
              </w:rPr>
              <w:lastRenderedPageBreak/>
              <w:t>员工，其中产品管线覆盖眼科、心脏疾病及脊髓性肌肉萎缩症（</w:t>
            </w:r>
            <w:r>
              <w:rPr>
                <w:rFonts w:hint="eastAsia"/>
                <w:color w:val="000000"/>
              </w:rPr>
              <w:t>SMA</w:t>
            </w:r>
            <w:r>
              <w:rPr>
                <w:rFonts w:ascii="宋体" w:hAnsi="宋体" w:hint="eastAsia"/>
                <w:color w:val="000000"/>
              </w:rPr>
              <w:t>）等领域。公司认为生物医药产品的成功依赖于对疾病生物学的深度理解，选择最佳干预工具与方法，无论是九天生物目前以</w:t>
            </w:r>
            <w:r>
              <w:rPr>
                <w:rFonts w:hint="eastAsia"/>
                <w:color w:val="000000"/>
              </w:rPr>
              <w:t>AAV</w:t>
            </w:r>
            <w:r>
              <w:rPr>
                <w:rFonts w:ascii="宋体" w:hAnsi="宋体" w:hint="eastAsia"/>
                <w:color w:val="000000"/>
              </w:rPr>
              <w:t>实现疾病干预的路径，还是未来在非病毒载体、基因编辑或表观遗传学修饰等方面的方法，均旨在对现有产品和治疗路径进行升级，提供更为精准、长效的解决方案。</w:t>
            </w:r>
          </w:p>
          <w:p w:rsidR="00414DDC" w:rsidRDefault="00414DDC" w:rsidP="00414DDC">
            <w:pPr>
              <w:pStyle w:val="af5"/>
              <w:ind w:firstLine="480"/>
              <w:rPr>
                <w:color w:val="000000"/>
              </w:rPr>
            </w:pPr>
            <w:r>
              <w:rPr>
                <w:rFonts w:ascii="宋体" w:hAnsi="宋体" w:hint="eastAsia"/>
                <w:color w:val="000000"/>
              </w:rPr>
              <w:t>公司认为未来基因治疗领域仍具有良好的机会，随着疾病认知的深化，技术平台的持续优化将具备更强的未来适应性。公司希望通过九天生物的基因治疗平台，以更高质量和更优成本服务中国患者，同时适时探索具有商业价值的全球合作机会。目前对九天生物的收购已完成交割，相关产品管线梳理及进度安排后续将通过适当渠道进行公布。</w:t>
            </w:r>
          </w:p>
          <w:p w:rsidR="00414DDC" w:rsidRDefault="00414DDC" w:rsidP="00414DDC">
            <w:pPr>
              <w:pStyle w:val="af5"/>
              <w:spacing w:beforeLines="50" w:before="156" w:afterLines="50" w:after="156"/>
              <w:ind w:firstLine="482"/>
              <w:rPr>
                <w:b/>
                <w:color w:val="000000"/>
                <w:szCs w:val="24"/>
              </w:rPr>
            </w:pPr>
            <w:r>
              <w:rPr>
                <w:rFonts w:ascii="宋体" w:hAnsi="宋体" w:hint="eastAsia"/>
                <w:b/>
                <w:color w:val="000000"/>
              </w:rPr>
              <w:t>五、如何看待新技术（例如</w:t>
            </w:r>
            <w:r>
              <w:rPr>
                <w:rFonts w:hint="eastAsia"/>
                <w:b/>
                <w:color w:val="000000"/>
              </w:rPr>
              <w:t>siRNA</w:t>
            </w:r>
            <w:r>
              <w:rPr>
                <w:rFonts w:ascii="宋体" w:hAnsi="宋体" w:hint="eastAsia"/>
                <w:b/>
                <w:color w:val="000000"/>
              </w:rPr>
              <w:t>）对乙肝治疗竞争的影响？</w:t>
            </w:r>
          </w:p>
          <w:p w:rsidR="00414DDC" w:rsidRDefault="00414DDC" w:rsidP="00414DDC">
            <w:pPr>
              <w:pStyle w:val="af5"/>
              <w:ind w:firstLine="480"/>
              <w:rPr>
                <w:color w:val="000000"/>
              </w:rPr>
            </w:pPr>
            <w:r>
              <w:rPr>
                <w:rFonts w:ascii="宋体" w:hAnsi="宋体" w:hint="eastAsia"/>
                <w:color w:val="000000"/>
              </w:rPr>
              <w:t>答：目前，实现慢乙肝临床治愈较难依靠单一路径，无论是通过清除感染细胞或整合细胞，还是在不清除细胞的前提下破坏病毒相关组件，均需在降低现有病毒负荷的同时控制再感染。现阶段，</w:t>
            </w:r>
            <w:r>
              <w:rPr>
                <w:rFonts w:hint="eastAsia"/>
                <w:color w:val="000000"/>
              </w:rPr>
              <w:t>siRNA</w:t>
            </w:r>
            <w:r>
              <w:rPr>
                <w:rFonts w:ascii="宋体" w:hAnsi="宋体" w:hint="eastAsia"/>
                <w:color w:val="000000"/>
              </w:rPr>
              <w:t>等新药物已进入临床联合应用阶段，与干扰素或其他靶向病毒或免疫环节的药物协同探索，未来慢乙肝临床治愈的关键在于联合用药的策略优化，联合治疗将是解决乙肝问题的关键技术路径。</w:t>
            </w:r>
          </w:p>
          <w:p w:rsidR="00414DDC" w:rsidRPr="000D4E3A" w:rsidRDefault="00414DDC" w:rsidP="00414DDC">
            <w:pPr>
              <w:pStyle w:val="af5"/>
              <w:spacing w:beforeLines="50" w:before="156" w:afterLines="50" w:after="156"/>
              <w:ind w:firstLine="482"/>
              <w:rPr>
                <w:b/>
                <w:color w:val="000000" w:themeColor="text1"/>
                <w:szCs w:val="24"/>
                <w:shd w:val="clear" w:color="auto" w:fill="auto"/>
              </w:rPr>
            </w:pPr>
            <w:r w:rsidRPr="000D4E3A">
              <w:rPr>
                <w:rFonts w:hint="eastAsia"/>
                <w:b/>
                <w:color w:val="000000" w:themeColor="text1"/>
                <w:szCs w:val="24"/>
                <w:shd w:val="clear" w:color="auto" w:fill="auto"/>
              </w:rPr>
              <w:t>六、如何看待未来干扰素渗透率的提升，与渗透率天花板的展望？</w:t>
            </w:r>
          </w:p>
          <w:p w:rsidR="00414DDC" w:rsidRPr="000D4E3A" w:rsidRDefault="00414DDC" w:rsidP="00414DDC">
            <w:pPr>
              <w:pStyle w:val="af5"/>
              <w:ind w:firstLine="480"/>
              <w:rPr>
                <w:color w:val="000000" w:themeColor="text1"/>
                <w:szCs w:val="24"/>
                <w:shd w:val="clear" w:color="auto" w:fill="auto"/>
              </w:rPr>
            </w:pPr>
            <w:r w:rsidRPr="000D4E3A">
              <w:rPr>
                <w:rFonts w:hint="eastAsia"/>
                <w:color w:val="000000" w:themeColor="text1"/>
                <w:szCs w:val="24"/>
                <w:shd w:val="clear" w:color="auto" w:fill="auto"/>
              </w:rPr>
              <w:t>答：干扰素渗透率的提升有两点：一方面依赖于疾病认知的深化与不良反应管理的优化。基于干扰素治疗的慢乙肝临床治愈表现为表面抗原逐步下降的生物学过程，尤其在表面抗原＜</w:t>
            </w:r>
            <w:r w:rsidRPr="000D4E3A">
              <w:rPr>
                <w:rFonts w:hint="eastAsia"/>
                <w:color w:val="000000" w:themeColor="text1"/>
                <w:szCs w:val="24"/>
                <w:shd w:val="clear" w:color="auto" w:fill="auto"/>
              </w:rPr>
              <w:t>1500 IU/mL</w:t>
            </w:r>
            <w:r w:rsidRPr="000D4E3A">
              <w:rPr>
                <w:rFonts w:hint="eastAsia"/>
                <w:color w:val="000000" w:themeColor="text1"/>
                <w:szCs w:val="24"/>
                <w:shd w:val="clear" w:color="auto" w:fill="auto"/>
              </w:rPr>
              <w:t>的优势人群</w:t>
            </w:r>
            <w:r w:rsidRPr="000D4E3A">
              <w:rPr>
                <w:rFonts w:hint="eastAsia"/>
                <w:color w:val="000000" w:themeColor="text1"/>
                <w:szCs w:val="24"/>
                <w:shd w:val="clear" w:color="auto" w:fill="auto"/>
              </w:rPr>
              <w:lastRenderedPageBreak/>
              <w:t>中，临床治愈率已达</w:t>
            </w:r>
            <w:r w:rsidRPr="000D4E3A">
              <w:rPr>
                <w:rFonts w:hint="eastAsia"/>
                <w:color w:val="000000" w:themeColor="text1"/>
                <w:szCs w:val="24"/>
                <w:shd w:val="clear" w:color="auto" w:fill="auto"/>
              </w:rPr>
              <w:t>30%</w:t>
            </w:r>
            <w:r w:rsidRPr="000D4E3A">
              <w:rPr>
                <w:rFonts w:hint="eastAsia"/>
                <w:color w:val="000000" w:themeColor="text1"/>
                <w:szCs w:val="24"/>
                <w:shd w:val="clear" w:color="auto" w:fill="auto"/>
              </w:rPr>
              <w:t>，部分其他患者群体通过延长疗程也能持续获益。然而，干扰素作为免疫调节剂带来流感样症状等相关不良反应，在更长疗程中会影响患者或临床专家的选择。未来随着患者和临床专家对干扰素认知水平的不断提升、以及不良反应管理的完善，相信会有更多患者通过规范治疗实现临床治愈。另一方面通过联合多种机制药物（如</w:t>
            </w:r>
            <w:r w:rsidRPr="000D4E3A">
              <w:rPr>
                <w:rFonts w:hint="eastAsia"/>
                <w:color w:val="000000" w:themeColor="text1"/>
                <w:szCs w:val="24"/>
                <w:shd w:val="clear" w:color="auto" w:fill="auto"/>
              </w:rPr>
              <w:t>siRNA</w:t>
            </w:r>
            <w:r w:rsidRPr="000D4E3A">
              <w:rPr>
                <w:rFonts w:hint="eastAsia"/>
                <w:color w:val="000000" w:themeColor="text1"/>
                <w:szCs w:val="24"/>
                <w:shd w:val="clear" w:color="auto" w:fill="auto"/>
              </w:rPr>
              <w:t>、反义核酸）缩短疗程并提高治愈率，更好地控制再感染，但相关科学机制仍需深入探索。免疫调节剂（尤其是干扰素）与各类新机制药物的协同策略在很长时间内</w:t>
            </w:r>
            <w:r w:rsidR="003854E1" w:rsidRPr="000D4E3A">
              <w:rPr>
                <w:rFonts w:hint="eastAsia"/>
                <w:color w:val="000000" w:themeColor="text1"/>
                <w:szCs w:val="24"/>
                <w:shd w:val="clear" w:color="auto" w:fill="auto"/>
              </w:rPr>
              <w:t>仍然</w:t>
            </w:r>
            <w:bookmarkStart w:id="0" w:name="_GoBack"/>
            <w:bookmarkEnd w:id="0"/>
            <w:r w:rsidRPr="000D4E3A">
              <w:rPr>
                <w:rFonts w:hint="eastAsia"/>
                <w:color w:val="000000" w:themeColor="text1"/>
                <w:szCs w:val="24"/>
                <w:shd w:val="clear" w:color="auto" w:fill="auto"/>
              </w:rPr>
              <w:t>是主要的优化方向。</w:t>
            </w:r>
          </w:p>
          <w:p w:rsidR="00BF46B9" w:rsidRPr="006A0177" w:rsidRDefault="00414DDC" w:rsidP="00414DDC">
            <w:pPr>
              <w:pStyle w:val="af5"/>
              <w:spacing w:afterLines="50" w:after="156"/>
              <w:ind w:firstLine="480"/>
              <w:rPr>
                <w:color w:val="000000" w:themeColor="text1"/>
                <w:szCs w:val="24"/>
                <w:shd w:val="clear" w:color="auto" w:fill="auto"/>
              </w:rPr>
            </w:pPr>
            <w:r w:rsidRPr="000D4E3A">
              <w:rPr>
                <w:rFonts w:hint="eastAsia"/>
                <w:color w:val="000000" w:themeColor="text1"/>
                <w:szCs w:val="24"/>
                <w:shd w:val="clear" w:color="auto" w:fill="auto"/>
              </w:rPr>
              <w:t>当前干扰素渗透率仍较低，原因在于科学认识仍在进步、联合方案的探索处于起步阶段等，其提升关键取决于能否提供高治愈率与合理疗程的方案。我国现有乙肝感染者</w:t>
            </w:r>
            <w:r w:rsidRPr="000D4E3A">
              <w:rPr>
                <w:rFonts w:hint="eastAsia"/>
                <w:color w:val="000000" w:themeColor="text1"/>
                <w:szCs w:val="24"/>
                <w:shd w:val="clear" w:color="auto" w:fill="auto"/>
              </w:rPr>
              <w:t>7500</w:t>
            </w:r>
            <w:r w:rsidRPr="000D4E3A">
              <w:rPr>
                <w:rFonts w:hint="eastAsia"/>
                <w:color w:val="000000" w:themeColor="text1"/>
                <w:szCs w:val="24"/>
                <w:shd w:val="clear" w:color="auto" w:fill="auto"/>
              </w:rPr>
              <w:t>万左右，每年</w:t>
            </w:r>
            <w:r w:rsidRPr="000D4E3A">
              <w:rPr>
                <w:rFonts w:hint="eastAsia"/>
                <w:color w:val="000000" w:themeColor="text1"/>
                <w:szCs w:val="24"/>
                <w:shd w:val="clear" w:color="auto" w:fill="auto"/>
              </w:rPr>
              <w:t>30</w:t>
            </w:r>
            <w:r w:rsidRPr="000D4E3A">
              <w:rPr>
                <w:rFonts w:hint="eastAsia"/>
                <w:color w:val="000000" w:themeColor="text1"/>
                <w:szCs w:val="24"/>
                <w:shd w:val="clear" w:color="auto" w:fill="auto"/>
              </w:rPr>
              <w:t>多万的肝癌病例与乙肝相关，亟需行业共同推进科学研究，助力更多患者获得满意治疗结果。</w:t>
            </w:r>
          </w:p>
        </w:tc>
      </w:tr>
      <w:tr w:rsidR="000D180D">
        <w:trPr>
          <w:trHeight w:val="2098"/>
          <w:jc w:val="center"/>
        </w:trPr>
        <w:tc>
          <w:tcPr>
            <w:tcW w:w="1437" w:type="pct"/>
            <w:vAlign w:val="center"/>
          </w:tcPr>
          <w:p w:rsidR="000D180D" w:rsidRDefault="00012D52">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lastRenderedPageBreak/>
              <w:t>关于本次活动是否涉及应当披露重大信息的说明</w:t>
            </w:r>
          </w:p>
        </w:tc>
        <w:tc>
          <w:tcPr>
            <w:tcW w:w="3563" w:type="pct"/>
            <w:vAlign w:val="center"/>
          </w:tcPr>
          <w:p w:rsidR="000D180D" w:rsidRDefault="00012D52">
            <w:pPr>
              <w:spacing w:line="460" w:lineRule="exact"/>
              <w:ind w:firstLineChars="200" w:firstLine="480"/>
              <w:rPr>
                <w:rFonts w:ascii="宋体" w:hAnsi="宋体" w:cs="黑体"/>
                <w:color w:val="000000"/>
                <w:kern w:val="0"/>
                <w:sz w:val="24"/>
              </w:rPr>
            </w:pPr>
            <w:r>
              <w:rPr>
                <w:rFonts w:ascii="宋体" w:hAnsi="宋体" w:cs="黑体" w:hint="eastAsia"/>
                <w:color w:val="000000"/>
                <w:kern w:val="0"/>
                <w:sz w:val="24"/>
              </w:rPr>
              <w:t>接待过程中，公司与投资者进行了充分的交流与沟通，并严格按照公司《信息披露管理制度》等规定，保证信息披露的真实、准确、完整、及时、公平，没有出现未公开重大信息泄露等情况。</w:t>
            </w:r>
          </w:p>
        </w:tc>
      </w:tr>
      <w:tr w:rsidR="000D180D">
        <w:trPr>
          <w:trHeight w:val="567"/>
          <w:jc w:val="center"/>
        </w:trPr>
        <w:tc>
          <w:tcPr>
            <w:tcW w:w="1437" w:type="pct"/>
            <w:vAlign w:val="center"/>
          </w:tcPr>
          <w:p w:rsidR="000D180D" w:rsidRDefault="00012D52">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附件清单</w:t>
            </w:r>
          </w:p>
        </w:tc>
        <w:tc>
          <w:tcPr>
            <w:tcW w:w="3563" w:type="pct"/>
            <w:vAlign w:val="center"/>
          </w:tcPr>
          <w:p w:rsidR="000D180D" w:rsidRDefault="00012D52">
            <w:pPr>
              <w:jc w:val="left"/>
              <w:rPr>
                <w:rFonts w:ascii="宋体" w:hAnsi="宋体" w:cs="黑体"/>
                <w:color w:val="000000"/>
                <w:kern w:val="0"/>
                <w:sz w:val="24"/>
              </w:rPr>
            </w:pPr>
            <w:r>
              <w:rPr>
                <w:rFonts w:ascii="宋体" w:hAnsi="宋体" w:cs="黑体" w:hint="eastAsia"/>
                <w:color w:val="000000"/>
                <w:kern w:val="0"/>
                <w:sz w:val="24"/>
              </w:rPr>
              <w:t>无</w:t>
            </w:r>
          </w:p>
        </w:tc>
      </w:tr>
      <w:tr w:rsidR="000D180D">
        <w:trPr>
          <w:trHeight w:val="567"/>
          <w:jc w:val="center"/>
        </w:trPr>
        <w:tc>
          <w:tcPr>
            <w:tcW w:w="1437" w:type="pct"/>
            <w:vAlign w:val="center"/>
          </w:tcPr>
          <w:p w:rsidR="000D180D" w:rsidRDefault="00012D52">
            <w:pPr>
              <w:autoSpaceDE w:val="0"/>
              <w:autoSpaceDN w:val="0"/>
              <w:adjustRightInd w:val="0"/>
              <w:jc w:val="center"/>
              <w:rPr>
                <w:color w:val="000000"/>
                <w:kern w:val="0"/>
                <w:sz w:val="24"/>
              </w:rPr>
            </w:pPr>
            <w:r>
              <w:rPr>
                <w:rFonts w:hint="eastAsia"/>
                <w:color w:val="000000"/>
                <w:kern w:val="0"/>
                <w:sz w:val="24"/>
              </w:rPr>
              <w:t>日期</w:t>
            </w:r>
          </w:p>
        </w:tc>
        <w:tc>
          <w:tcPr>
            <w:tcW w:w="3563" w:type="pct"/>
            <w:vAlign w:val="center"/>
          </w:tcPr>
          <w:p w:rsidR="000D180D" w:rsidRDefault="00012D52">
            <w:pPr>
              <w:autoSpaceDE w:val="0"/>
              <w:autoSpaceDN w:val="0"/>
              <w:adjustRightInd w:val="0"/>
              <w:rPr>
                <w:color w:val="000000"/>
                <w:kern w:val="0"/>
                <w:sz w:val="24"/>
              </w:rPr>
            </w:pPr>
            <w:r>
              <w:rPr>
                <w:rFonts w:hint="eastAsia"/>
                <w:kern w:val="0"/>
                <w:sz w:val="24"/>
              </w:rPr>
              <w:t>2025</w:t>
            </w:r>
            <w:r>
              <w:rPr>
                <w:rFonts w:hint="eastAsia"/>
                <w:kern w:val="0"/>
                <w:sz w:val="24"/>
              </w:rPr>
              <w:t>年</w:t>
            </w:r>
            <w:r>
              <w:rPr>
                <w:rFonts w:hint="eastAsia"/>
                <w:kern w:val="0"/>
                <w:sz w:val="24"/>
              </w:rPr>
              <w:t>8</w:t>
            </w:r>
            <w:r>
              <w:rPr>
                <w:rFonts w:hint="eastAsia"/>
                <w:kern w:val="0"/>
                <w:sz w:val="24"/>
              </w:rPr>
              <w:t>月</w:t>
            </w:r>
            <w:r>
              <w:rPr>
                <w:rFonts w:hint="eastAsia"/>
                <w:kern w:val="0"/>
                <w:sz w:val="24"/>
              </w:rPr>
              <w:t>21</w:t>
            </w:r>
            <w:r>
              <w:rPr>
                <w:rFonts w:hint="eastAsia"/>
                <w:kern w:val="0"/>
                <w:sz w:val="24"/>
              </w:rPr>
              <w:t>日</w:t>
            </w:r>
          </w:p>
        </w:tc>
      </w:tr>
    </w:tbl>
    <w:p w:rsidR="000D180D" w:rsidRDefault="000D180D">
      <w:pPr>
        <w:rPr>
          <w:rFonts w:ascii="黑体" w:eastAsia="黑体" w:cs="黑体"/>
          <w:color w:val="000000"/>
          <w:kern w:val="0"/>
          <w:sz w:val="28"/>
          <w:szCs w:val="28"/>
        </w:rPr>
      </w:pPr>
    </w:p>
    <w:sectPr w:rsidR="000D180D">
      <w:footerReference w:type="default" r:id="rId8"/>
      <w:headerReference w:type="first" r:id="rId9"/>
      <w:pgSz w:w="11906" w:h="16838"/>
      <w:pgMar w:top="993" w:right="1797" w:bottom="851" w:left="1797" w:header="851" w:footer="89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9C3" w:rsidRDefault="00B769C3">
      <w:r>
        <w:separator/>
      </w:r>
    </w:p>
  </w:endnote>
  <w:endnote w:type="continuationSeparator" w:id="0">
    <w:p w:rsidR="00B769C3" w:rsidRDefault="00B7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rsidR="000D180D" w:rsidRDefault="00012D52">
        <w:pPr>
          <w:pStyle w:val="a7"/>
          <w:jc w:val="center"/>
        </w:pPr>
        <w:r>
          <w:fldChar w:fldCharType="begin"/>
        </w:r>
        <w:r>
          <w:instrText>PAGE   \* MERGEFORMAT</w:instrText>
        </w:r>
        <w:r>
          <w:fldChar w:fldCharType="separate"/>
        </w:r>
        <w:r>
          <w:rPr>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9C3" w:rsidRDefault="00B769C3">
      <w:r>
        <w:separator/>
      </w:r>
    </w:p>
  </w:footnote>
  <w:footnote w:type="continuationSeparator" w:id="0">
    <w:p w:rsidR="00B769C3" w:rsidRDefault="00B7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80D" w:rsidRDefault="000D180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rawingGridHorizontalSpacing w:val="105"/>
  <w:drawingGridVerticalSpacing w:val="156"/>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F6"/>
    <w:rsid w:val="8B3F174F"/>
    <w:rsid w:val="8D36E612"/>
    <w:rsid w:val="905F28EE"/>
    <w:rsid w:val="9FEA241B"/>
    <w:rsid w:val="A3AF95FA"/>
    <w:rsid w:val="ADDF710A"/>
    <w:rsid w:val="AF7D7FE9"/>
    <w:rsid w:val="B1DB3B6B"/>
    <w:rsid w:val="B3CD8E4B"/>
    <w:rsid w:val="B6F2EBC4"/>
    <w:rsid w:val="B7D150EE"/>
    <w:rsid w:val="B7EF12BB"/>
    <w:rsid w:val="B7FF8FE0"/>
    <w:rsid w:val="BB2704A7"/>
    <w:rsid w:val="BB3E3256"/>
    <w:rsid w:val="BBAB8964"/>
    <w:rsid w:val="BEAFC38C"/>
    <w:rsid w:val="BFB7EF0B"/>
    <w:rsid w:val="BFDFBA2D"/>
    <w:rsid w:val="CABF8DF3"/>
    <w:rsid w:val="CE9DEBD9"/>
    <w:rsid w:val="CF1FE8E4"/>
    <w:rsid w:val="CFEFA4DD"/>
    <w:rsid w:val="D3FC8821"/>
    <w:rsid w:val="D6BF662F"/>
    <w:rsid w:val="D77BC5C8"/>
    <w:rsid w:val="D89FD2F3"/>
    <w:rsid w:val="D8B70FA5"/>
    <w:rsid w:val="D9FF3D75"/>
    <w:rsid w:val="DB5EBABE"/>
    <w:rsid w:val="DBFAA308"/>
    <w:rsid w:val="DCEF754D"/>
    <w:rsid w:val="DD5C73FA"/>
    <w:rsid w:val="DD7B1757"/>
    <w:rsid w:val="DD7C7A71"/>
    <w:rsid w:val="DEB964B8"/>
    <w:rsid w:val="DED738FC"/>
    <w:rsid w:val="DFBF96CD"/>
    <w:rsid w:val="DFCB2A3B"/>
    <w:rsid w:val="DFEB6E0E"/>
    <w:rsid w:val="DFF5C950"/>
    <w:rsid w:val="DFF6B3C3"/>
    <w:rsid w:val="DFFF8152"/>
    <w:rsid w:val="E5FD3D08"/>
    <w:rsid w:val="E7EE2585"/>
    <w:rsid w:val="EAFEDC80"/>
    <w:rsid w:val="EDE7D2DD"/>
    <w:rsid w:val="EDFEFAB5"/>
    <w:rsid w:val="EDFF1134"/>
    <w:rsid w:val="EE7FA752"/>
    <w:rsid w:val="EE9FA2AB"/>
    <w:rsid w:val="EEFBECB8"/>
    <w:rsid w:val="EEFFAABD"/>
    <w:rsid w:val="EF3E9C69"/>
    <w:rsid w:val="EFF656D3"/>
    <w:rsid w:val="F29F6930"/>
    <w:rsid w:val="F37FFE23"/>
    <w:rsid w:val="F457789A"/>
    <w:rsid w:val="F77631D6"/>
    <w:rsid w:val="F77F68EC"/>
    <w:rsid w:val="F7B4C45F"/>
    <w:rsid w:val="F85FAE22"/>
    <w:rsid w:val="FABF53E8"/>
    <w:rsid w:val="FBD94AD9"/>
    <w:rsid w:val="FBEB984B"/>
    <w:rsid w:val="FBF3C5AC"/>
    <w:rsid w:val="FC7F6852"/>
    <w:rsid w:val="FDBCFF26"/>
    <w:rsid w:val="FE57A2D7"/>
    <w:rsid w:val="FE8D19F8"/>
    <w:rsid w:val="FEB74C22"/>
    <w:rsid w:val="FEFFA1D3"/>
    <w:rsid w:val="FF73C86C"/>
    <w:rsid w:val="FF7BD010"/>
    <w:rsid w:val="FF7FE625"/>
    <w:rsid w:val="FFB94665"/>
    <w:rsid w:val="FFBE0746"/>
    <w:rsid w:val="FFC77282"/>
    <w:rsid w:val="FFD73A58"/>
    <w:rsid w:val="FFEEA024"/>
    <w:rsid w:val="FFF7C515"/>
    <w:rsid w:val="FFFE4454"/>
    <w:rsid w:val="FFFF5007"/>
    <w:rsid w:val="00000B99"/>
    <w:rsid w:val="00000C3F"/>
    <w:rsid w:val="00001E48"/>
    <w:rsid w:val="0000227C"/>
    <w:rsid w:val="00002DB6"/>
    <w:rsid w:val="000065CA"/>
    <w:rsid w:val="0000707E"/>
    <w:rsid w:val="000125BA"/>
    <w:rsid w:val="000127EB"/>
    <w:rsid w:val="0001294D"/>
    <w:rsid w:val="00012D52"/>
    <w:rsid w:val="00013170"/>
    <w:rsid w:val="00014319"/>
    <w:rsid w:val="00014F74"/>
    <w:rsid w:val="00017945"/>
    <w:rsid w:val="00017B4C"/>
    <w:rsid w:val="00020913"/>
    <w:rsid w:val="00026FD9"/>
    <w:rsid w:val="000275E4"/>
    <w:rsid w:val="00031559"/>
    <w:rsid w:val="000325E1"/>
    <w:rsid w:val="00033EB1"/>
    <w:rsid w:val="0004604E"/>
    <w:rsid w:val="00046AD4"/>
    <w:rsid w:val="000502E7"/>
    <w:rsid w:val="00055922"/>
    <w:rsid w:val="00057E8D"/>
    <w:rsid w:val="00062C74"/>
    <w:rsid w:val="0006362C"/>
    <w:rsid w:val="00063A49"/>
    <w:rsid w:val="00066671"/>
    <w:rsid w:val="00066A51"/>
    <w:rsid w:val="00070AFC"/>
    <w:rsid w:val="00070B49"/>
    <w:rsid w:val="00070C9B"/>
    <w:rsid w:val="00072AED"/>
    <w:rsid w:val="000737BD"/>
    <w:rsid w:val="000770BC"/>
    <w:rsid w:val="0008251C"/>
    <w:rsid w:val="00083E24"/>
    <w:rsid w:val="00085506"/>
    <w:rsid w:val="00090199"/>
    <w:rsid w:val="00093E67"/>
    <w:rsid w:val="00096874"/>
    <w:rsid w:val="000A0063"/>
    <w:rsid w:val="000A16EE"/>
    <w:rsid w:val="000A4DEB"/>
    <w:rsid w:val="000A6FB9"/>
    <w:rsid w:val="000B2347"/>
    <w:rsid w:val="000B4BA6"/>
    <w:rsid w:val="000C128B"/>
    <w:rsid w:val="000D0FCA"/>
    <w:rsid w:val="000D180D"/>
    <w:rsid w:val="000D3B07"/>
    <w:rsid w:val="000D5717"/>
    <w:rsid w:val="000D799E"/>
    <w:rsid w:val="000E4244"/>
    <w:rsid w:val="000E518C"/>
    <w:rsid w:val="000E6016"/>
    <w:rsid w:val="000F15C1"/>
    <w:rsid w:val="000F25AB"/>
    <w:rsid w:val="000F2782"/>
    <w:rsid w:val="000F3C5A"/>
    <w:rsid w:val="000F60A2"/>
    <w:rsid w:val="001107B6"/>
    <w:rsid w:val="00112EDC"/>
    <w:rsid w:val="00113527"/>
    <w:rsid w:val="00116C64"/>
    <w:rsid w:val="001246D4"/>
    <w:rsid w:val="00125FC4"/>
    <w:rsid w:val="00131D47"/>
    <w:rsid w:val="00133AC2"/>
    <w:rsid w:val="00134940"/>
    <w:rsid w:val="00136DE8"/>
    <w:rsid w:val="001377BD"/>
    <w:rsid w:val="00142F0F"/>
    <w:rsid w:val="00143A1C"/>
    <w:rsid w:val="00143DAA"/>
    <w:rsid w:val="00144672"/>
    <w:rsid w:val="00145369"/>
    <w:rsid w:val="0014798A"/>
    <w:rsid w:val="00147C8B"/>
    <w:rsid w:val="00153070"/>
    <w:rsid w:val="00157453"/>
    <w:rsid w:val="0016348F"/>
    <w:rsid w:val="001740D4"/>
    <w:rsid w:val="00176017"/>
    <w:rsid w:val="00181046"/>
    <w:rsid w:val="0018270C"/>
    <w:rsid w:val="0018642C"/>
    <w:rsid w:val="00187E2D"/>
    <w:rsid w:val="00193544"/>
    <w:rsid w:val="0019387D"/>
    <w:rsid w:val="00193F35"/>
    <w:rsid w:val="00194F1B"/>
    <w:rsid w:val="001957FC"/>
    <w:rsid w:val="00195EA6"/>
    <w:rsid w:val="0019719E"/>
    <w:rsid w:val="001A13BD"/>
    <w:rsid w:val="001A2B51"/>
    <w:rsid w:val="001A45CF"/>
    <w:rsid w:val="001A5A3A"/>
    <w:rsid w:val="001B106B"/>
    <w:rsid w:val="001B1A85"/>
    <w:rsid w:val="001B6563"/>
    <w:rsid w:val="001B77F7"/>
    <w:rsid w:val="001B7C46"/>
    <w:rsid w:val="001D22FC"/>
    <w:rsid w:val="001D5417"/>
    <w:rsid w:val="001D6E7A"/>
    <w:rsid w:val="001E353D"/>
    <w:rsid w:val="001E6D9B"/>
    <w:rsid w:val="001F203F"/>
    <w:rsid w:val="001F2C7A"/>
    <w:rsid w:val="001F4868"/>
    <w:rsid w:val="001F6BF6"/>
    <w:rsid w:val="001F7D9F"/>
    <w:rsid w:val="00200BD3"/>
    <w:rsid w:val="00201EB5"/>
    <w:rsid w:val="00203129"/>
    <w:rsid w:val="0020488A"/>
    <w:rsid w:val="00205A14"/>
    <w:rsid w:val="00207C3C"/>
    <w:rsid w:val="002108EC"/>
    <w:rsid w:val="00210C4F"/>
    <w:rsid w:val="002125FA"/>
    <w:rsid w:val="0021285C"/>
    <w:rsid w:val="00215CFB"/>
    <w:rsid w:val="00217358"/>
    <w:rsid w:val="00217450"/>
    <w:rsid w:val="00220430"/>
    <w:rsid w:val="002234D7"/>
    <w:rsid w:val="00223A87"/>
    <w:rsid w:val="0022450C"/>
    <w:rsid w:val="00226417"/>
    <w:rsid w:val="00227138"/>
    <w:rsid w:val="002339A8"/>
    <w:rsid w:val="00234FC8"/>
    <w:rsid w:val="00235084"/>
    <w:rsid w:val="00237F33"/>
    <w:rsid w:val="00244884"/>
    <w:rsid w:val="00250812"/>
    <w:rsid w:val="00251625"/>
    <w:rsid w:val="00254F2F"/>
    <w:rsid w:val="002550D4"/>
    <w:rsid w:val="00261E76"/>
    <w:rsid w:val="00263F6C"/>
    <w:rsid w:val="00270984"/>
    <w:rsid w:val="00270F78"/>
    <w:rsid w:val="00272F5E"/>
    <w:rsid w:val="00276BF3"/>
    <w:rsid w:val="00281614"/>
    <w:rsid w:val="002838C3"/>
    <w:rsid w:val="00286D56"/>
    <w:rsid w:val="00287E98"/>
    <w:rsid w:val="0029480F"/>
    <w:rsid w:val="00295488"/>
    <w:rsid w:val="002A2F17"/>
    <w:rsid w:val="002A467A"/>
    <w:rsid w:val="002A6417"/>
    <w:rsid w:val="002A7B7B"/>
    <w:rsid w:val="002B14F8"/>
    <w:rsid w:val="002B172A"/>
    <w:rsid w:val="002B5888"/>
    <w:rsid w:val="002C10C4"/>
    <w:rsid w:val="002C1512"/>
    <w:rsid w:val="002C1DD6"/>
    <w:rsid w:val="002C265C"/>
    <w:rsid w:val="002C5488"/>
    <w:rsid w:val="002C6D92"/>
    <w:rsid w:val="002D0847"/>
    <w:rsid w:val="002D122F"/>
    <w:rsid w:val="002D399D"/>
    <w:rsid w:val="002D6C43"/>
    <w:rsid w:val="002D7B46"/>
    <w:rsid w:val="002E47B8"/>
    <w:rsid w:val="002E4A08"/>
    <w:rsid w:val="002E4F25"/>
    <w:rsid w:val="002E58C9"/>
    <w:rsid w:val="002E698F"/>
    <w:rsid w:val="002F0148"/>
    <w:rsid w:val="002F0621"/>
    <w:rsid w:val="002F0980"/>
    <w:rsid w:val="002F1152"/>
    <w:rsid w:val="002F1AEF"/>
    <w:rsid w:val="002F21F9"/>
    <w:rsid w:val="002F3FB4"/>
    <w:rsid w:val="00300FD2"/>
    <w:rsid w:val="003012E3"/>
    <w:rsid w:val="00304BDB"/>
    <w:rsid w:val="00315B85"/>
    <w:rsid w:val="00315E48"/>
    <w:rsid w:val="003225B2"/>
    <w:rsid w:val="0032544F"/>
    <w:rsid w:val="00325650"/>
    <w:rsid w:val="00330CF9"/>
    <w:rsid w:val="00336390"/>
    <w:rsid w:val="00340BB3"/>
    <w:rsid w:val="00343141"/>
    <w:rsid w:val="00344DEB"/>
    <w:rsid w:val="00347027"/>
    <w:rsid w:val="003553C5"/>
    <w:rsid w:val="0035580A"/>
    <w:rsid w:val="0035733D"/>
    <w:rsid w:val="003576D8"/>
    <w:rsid w:val="00360A87"/>
    <w:rsid w:val="003618D9"/>
    <w:rsid w:val="00364F76"/>
    <w:rsid w:val="00365E17"/>
    <w:rsid w:val="003675E0"/>
    <w:rsid w:val="00367740"/>
    <w:rsid w:val="00370C8B"/>
    <w:rsid w:val="00373614"/>
    <w:rsid w:val="003773F9"/>
    <w:rsid w:val="003854E1"/>
    <w:rsid w:val="0039114D"/>
    <w:rsid w:val="0039122F"/>
    <w:rsid w:val="00393B7D"/>
    <w:rsid w:val="0039494E"/>
    <w:rsid w:val="003A2057"/>
    <w:rsid w:val="003A2322"/>
    <w:rsid w:val="003C24AB"/>
    <w:rsid w:val="003C420F"/>
    <w:rsid w:val="003C55A5"/>
    <w:rsid w:val="003C5B56"/>
    <w:rsid w:val="003D089D"/>
    <w:rsid w:val="003D0A0D"/>
    <w:rsid w:val="003D1771"/>
    <w:rsid w:val="003D5D16"/>
    <w:rsid w:val="003D6191"/>
    <w:rsid w:val="003D67F2"/>
    <w:rsid w:val="003D7BBB"/>
    <w:rsid w:val="003E5DEA"/>
    <w:rsid w:val="003E7443"/>
    <w:rsid w:val="003F35EE"/>
    <w:rsid w:val="003F6281"/>
    <w:rsid w:val="003F651B"/>
    <w:rsid w:val="00405028"/>
    <w:rsid w:val="00414DDC"/>
    <w:rsid w:val="004169A2"/>
    <w:rsid w:val="00416AA1"/>
    <w:rsid w:val="0041710A"/>
    <w:rsid w:val="004233CD"/>
    <w:rsid w:val="00430DD0"/>
    <w:rsid w:val="0043128C"/>
    <w:rsid w:val="00433274"/>
    <w:rsid w:val="00434A39"/>
    <w:rsid w:val="00434E51"/>
    <w:rsid w:val="00441212"/>
    <w:rsid w:val="00441CC4"/>
    <w:rsid w:val="00442C6B"/>
    <w:rsid w:val="004437D2"/>
    <w:rsid w:val="00445B7B"/>
    <w:rsid w:val="00450199"/>
    <w:rsid w:val="00456023"/>
    <w:rsid w:val="00460FE1"/>
    <w:rsid w:val="0046300F"/>
    <w:rsid w:val="004647A0"/>
    <w:rsid w:val="00466DB7"/>
    <w:rsid w:val="00467D0F"/>
    <w:rsid w:val="00470F0D"/>
    <w:rsid w:val="00471C62"/>
    <w:rsid w:val="004725BF"/>
    <w:rsid w:val="0047771C"/>
    <w:rsid w:val="0048081E"/>
    <w:rsid w:val="004825D1"/>
    <w:rsid w:val="00487103"/>
    <w:rsid w:val="00487BE4"/>
    <w:rsid w:val="00495FA1"/>
    <w:rsid w:val="00496FAA"/>
    <w:rsid w:val="0049713B"/>
    <w:rsid w:val="004A4039"/>
    <w:rsid w:val="004A54F9"/>
    <w:rsid w:val="004B1618"/>
    <w:rsid w:val="004B1EFB"/>
    <w:rsid w:val="004B3754"/>
    <w:rsid w:val="004B56DD"/>
    <w:rsid w:val="004B5789"/>
    <w:rsid w:val="004B6536"/>
    <w:rsid w:val="004B7507"/>
    <w:rsid w:val="004C7620"/>
    <w:rsid w:val="004D0B61"/>
    <w:rsid w:val="004D1B89"/>
    <w:rsid w:val="004E36D1"/>
    <w:rsid w:val="004E39D6"/>
    <w:rsid w:val="004E7C73"/>
    <w:rsid w:val="004E7D0F"/>
    <w:rsid w:val="004F6F7B"/>
    <w:rsid w:val="004F746B"/>
    <w:rsid w:val="00500C73"/>
    <w:rsid w:val="00501352"/>
    <w:rsid w:val="005022E1"/>
    <w:rsid w:val="005026BE"/>
    <w:rsid w:val="0050598E"/>
    <w:rsid w:val="005100C2"/>
    <w:rsid w:val="00511D69"/>
    <w:rsid w:val="00511DAC"/>
    <w:rsid w:val="0051623C"/>
    <w:rsid w:val="0052053E"/>
    <w:rsid w:val="00523D66"/>
    <w:rsid w:val="00523FCE"/>
    <w:rsid w:val="00524345"/>
    <w:rsid w:val="005245A8"/>
    <w:rsid w:val="00524F23"/>
    <w:rsid w:val="00530FD1"/>
    <w:rsid w:val="00533765"/>
    <w:rsid w:val="005427CD"/>
    <w:rsid w:val="005518C5"/>
    <w:rsid w:val="00554239"/>
    <w:rsid w:val="005553E8"/>
    <w:rsid w:val="00555F70"/>
    <w:rsid w:val="00562C07"/>
    <w:rsid w:val="00563B2A"/>
    <w:rsid w:val="005642B9"/>
    <w:rsid w:val="00565984"/>
    <w:rsid w:val="00570FE1"/>
    <w:rsid w:val="00580352"/>
    <w:rsid w:val="00580902"/>
    <w:rsid w:val="00581A83"/>
    <w:rsid w:val="00583847"/>
    <w:rsid w:val="005847C3"/>
    <w:rsid w:val="00587297"/>
    <w:rsid w:val="00590609"/>
    <w:rsid w:val="00591C01"/>
    <w:rsid w:val="0059201A"/>
    <w:rsid w:val="005972A5"/>
    <w:rsid w:val="00597715"/>
    <w:rsid w:val="00597BCB"/>
    <w:rsid w:val="005A30DC"/>
    <w:rsid w:val="005B1CC0"/>
    <w:rsid w:val="005B2DAF"/>
    <w:rsid w:val="005C0252"/>
    <w:rsid w:val="005C038F"/>
    <w:rsid w:val="005C2CD3"/>
    <w:rsid w:val="005C3888"/>
    <w:rsid w:val="005C740E"/>
    <w:rsid w:val="005C7C13"/>
    <w:rsid w:val="005D36A7"/>
    <w:rsid w:val="005D6D21"/>
    <w:rsid w:val="005E4BE4"/>
    <w:rsid w:val="005F0AA7"/>
    <w:rsid w:val="005F35E0"/>
    <w:rsid w:val="005F3D34"/>
    <w:rsid w:val="005F500A"/>
    <w:rsid w:val="005F5B65"/>
    <w:rsid w:val="00600B43"/>
    <w:rsid w:val="00600D7F"/>
    <w:rsid w:val="006010B6"/>
    <w:rsid w:val="006028F5"/>
    <w:rsid w:val="00604E74"/>
    <w:rsid w:val="00605514"/>
    <w:rsid w:val="006060BF"/>
    <w:rsid w:val="00606753"/>
    <w:rsid w:val="00606C0E"/>
    <w:rsid w:val="00613784"/>
    <w:rsid w:val="006206DF"/>
    <w:rsid w:val="006218D4"/>
    <w:rsid w:val="00621C1A"/>
    <w:rsid w:val="00622E68"/>
    <w:rsid w:val="00624174"/>
    <w:rsid w:val="00624F16"/>
    <w:rsid w:val="00626705"/>
    <w:rsid w:val="00626D6F"/>
    <w:rsid w:val="006276EF"/>
    <w:rsid w:val="00632B02"/>
    <w:rsid w:val="006349DA"/>
    <w:rsid w:val="00634A0E"/>
    <w:rsid w:val="00637F0F"/>
    <w:rsid w:val="00640690"/>
    <w:rsid w:val="0064084A"/>
    <w:rsid w:val="006427F7"/>
    <w:rsid w:val="006473AC"/>
    <w:rsid w:val="00647405"/>
    <w:rsid w:val="00654611"/>
    <w:rsid w:val="00657A82"/>
    <w:rsid w:val="006623CA"/>
    <w:rsid w:val="006628B5"/>
    <w:rsid w:val="0066408C"/>
    <w:rsid w:val="00670E77"/>
    <w:rsid w:val="006721EB"/>
    <w:rsid w:val="006739D3"/>
    <w:rsid w:val="00674E59"/>
    <w:rsid w:val="00676A28"/>
    <w:rsid w:val="00677F6A"/>
    <w:rsid w:val="00681C63"/>
    <w:rsid w:val="00684CC0"/>
    <w:rsid w:val="00685BA9"/>
    <w:rsid w:val="00686FC2"/>
    <w:rsid w:val="00687FB7"/>
    <w:rsid w:val="0069095F"/>
    <w:rsid w:val="00690BF4"/>
    <w:rsid w:val="00693166"/>
    <w:rsid w:val="00693FD0"/>
    <w:rsid w:val="006A6ADD"/>
    <w:rsid w:val="006A7E87"/>
    <w:rsid w:val="006B0B15"/>
    <w:rsid w:val="006B3051"/>
    <w:rsid w:val="006C0103"/>
    <w:rsid w:val="006C17FF"/>
    <w:rsid w:val="006C39CB"/>
    <w:rsid w:val="006C4DD9"/>
    <w:rsid w:val="006D1871"/>
    <w:rsid w:val="006E0FD9"/>
    <w:rsid w:val="006E33B7"/>
    <w:rsid w:val="006E7391"/>
    <w:rsid w:val="006F51C5"/>
    <w:rsid w:val="006F5BEF"/>
    <w:rsid w:val="00700BC2"/>
    <w:rsid w:val="0070197D"/>
    <w:rsid w:val="00706BD8"/>
    <w:rsid w:val="0071220C"/>
    <w:rsid w:val="00714312"/>
    <w:rsid w:val="00715181"/>
    <w:rsid w:val="00715709"/>
    <w:rsid w:val="0071671B"/>
    <w:rsid w:val="00717CC1"/>
    <w:rsid w:val="00721209"/>
    <w:rsid w:val="00722DCC"/>
    <w:rsid w:val="007264CB"/>
    <w:rsid w:val="00730D84"/>
    <w:rsid w:val="00731507"/>
    <w:rsid w:val="00737C74"/>
    <w:rsid w:val="00737EFF"/>
    <w:rsid w:val="00742C75"/>
    <w:rsid w:val="00745302"/>
    <w:rsid w:val="007466D0"/>
    <w:rsid w:val="00746751"/>
    <w:rsid w:val="007523A6"/>
    <w:rsid w:val="00757953"/>
    <w:rsid w:val="007579D2"/>
    <w:rsid w:val="00757E25"/>
    <w:rsid w:val="00761692"/>
    <w:rsid w:val="00764742"/>
    <w:rsid w:val="00764C22"/>
    <w:rsid w:val="007667BE"/>
    <w:rsid w:val="00772C51"/>
    <w:rsid w:val="00775837"/>
    <w:rsid w:val="00776728"/>
    <w:rsid w:val="00780951"/>
    <w:rsid w:val="00781DBF"/>
    <w:rsid w:val="00783979"/>
    <w:rsid w:val="00792ACF"/>
    <w:rsid w:val="00793087"/>
    <w:rsid w:val="007A0551"/>
    <w:rsid w:val="007B384E"/>
    <w:rsid w:val="007B4B89"/>
    <w:rsid w:val="007B52A5"/>
    <w:rsid w:val="007B5D87"/>
    <w:rsid w:val="007B73A5"/>
    <w:rsid w:val="007B75C1"/>
    <w:rsid w:val="007B7F2B"/>
    <w:rsid w:val="007C1F7A"/>
    <w:rsid w:val="007C2913"/>
    <w:rsid w:val="007C3C5A"/>
    <w:rsid w:val="007C410C"/>
    <w:rsid w:val="007C7716"/>
    <w:rsid w:val="007D1491"/>
    <w:rsid w:val="007D57D4"/>
    <w:rsid w:val="007D7222"/>
    <w:rsid w:val="007D7676"/>
    <w:rsid w:val="007E0AFE"/>
    <w:rsid w:val="007E3BA6"/>
    <w:rsid w:val="007E4533"/>
    <w:rsid w:val="007E4669"/>
    <w:rsid w:val="007E4C35"/>
    <w:rsid w:val="007E51FB"/>
    <w:rsid w:val="007E6443"/>
    <w:rsid w:val="007E6A0E"/>
    <w:rsid w:val="007F220E"/>
    <w:rsid w:val="007F43B4"/>
    <w:rsid w:val="007F5E30"/>
    <w:rsid w:val="007F619A"/>
    <w:rsid w:val="007F66D5"/>
    <w:rsid w:val="008000BE"/>
    <w:rsid w:val="008048C8"/>
    <w:rsid w:val="008050A0"/>
    <w:rsid w:val="00806E73"/>
    <w:rsid w:val="00817297"/>
    <w:rsid w:val="00817942"/>
    <w:rsid w:val="008209F5"/>
    <w:rsid w:val="00824BB2"/>
    <w:rsid w:val="008307A2"/>
    <w:rsid w:val="0083088D"/>
    <w:rsid w:val="008309D7"/>
    <w:rsid w:val="00833913"/>
    <w:rsid w:val="008411CB"/>
    <w:rsid w:val="008419A2"/>
    <w:rsid w:val="00842895"/>
    <w:rsid w:val="0084473D"/>
    <w:rsid w:val="0084604B"/>
    <w:rsid w:val="00846C69"/>
    <w:rsid w:val="00850895"/>
    <w:rsid w:val="00857730"/>
    <w:rsid w:val="00857B75"/>
    <w:rsid w:val="0086069F"/>
    <w:rsid w:val="00860732"/>
    <w:rsid w:val="00866A38"/>
    <w:rsid w:val="00873DE8"/>
    <w:rsid w:val="00874611"/>
    <w:rsid w:val="00876E6C"/>
    <w:rsid w:val="00877B59"/>
    <w:rsid w:val="00877D31"/>
    <w:rsid w:val="008816DA"/>
    <w:rsid w:val="00881D2F"/>
    <w:rsid w:val="008867C4"/>
    <w:rsid w:val="00897B45"/>
    <w:rsid w:val="008A2D60"/>
    <w:rsid w:val="008B0029"/>
    <w:rsid w:val="008B2F50"/>
    <w:rsid w:val="008B2F90"/>
    <w:rsid w:val="008B6605"/>
    <w:rsid w:val="008C325B"/>
    <w:rsid w:val="008C72F6"/>
    <w:rsid w:val="008D6D8E"/>
    <w:rsid w:val="008E0897"/>
    <w:rsid w:val="008E4667"/>
    <w:rsid w:val="008E5B79"/>
    <w:rsid w:val="008E6C29"/>
    <w:rsid w:val="008E7D2F"/>
    <w:rsid w:val="008F19A5"/>
    <w:rsid w:val="008F6999"/>
    <w:rsid w:val="008F6CC0"/>
    <w:rsid w:val="009002BF"/>
    <w:rsid w:val="00901472"/>
    <w:rsid w:val="009033A9"/>
    <w:rsid w:val="009039A1"/>
    <w:rsid w:val="009063DE"/>
    <w:rsid w:val="00906EC6"/>
    <w:rsid w:val="0091048F"/>
    <w:rsid w:val="009143A5"/>
    <w:rsid w:val="00922CCC"/>
    <w:rsid w:val="0092301E"/>
    <w:rsid w:val="00925519"/>
    <w:rsid w:val="00937A6B"/>
    <w:rsid w:val="00941E0F"/>
    <w:rsid w:val="009422E7"/>
    <w:rsid w:val="00943376"/>
    <w:rsid w:val="00945019"/>
    <w:rsid w:val="00947011"/>
    <w:rsid w:val="0094764D"/>
    <w:rsid w:val="00950306"/>
    <w:rsid w:val="00950B5B"/>
    <w:rsid w:val="0095386B"/>
    <w:rsid w:val="00955224"/>
    <w:rsid w:val="0095598E"/>
    <w:rsid w:val="00957F4C"/>
    <w:rsid w:val="00960C5E"/>
    <w:rsid w:val="00964DA6"/>
    <w:rsid w:val="00966C4F"/>
    <w:rsid w:val="00966CDC"/>
    <w:rsid w:val="0097567F"/>
    <w:rsid w:val="00976FB5"/>
    <w:rsid w:val="009772EC"/>
    <w:rsid w:val="0098083E"/>
    <w:rsid w:val="0098127F"/>
    <w:rsid w:val="00981DBB"/>
    <w:rsid w:val="00984DBF"/>
    <w:rsid w:val="009853BC"/>
    <w:rsid w:val="00986135"/>
    <w:rsid w:val="0099024A"/>
    <w:rsid w:val="009904A3"/>
    <w:rsid w:val="009905B1"/>
    <w:rsid w:val="009915AD"/>
    <w:rsid w:val="009942B8"/>
    <w:rsid w:val="00994802"/>
    <w:rsid w:val="0099554F"/>
    <w:rsid w:val="009968AF"/>
    <w:rsid w:val="009A0B9E"/>
    <w:rsid w:val="009A2446"/>
    <w:rsid w:val="009A342E"/>
    <w:rsid w:val="009A35FF"/>
    <w:rsid w:val="009A4C70"/>
    <w:rsid w:val="009A5868"/>
    <w:rsid w:val="009A77A7"/>
    <w:rsid w:val="009B0D36"/>
    <w:rsid w:val="009B4482"/>
    <w:rsid w:val="009B59D1"/>
    <w:rsid w:val="009B6C5A"/>
    <w:rsid w:val="009B7BBA"/>
    <w:rsid w:val="009B7FB5"/>
    <w:rsid w:val="009C0845"/>
    <w:rsid w:val="009C42B3"/>
    <w:rsid w:val="009C67D6"/>
    <w:rsid w:val="009D115B"/>
    <w:rsid w:val="009D2007"/>
    <w:rsid w:val="009D2A5C"/>
    <w:rsid w:val="009D318F"/>
    <w:rsid w:val="009D464A"/>
    <w:rsid w:val="009D7620"/>
    <w:rsid w:val="009E2897"/>
    <w:rsid w:val="009E3A69"/>
    <w:rsid w:val="009E72F7"/>
    <w:rsid w:val="009F0322"/>
    <w:rsid w:val="009F03D3"/>
    <w:rsid w:val="00A01BF8"/>
    <w:rsid w:val="00A05AF3"/>
    <w:rsid w:val="00A05E52"/>
    <w:rsid w:val="00A118A1"/>
    <w:rsid w:val="00A12CFB"/>
    <w:rsid w:val="00A1615C"/>
    <w:rsid w:val="00A17C9B"/>
    <w:rsid w:val="00A23DF7"/>
    <w:rsid w:val="00A25527"/>
    <w:rsid w:val="00A27732"/>
    <w:rsid w:val="00A2776B"/>
    <w:rsid w:val="00A3064F"/>
    <w:rsid w:val="00A36D3C"/>
    <w:rsid w:val="00A437EA"/>
    <w:rsid w:val="00A532FB"/>
    <w:rsid w:val="00A551D2"/>
    <w:rsid w:val="00A552F3"/>
    <w:rsid w:val="00A62D25"/>
    <w:rsid w:val="00A630D3"/>
    <w:rsid w:val="00A63E52"/>
    <w:rsid w:val="00A66B48"/>
    <w:rsid w:val="00A6764D"/>
    <w:rsid w:val="00A67EAD"/>
    <w:rsid w:val="00A72DBC"/>
    <w:rsid w:val="00A7419A"/>
    <w:rsid w:val="00A770B5"/>
    <w:rsid w:val="00A77B3B"/>
    <w:rsid w:val="00A77DA5"/>
    <w:rsid w:val="00A8052C"/>
    <w:rsid w:val="00A8067A"/>
    <w:rsid w:val="00A8289A"/>
    <w:rsid w:val="00A84787"/>
    <w:rsid w:val="00A84E8F"/>
    <w:rsid w:val="00A925B3"/>
    <w:rsid w:val="00A92679"/>
    <w:rsid w:val="00A9267D"/>
    <w:rsid w:val="00A931BF"/>
    <w:rsid w:val="00A937D5"/>
    <w:rsid w:val="00A94DC2"/>
    <w:rsid w:val="00AA2F8C"/>
    <w:rsid w:val="00AA490F"/>
    <w:rsid w:val="00AA53F6"/>
    <w:rsid w:val="00AB3231"/>
    <w:rsid w:val="00AB7CEE"/>
    <w:rsid w:val="00AC00A3"/>
    <w:rsid w:val="00AC2882"/>
    <w:rsid w:val="00AC42C3"/>
    <w:rsid w:val="00AD294C"/>
    <w:rsid w:val="00AD2B70"/>
    <w:rsid w:val="00AE038D"/>
    <w:rsid w:val="00AE2C8E"/>
    <w:rsid w:val="00AE35EF"/>
    <w:rsid w:val="00AE699F"/>
    <w:rsid w:val="00AF0792"/>
    <w:rsid w:val="00AF2564"/>
    <w:rsid w:val="00AF395D"/>
    <w:rsid w:val="00AF7C45"/>
    <w:rsid w:val="00B03441"/>
    <w:rsid w:val="00B07C96"/>
    <w:rsid w:val="00B14993"/>
    <w:rsid w:val="00B15588"/>
    <w:rsid w:val="00B20355"/>
    <w:rsid w:val="00B20CB0"/>
    <w:rsid w:val="00B232C5"/>
    <w:rsid w:val="00B25152"/>
    <w:rsid w:val="00B25FB3"/>
    <w:rsid w:val="00B27CA6"/>
    <w:rsid w:val="00B311D4"/>
    <w:rsid w:val="00B339BA"/>
    <w:rsid w:val="00B33F8B"/>
    <w:rsid w:val="00B3423A"/>
    <w:rsid w:val="00B34247"/>
    <w:rsid w:val="00B36ADF"/>
    <w:rsid w:val="00B3787D"/>
    <w:rsid w:val="00B37C38"/>
    <w:rsid w:val="00B41A77"/>
    <w:rsid w:val="00B44347"/>
    <w:rsid w:val="00B448AB"/>
    <w:rsid w:val="00B51125"/>
    <w:rsid w:val="00B5127F"/>
    <w:rsid w:val="00B51EE9"/>
    <w:rsid w:val="00B5246E"/>
    <w:rsid w:val="00B546D9"/>
    <w:rsid w:val="00B556FC"/>
    <w:rsid w:val="00B5747A"/>
    <w:rsid w:val="00B60F22"/>
    <w:rsid w:val="00B61453"/>
    <w:rsid w:val="00B62065"/>
    <w:rsid w:val="00B6362F"/>
    <w:rsid w:val="00B65C7A"/>
    <w:rsid w:val="00B703F4"/>
    <w:rsid w:val="00B7432F"/>
    <w:rsid w:val="00B769C3"/>
    <w:rsid w:val="00B77E34"/>
    <w:rsid w:val="00B80301"/>
    <w:rsid w:val="00B807DE"/>
    <w:rsid w:val="00B83669"/>
    <w:rsid w:val="00B8491C"/>
    <w:rsid w:val="00B865C9"/>
    <w:rsid w:val="00B974B4"/>
    <w:rsid w:val="00BA0477"/>
    <w:rsid w:val="00BA05E6"/>
    <w:rsid w:val="00BA1575"/>
    <w:rsid w:val="00BA29D2"/>
    <w:rsid w:val="00BA30C8"/>
    <w:rsid w:val="00BA6711"/>
    <w:rsid w:val="00BB4BB5"/>
    <w:rsid w:val="00BB5301"/>
    <w:rsid w:val="00BB657D"/>
    <w:rsid w:val="00BB7C8C"/>
    <w:rsid w:val="00BC5229"/>
    <w:rsid w:val="00BC5CB8"/>
    <w:rsid w:val="00BC6C13"/>
    <w:rsid w:val="00BC77ED"/>
    <w:rsid w:val="00BD2C2F"/>
    <w:rsid w:val="00BD2CF7"/>
    <w:rsid w:val="00BD685F"/>
    <w:rsid w:val="00BE0A85"/>
    <w:rsid w:val="00BE0BEE"/>
    <w:rsid w:val="00BE359D"/>
    <w:rsid w:val="00BE5647"/>
    <w:rsid w:val="00BE6306"/>
    <w:rsid w:val="00BF45E1"/>
    <w:rsid w:val="00BF46B9"/>
    <w:rsid w:val="00C01ECA"/>
    <w:rsid w:val="00C02D77"/>
    <w:rsid w:val="00C02FD2"/>
    <w:rsid w:val="00C03106"/>
    <w:rsid w:val="00C064C9"/>
    <w:rsid w:val="00C065B7"/>
    <w:rsid w:val="00C15786"/>
    <w:rsid w:val="00C17A94"/>
    <w:rsid w:val="00C17D61"/>
    <w:rsid w:val="00C25035"/>
    <w:rsid w:val="00C33121"/>
    <w:rsid w:val="00C352F7"/>
    <w:rsid w:val="00C362CC"/>
    <w:rsid w:val="00C40ADD"/>
    <w:rsid w:val="00C43BC5"/>
    <w:rsid w:val="00C45C87"/>
    <w:rsid w:val="00C45CD2"/>
    <w:rsid w:val="00C525FE"/>
    <w:rsid w:val="00C54C20"/>
    <w:rsid w:val="00C612C6"/>
    <w:rsid w:val="00C664D6"/>
    <w:rsid w:val="00C7019F"/>
    <w:rsid w:val="00C7371C"/>
    <w:rsid w:val="00C83BF2"/>
    <w:rsid w:val="00C90D7D"/>
    <w:rsid w:val="00C91D41"/>
    <w:rsid w:val="00C9310D"/>
    <w:rsid w:val="00C93BF8"/>
    <w:rsid w:val="00C955AD"/>
    <w:rsid w:val="00C96FFD"/>
    <w:rsid w:val="00CA08F5"/>
    <w:rsid w:val="00CB027D"/>
    <w:rsid w:val="00CB0B28"/>
    <w:rsid w:val="00CB318E"/>
    <w:rsid w:val="00CB3CC6"/>
    <w:rsid w:val="00CB3F99"/>
    <w:rsid w:val="00CB6ECD"/>
    <w:rsid w:val="00CB7579"/>
    <w:rsid w:val="00CC08E3"/>
    <w:rsid w:val="00CC5AE7"/>
    <w:rsid w:val="00CD1AF6"/>
    <w:rsid w:val="00CD3967"/>
    <w:rsid w:val="00CF173A"/>
    <w:rsid w:val="00CF365D"/>
    <w:rsid w:val="00CF4BE4"/>
    <w:rsid w:val="00CF6510"/>
    <w:rsid w:val="00CF6CDC"/>
    <w:rsid w:val="00CF7445"/>
    <w:rsid w:val="00D024FE"/>
    <w:rsid w:val="00D030A3"/>
    <w:rsid w:val="00D042B8"/>
    <w:rsid w:val="00D049E2"/>
    <w:rsid w:val="00D06C79"/>
    <w:rsid w:val="00D07D55"/>
    <w:rsid w:val="00D118CD"/>
    <w:rsid w:val="00D12AA6"/>
    <w:rsid w:val="00D142FC"/>
    <w:rsid w:val="00D14851"/>
    <w:rsid w:val="00D15628"/>
    <w:rsid w:val="00D15640"/>
    <w:rsid w:val="00D218ED"/>
    <w:rsid w:val="00D22665"/>
    <w:rsid w:val="00D31394"/>
    <w:rsid w:val="00D42404"/>
    <w:rsid w:val="00D441B8"/>
    <w:rsid w:val="00D450C1"/>
    <w:rsid w:val="00D45D67"/>
    <w:rsid w:val="00D5108C"/>
    <w:rsid w:val="00D5178A"/>
    <w:rsid w:val="00D52574"/>
    <w:rsid w:val="00D52EE3"/>
    <w:rsid w:val="00D563F9"/>
    <w:rsid w:val="00D658F8"/>
    <w:rsid w:val="00D70F20"/>
    <w:rsid w:val="00D71AC5"/>
    <w:rsid w:val="00D76683"/>
    <w:rsid w:val="00D77AB6"/>
    <w:rsid w:val="00D808C9"/>
    <w:rsid w:val="00D82CD3"/>
    <w:rsid w:val="00D83BAE"/>
    <w:rsid w:val="00D87C8E"/>
    <w:rsid w:val="00D90378"/>
    <w:rsid w:val="00D9594A"/>
    <w:rsid w:val="00DA4649"/>
    <w:rsid w:val="00DB051E"/>
    <w:rsid w:val="00DB1147"/>
    <w:rsid w:val="00DB7AD0"/>
    <w:rsid w:val="00DC012F"/>
    <w:rsid w:val="00DC5464"/>
    <w:rsid w:val="00DC58E7"/>
    <w:rsid w:val="00DD012B"/>
    <w:rsid w:val="00DD0704"/>
    <w:rsid w:val="00DD0763"/>
    <w:rsid w:val="00DD1955"/>
    <w:rsid w:val="00DD291D"/>
    <w:rsid w:val="00DD2CF4"/>
    <w:rsid w:val="00DD6DF8"/>
    <w:rsid w:val="00DE5223"/>
    <w:rsid w:val="00DE7072"/>
    <w:rsid w:val="00DF155E"/>
    <w:rsid w:val="00DF5AA9"/>
    <w:rsid w:val="00DF77A0"/>
    <w:rsid w:val="00E01A8F"/>
    <w:rsid w:val="00E022BD"/>
    <w:rsid w:val="00E02EC1"/>
    <w:rsid w:val="00E03494"/>
    <w:rsid w:val="00E04FD8"/>
    <w:rsid w:val="00E055E3"/>
    <w:rsid w:val="00E05BDB"/>
    <w:rsid w:val="00E10267"/>
    <w:rsid w:val="00E12F79"/>
    <w:rsid w:val="00E17E84"/>
    <w:rsid w:val="00E2483C"/>
    <w:rsid w:val="00E25736"/>
    <w:rsid w:val="00E25A6E"/>
    <w:rsid w:val="00E2638A"/>
    <w:rsid w:val="00E2717F"/>
    <w:rsid w:val="00E31546"/>
    <w:rsid w:val="00E32E31"/>
    <w:rsid w:val="00E3346D"/>
    <w:rsid w:val="00E339F8"/>
    <w:rsid w:val="00E3568A"/>
    <w:rsid w:val="00E36D3C"/>
    <w:rsid w:val="00E411A9"/>
    <w:rsid w:val="00E411F4"/>
    <w:rsid w:val="00E44066"/>
    <w:rsid w:val="00E44A97"/>
    <w:rsid w:val="00E46ED4"/>
    <w:rsid w:val="00E5301F"/>
    <w:rsid w:val="00E557D3"/>
    <w:rsid w:val="00E55C73"/>
    <w:rsid w:val="00E56BC1"/>
    <w:rsid w:val="00E61820"/>
    <w:rsid w:val="00E61A39"/>
    <w:rsid w:val="00E62D01"/>
    <w:rsid w:val="00E6592A"/>
    <w:rsid w:val="00E67038"/>
    <w:rsid w:val="00E67F1C"/>
    <w:rsid w:val="00E71F08"/>
    <w:rsid w:val="00E72408"/>
    <w:rsid w:val="00E733EC"/>
    <w:rsid w:val="00E74F22"/>
    <w:rsid w:val="00E76D22"/>
    <w:rsid w:val="00E906A6"/>
    <w:rsid w:val="00E927FD"/>
    <w:rsid w:val="00E94DDD"/>
    <w:rsid w:val="00E95F4F"/>
    <w:rsid w:val="00EA3D9B"/>
    <w:rsid w:val="00EA58E6"/>
    <w:rsid w:val="00EA7F37"/>
    <w:rsid w:val="00EA7FF3"/>
    <w:rsid w:val="00EB14DA"/>
    <w:rsid w:val="00EB410A"/>
    <w:rsid w:val="00EB413C"/>
    <w:rsid w:val="00EB726D"/>
    <w:rsid w:val="00EC4071"/>
    <w:rsid w:val="00EC5341"/>
    <w:rsid w:val="00EC764A"/>
    <w:rsid w:val="00ED1BC8"/>
    <w:rsid w:val="00ED28F2"/>
    <w:rsid w:val="00ED3400"/>
    <w:rsid w:val="00ED6511"/>
    <w:rsid w:val="00EE3986"/>
    <w:rsid w:val="00EE6500"/>
    <w:rsid w:val="00EF2BD1"/>
    <w:rsid w:val="00EF36B7"/>
    <w:rsid w:val="00EF3FDB"/>
    <w:rsid w:val="00EF6B3D"/>
    <w:rsid w:val="00EF6C6E"/>
    <w:rsid w:val="00F00607"/>
    <w:rsid w:val="00F04C6C"/>
    <w:rsid w:val="00F130CE"/>
    <w:rsid w:val="00F23109"/>
    <w:rsid w:val="00F262C7"/>
    <w:rsid w:val="00F30253"/>
    <w:rsid w:val="00F417F4"/>
    <w:rsid w:val="00F462BA"/>
    <w:rsid w:val="00F51112"/>
    <w:rsid w:val="00F553CB"/>
    <w:rsid w:val="00F57007"/>
    <w:rsid w:val="00F57112"/>
    <w:rsid w:val="00F572F9"/>
    <w:rsid w:val="00F5772D"/>
    <w:rsid w:val="00F607C5"/>
    <w:rsid w:val="00F60DB1"/>
    <w:rsid w:val="00F61A5C"/>
    <w:rsid w:val="00F61DA9"/>
    <w:rsid w:val="00F65ED7"/>
    <w:rsid w:val="00F7448A"/>
    <w:rsid w:val="00F7596E"/>
    <w:rsid w:val="00F764A4"/>
    <w:rsid w:val="00F76E22"/>
    <w:rsid w:val="00F772C0"/>
    <w:rsid w:val="00F824D8"/>
    <w:rsid w:val="00F84064"/>
    <w:rsid w:val="00F8431B"/>
    <w:rsid w:val="00F92761"/>
    <w:rsid w:val="00F928D9"/>
    <w:rsid w:val="00F92D64"/>
    <w:rsid w:val="00F93BAF"/>
    <w:rsid w:val="00F95D2D"/>
    <w:rsid w:val="00F964F7"/>
    <w:rsid w:val="00F96F71"/>
    <w:rsid w:val="00F973A2"/>
    <w:rsid w:val="00F97600"/>
    <w:rsid w:val="00FA1185"/>
    <w:rsid w:val="00FB0278"/>
    <w:rsid w:val="00FB39D0"/>
    <w:rsid w:val="00FB4966"/>
    <w:rsid w:val="00FB4CB6"/>
    <w:rsid w:val="00FB4DE0"/>
    <w:rsid w:val="00FC1A30"/>
    <w:rsid w:val="00FC333D"/>
    <w:rsid w:val="00FC3FFE"/>
    <w:rsid w:val="00FC417C"/>
    <w:rsid w:val="00FC41F1"/>
    <w:rsid w:val="00FC534E"/>
    <w:rsid w:val="00FC5D79"/>
    <w:rsid w:val="00FC7AD0"/>
    <w:rsid w:val="00FD1062"/>
    <w:rsid w:val="00FD1AE3"/>
    <w:rsid w:val="00FD4D02"/>
    <w:rsid w:val="00FD6107"/>
    <w:rsid w:val="00FD65EB"/>
    <w:rsid w:val="00FD76C5"/>
    <w:rsid w:val="00FE1CAC"/>
    <w:rsid w:val="00FE1E9B"/>
    <w:rsid w:val="00FE354D"/>
    <w:rsid w:val="00FE6A88"/>
    <w:rsid w:val="00FE7B50"/>
    <w:rsid w:val="00FF1F84"/>
    <w:rsid w:val="00FF393C"/>
    <w:rsid w:val="00FF4153"/>
    <w:rsid w:val="00FF61C3"/>
    <w:rsid w:val="00FF635B"/>
    <w:rsid w:val="00FF6A90"/>
    <w:rsid w:val="0E433D8F"/>
    <w:rsid w:val="1C5D665B"/>
    <w:rsid w:val="1CBD53FA"/>
    <w:rsid w:val="1FDE283D"/>
    <w:rsid w:val="23C8760C"/>
    <w:rsid w:val="2DFFACD4"/>
    <w:rsid w:val="2E6B73DF"/>
    <w:rsid w:val="2FE5083E"/>
    <w:rsid w:val="335950CE"/>
    <w:rsid w:val="35B729A9"/>
    <w:rsid w:val="39B22528"/>
    <w:rsid w:val="3D9787ED"/>
    <w:rsid w:val="3EA30D63"/>
    <w:rsid w:val="3EFE5DB0"/>
    <w:rsid w:val="3FF49A49"/>
    <w:rsid w:val="3FF77CA5"/>
    <w:rsid w:val="3FFB46EC"/>
    <w:rsid w:val="3FFF8DDB"/>
    <w:rsid w:val="3FFFA9F3"/>
    <w:rsid w:val="438B1486"/>
    <w:rsid w:val="44FECC3D"/>
    <w:rsid w:val="451C1DA9"/>
    <w:rsid w:val="48FFD267"/>
    <w:rsid w:val="4AAF17C9"/>
    <w:rsid w:val="4CB55BC5"/>
    <w:rsid w:val="4D75CE6C"/>
    <w:rsid w:val="4EF7B269"/>
    <w:rsid w:val="4F7A8BDA"/>
    <w:rsid w:val="53FDF3AF"/>
    <w:rsid w:val="57FA7859"/>
    <w:rsid w:val="57FFD977"/>
    <w:rsid w:val="5B9F4F84"/>
    <w:rsid w:val="5BBF714D"/>
    <w:rsid w:val="5BCD1546"/>
    <w:rsid w:val="5CF6C8F9"/>
    <w:rsid w:val="5F9FED35"/>
    <w:rsid w:val="5FB321A3"/>
    <w:rsid w:val="5FBBEADD"/>
    <w:rsid w:val="5FDDE917"/>
    <w:rsid w:val="5FF78169"/>
    <w:rsid w:val="63DF74EE"/>
    <w:rsid w:val="65BB5456"/>
    <w:rsid w:val="66F7BF53"/>
    <w:rsid w:val="6A324FF0"/>
    <w:rsid w:val="6B7592EF"/>
    <w:rsid w:val="6BBC3E61"/>
    <w:rsid w:val="6BE7C33C"/>
    <w:rsid w:val="6D77FC8E"/>
    <w:rsid w:val="6D7F559A"/>
    <w:rsid w:val="6DF3A5AB"/>
    <w:rsid w:val="6F7D2B3A"/>
    <w:rsid w:val="6F9F0844"/>
    <w:rsid w:val="6FB3B9C5"/>
    <w:rsid w:val="6FDE62AD"/>
    <w:rsid w:val="70F7CFA0"/>
    <w:rsid w:val="737DF8F0"/>
    <w:rsid w:val="73D910AB"/>
    <w:rsid w:val="76FF1CFC"/>
    <w:rsid w:val="776CECA7"/>
    <w:rsid w:val="776E85EF"/>
    <w:rsid w:val="77FDECAF"/>
    <w:rsid w:val="7AFFEE7B"/>
    <w:rsid w:val="7BFFBCFD"/>
    <w:rsid w:val="7D6B05AB"/>
    <w:rsid w:val="7DD78487"/>
    <w:rsid w:val="7E7F829A"/>
    <w:rsid w:val="7EBDE828"/>
    <w:rsid w:val="7EEF6B19"/>
    <w:rsid w:val="7EF9AFA0"/>
    <w:rsid w:val="7EFD5268"/>
    <w:rsid w:val="7EFDCDEA"/>
    <w:rsid w:val="7F1FB747"/>
    <w:rsid w:val="7F497E04"/>
    <w:rsid w:val="7F5F5E97"/>
    <w:rsid w:val="7FC36EBE"/>
    <w:rsid w:val="7FE7C37C"/>
    <w:rsid w:val="7FFE7317"/>
    <w:rsid w:val="7FFF25C5"/>
    <w:rsid w:val="7FFFF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3D27B0-29CA-4021-B70A-674E2501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semiHidden/>
    <w:unhideWhenUsed/>
    <w:qFormat/>
    <w:pPr>
      <w:ind w:leftChars="600" w:left="1260"/>
    </w:pPr>
  </w:style>
  <w:style w:type="paragraph" w:styleId="TOC2">
    <w:name w:val="toc 2"/>
    <w:basedOn w:val="a"/>
    <w:next w:val="a"/>
    <w:uiPriority w:val="39"/>
    <w:unhideWhenUsed/>
    <w:qFormat/>
    <w:pPr>
      <w:widowControl/>
      <w:spacing w:after="100" w:line="276" w:lineRule="auto"/>
      <w:ind w:left="220"/>
      <w:jc w:val="left"/>
    </w:pPr>
    <w:rPr>
      <w:rFonts w:ascii="等线" w:eastAsia="等线" w:hAnsi="等线"/>
      <w:kern w:val="0"/>
      <w:sz w:val="22"/>
      <w:szCs w:val="22"/>
    </w:rPr>
  </w:style>
  <w:style w:type="paragraph" w:styleId="HTML">
    <w:name w:val="HTML Preformatted"/>
    <w:basedOn w:val="a"/>
    <w:link w:val="HTML0"/>
    <w:uiPriority w:val="99"/>
    <w:semiHidden/>
    <w:unhideWhenUsed/>
    <w:qFormat/>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hAnsi="Consolas" w:cs="Courier New"/>
      <w:color w:val="333333"/>
      <w:kern w:val="0"/>
      <w:sz w:val="20"/>
      <w:szCs w:val="20"/>
    </w:rPr>
  </w:style>
  <w:style w:type="paragraph" w:styleId="ab">
    <w:name w:val="Normal (Web)"/>
    <w:basedOn w:val="a"/>
    <w:uiPriority w:val="99"/>
    <w:semiHidden/>
    <w:unhideWhenUsed/>
    <w:qFormat/>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Hyperlink"/>
    <w:basedOn w:val="a0"/>
    <w:uiPriority w:val="99"/>
    <w:semiHidden/>
    <w:unhideWhenUsed/>
    <w:qFormat/>
    <w:rPr>
      <w:color w:val="0000FF"/>
      <w:u w:val="single"/>
    </w:rPr>
  </w:style>
  <w:style w:type="character" w:styleId="af2">
    <w:name w:val="annotation reference"/>
    <w:uiPriority w:val="99"/>
    <w:semiHidden/>
    <w:unhideWhenUsed/>
    <w:qFormat/>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link w:val="af4"/>
    <w:uiPriority w:val="34"/>
    <w:qFormat/>
    <w:pPr>
      <w:ind w:firstLineChars="200" w:firstLine="420"/>
    </w:pPr>
    <w:rPr>
      <w:rFonts w:ascii="等线" w:eastAsia="等线" w:hAnsi="等线"/>
      <w:szCs w:val="22"/>
    </w:rPr>
  </w:style>
  <w:style w:type="character" w:customStyle="1" w:styleId="a6">
    <w:name w:val="批注框文本 字符"/>
    <w:link w:val="a5"/>
    <w:uiPriority w:val="99"/>
    <w:semiHidden/>
    <w:qFormat/>
    <w:rPr>
      <w:rFonts w:ascii="Times New Roman" w:hAnsi="Times New Roman"/>
      <w:kern w:val="2"/>
      <w:sz w:val="18"/>
      <w:szCs w:val="18"/>
    </w:rPr>
  </w:style>
  <w:style w:type="paragraph" w:customStyle="1" w:styleId="1">
    <w:name w:val="正文1"/>
    <w:qFormat/>
    <w:pPr>
      <w:jc w:val="both"/>
    </w:pPr>
    <w:rPr>
      <w:kern w:val="2"/>
      <w:sz w:val="21"/>
      <w:szCs w:val="21"/>
    </w:rPr>
  </w:style>
  <w:style w:type="paragraph" w:customStyle="1" w:styleId="10">
    <w:name w:val="修订1"/>
    <w:hidden/>
    <w:uiPriority w:val="99"/>
    <w:semiHidden/>
    <w:qFormat/>
    <w:rPr>
      <w:kern w:val="2"/>
      <w:sz w:val="21"/>
      <w:szCs w:val="24"/>
    </w:rPr>
  </w:style>
  <w:style w:type="paragraph" w:customStyle="1" w:styleId="af5">
    <w:name w:val="日常使用"/>
    <w:basedOn w:val="a"/>
    <w:link w:val="af6"/>
    <w:qFormat/>
    <w:pPr>
      <w:spacing w:line="460" w:lineRule="exact"/>
      <w:ind w:firstLineChars="200" w:firstLine="200"/>
    </w:pPr>
    <w:rPr>
      <w:sz w:val="24"/>
      <w:szCs w:val="19"/>
      <w:shd w:val="clear" w:color="auto" w:fill="FFFFFF"/>
    </w:rPr>
  </w:style>
  <w:style w:type="character" w:customStyle="1" w:styleId="af6">
    <w:name w:val="日常使用 字符"/>
    <w:link w:val="af5"/>
    <w:qFormat/>
    <w:rPr>
      <w:rFonts w:ascii="Times New Roman" w:hAnsi="Times New Roman"/>
      <w:kern w:val="2"/>
      <w:sz w:val="24"/>
      <w:szCs w:val="19"/>
    </w:rPr>
  </w:style>
  <w:style w:type="paragraph" w:customStyle="1" w:styleId="af7">
    <w:name w:val="标准格式"/>
    <w:link w:val="af8"/>
    <w:qFormat/>
    <w:pPr>
      <w:spacing w:line="360" w:lineRule="exact"/>
      <w:ind w:firstLineChars="200" w:firstLine="200"/>
      <w:jc w:val="both"/>
    </w:pPr>
    <w:rPr>
      <w:rFonts w:cs="宋体"/>
      <w:color w:val="000000"/>
      <w:sz w:val="21"/>
      <w:szCs w:val="24"/>
    </w:rPr>
  </w:style>
  <w:style w:type="character" w:customStyle="1" w:styleId="af8">
    <w:name w:val="标准格式 字符"/>
    <w:link w:val="af7"/>
    <w:qFormat/>
    <w:rPr>
      <w:rFonts w:ascii="Times New Roman" w:hAnsi="Times New Roman" w:cs="宋体"/>
      <w:color w:val="000000"/>
      <w:sz w:val="21"/>
      <w:szCs w:val="24"/>
    </w:rPr>
  </w:style>
  <w:style w:type="character" w:customStyle="1" w:styleId="af4">
    <w:name w:val="列表段落 字符"/>
    <w:link w:val="af3"/>
    <w:uiPriority w:val="34"/>
    <w:qFormat/>
    <w:rPr>
      <w:rFonts w:ascii="等线" w:eastAsia="等线" w:hAnsi="等线"/>
      <w:kern w:val="2"/>
      <w:sz w:val="21"/>
      <w:szCs w:val="22"/>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d">
    <w:name w:val="批注主题 字符"/>
    <w:link w:val="ac"/>
    <w:uiPriority w:val="99"/>
    <w:semiHidden/>
    <w:qFormat/>
    <w:rPr>
      <w:rFonts w:ascii="Times New Roman" w:hAnsi="Times New Roman"/>
      <w:b/>
      <w:bCs/>
      <w:kern w:val="2"/>
      <w:sz w:val="21"/>
      <w:szCs w:val="24"/>
    </w:rPr>
  </w:style>
  <w:style w:type="paragraph" w:customStyle="1" w:styleId="20">
    <w:name w:val="样式2"/>
    <w:basedOn w:val="a"/>
    <w:link w:val="21"/>
    <w:qFormat/>
    <w:pPr>
      <w:spacing w:line="460" w:lineRule="exact"/>
      <w:ind w:firstLineChars="200" w:firstLine="200"/>
      <w:outlineLvl w:val="1"/>
    </w:pPr>
    <w:rPr>
      <w:b/>
      <w:sz w:val="24"/>
    </w:rPr>
  </w:style>
  <w:style w:type="character" w:customStyle="1" w:styleId="21">
    <w:name w:val="样式2 字符"/>
    <w:link w:val="20"/>
    <w:qFormat/>
    <w:rPr>
      <w:rFonts w:ascii="Times New Roman" w:hAnsi="Times New Roman"/>
      <w:b/>
      <w:kern w:val="2"/>
      <w:sz w:val="24"/>
      <w:szCs w:val="24"/>
    </w:rPr>
  </w:style>
  <w:style w:type="paragraph" w:customStyle="1" w:styleId="005">
    <w:name w:val="005正文"/>
    <w:basedOn w:val="a"/>
    <w:link w:val="005Char"/>
    <w:qFormat/>
    <w:pPr>
      <w:spacing w:beforeLines="50"/>
    </w:pPr>
    <w:rPr>
      <w:szCs w:val="22"/>
    </w:rPr>
  </w:style>
  <w:style w:type="character" w:customStyle="1" w:styleId="005Char">
    <w:name w:val="005正文 Char"/>
    <w:link w:val="005"/>
    <w:qFormat/>
    <w:rPr>
      <w:rFonts w:ascii="Times New Roman" w:hAnsi="Times New Roman"/>
      <w:kern w:val="2"/>
      <w:sz w:val="21"/>
      <w:szCs w:val="22"/>
    </w:rPr>
  </w:style>
  <w:style w:type="character" w:customStyle="1" w:styleId="HTML0">
    <w:name w:val="HTML 预设格式 字符"/>
    <w:link w:val="HTML"/>
    <w:uiPriority w:val="99"/>
    <w:semiHidden/>
    <w:qFormat/>
    <w:rPr>
      <w:rFonts w:ascii="Consolas" w:hAnsi="Consolas" w:cs="Courier New"/>
      <w:color w:val="333333"/>
      <w:shd w:val="clear" w:color="auto" w:fill="F5F5F5"/>
    </w:rPr>
  </w:style>
  <w:style w:type="character" w:customStyle="1" w:styleId="15">
    <w:name w:val="15"/>
    <w:basedOn w:val="a0"/>
    <w:rsid w:val="00414DDC"/>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3B2C4009-EBE9-4962-965A-CFB6D981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476</Words>
  <Characters>2717</Characters>
  <Application>Microsoft Office Word</Application>
  <DocSecurity>0</DocSecurity>
  <Lines>22</Lines>
  <Paragraphs>6</Paragraphs>
  <ScaleCrop>false</ScaleCrop>
  <Company>微软中国</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杨毅玲</dc:creator>
  <cp:lastModifiedBy>TB</cp:lastModifiedBy>
  <cp:revision>73</cp:revision>
  <dcterms:created xsi:type="dcterms:W3CDTF">2024-05-26T01:26:00Z</dcterms:created>
  <dcterms:modified xsi:type="dcterms:W3CDTF">2025-08-22T10:49:00Z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eyJoZGlkIjoiNjI5MWNkNWM4ODFjMzdlNTlmM2E5OGI1Njk3OThhN2UiLCJ1c2VySWQiOiI0NDQ4Nzc2MjkifQ==</vt:lpwstr>
  </property>
  <property fmtid="{D5CDD505-2E9C-101B-9397-08002B2CF9AE}" pid="4" name="ICV">
    <vt:lpwstr>03B03CE1AA3A4949844E81F4F1EDC25C_13</vt:lpwstr>
  </property>
</Properties>
</file>