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仿宋" w:hAnsi="仿宋" w:eastAsia="仿宋" w:cs="仿宋"/>
          <w:color w:val="000000"/>
          <w:sz w:val="28"/>
        </w:rPr>
      </w:pPr>
      <w:r>
        <w:rPr>
          <w:rFonts w:ascii="仿宋" w:hAnsi="仿宋" w:eastAsia="仿宋" w:cs="仿宋"/>
          <w:color w:val="000000"/>
          <w:sz w:val="28"/>
        </w:rPr>
        <w:t xml:space="preserve">证券代码：688187                  </w:t>
      </w:r>
      <w:r>
        <w:rPr>
          <w:rFonts w:hint="eastAsia" w:ascii="仿宋" w:hAnsi="仿宋" w:eastAsia="仿宋" w:cs="仿宋"/>
          <w:color w:val="000000"/>
          <w:sz w:val="28"/>
        </w:rPr>
        <w:t xml:space="preserve">       </w:t>
      </w:r>
      <w:r>
        <w:rPr>
          <w:rFonts w:ascii="仿宋" w:hAnsi="仿宋" w:eastAsia="仿宋" w:cs="仿宋"/>
          <w:color w:val="000000"/>
          <w:sz w:val="28"/>
        </w:rPr>
        <w:t>证券简称：时代电气</w:t>
      </w:r>
    </w:p>
    <w:p>
      <w:pPr>
        <w:spacing w:line="360" w:lineRule="auto"/>
        <w:jc w:val="center"/>
        <w:rPr>
          <w:rFonts w:ascii="华文中宋" w:hAnsi="华文中宋" w:eastAsia="华文中宋" w:cs="华文中宋"/>
          <w:b/>
          <w:color w:val="000000"/>
          <w:sz w:val="32"/>
        </w:rPr>
      </w:pPr>
      <w:r>
        <w:rPr>
          <w:rFonts w:ascii="华文中宋" w:hAnsi="华文中宋" w:eastAsia="华文中宋" w:cs="华文中宋"/>
          <w:b/>
          <w:color w:val="000000"/>
          <w:sz w:val="32"/>
        </w:rPr>
        <w:t>株洲中车时代电气股份有限公司投资者关系活动记录表</w:t>
      </w:r>
    </w:p>
    <w:p>
      <w:pPr>
        <w:spacing w:line="560" w:lineRule="auto"/>
        <w:jc w:val="right"/>
        <w:rPr>
          <w:rFonts w:hint="eastAsia" w:ascii="仿宋" w:hAnsi="仿宋" w:eastAsia="仿宋" w:cs="仿宋"/>
          <w:color w:val="000000"/>
          <w:sz w:val="28"/>
          <w:lang w:eastAsia="zh-CN"/>
        </w:rPr>
      </w:pPr>
      <w:r>
        <w:rPr>
          <w:rFonts w:ascii="仿宋" w:hAnsi="仿宋" w:eastAsia="仿宋" w:cs="仿宋"/>
          <w:color w:val="000000"/>
          <w:sz w:val="28"/>
        </w:rPr>
        <w:t xml:space="preserve">                                              编号：202</w:t>
      </w:r>
      <w:r>
        <w:rPr>
          <w:rFonts w:hint="eastAsia" w:ascii="仿宋" w:hAnsi="仿宋" w:eastAsia="仿宋" w:cs="仿宋"/>
          <w:color w:val="000000"/>
          <w:sz w:val="28"/>
        </w:rPr>
        <w:t>5</w:t>
      </w:r>
      <w:r>
        <w:rPr>
          <w:rFonts w:ascii="仿宋" w:hAnsi="仿宋" w:eastAsia="仿宋" w:cs="仿宋"/>
          <w:color w:val="000000"/>
          <w:sz w:val="28"/>
        </w:rPr>
        <w:t>00</w:t>
      </w:r>
      <w:r>
        <w:rPr>
          <w:rFonts w:hint="eastAsia" w:ascii="仿宋" w:hAnsi="仿宋" w:eastAsia="仿宋" w:cs="仿宋"/>
          <w:color w:val="000000"/>
          <w:sz w:val="28"/>
          <w:lang w:val="en-US" w:eastAsia="zh-CN"/>
        </w:rPr>
        <w:t>3</w:t>
      </w:r>
    </w:p>
    <w:tbl>
      <w:tblPr>
        <w:tblStyle w:val="9"/>
        <w:tblW w:w="0" w:type="auto"/>
        <w:tblInd w:w="98" w:type="dxa"/>
        <w:tblLayout w:type="autofit"/>
        <w:tblCellMar>
          <w:top w:w="0" w:type="dxa"/>
          <w:left w:w="10" w:type="dxa"/>
          <w:bottom w:w="0" w:type="dxa"/>
          <w:right w:w="10" w:type="dxa"/>
        </w:tblCellMar>
      </w:tblPr>
      <w:tblGrid>
        <w:gridCol w:w="3464"/>
        <w:gridCol w:w="4960"/>
      </w:tblGrid>
      <w:tr>
        <w:tblPrEx>
          <w:tblCellMar>
            <w:top w:w="0" w:type="dxa"/>
            <w:left w:w="10" w:type="dxa"/>
            <w:bottom w:w="0" w:type="dxa"/>
            <w:right w:w="10" w:type="dxa"/>
          </w:tblCellMar>
        </w:tblPrEx>
        <w:trPr>
          <w:trHeight w:val="1" w:hRule="atLeast"/>
        </w:trPr>
        <w:tc>
          <w:tcPr>
            <w:tcW w:w="351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spacing w:line="560" w:lineRule="auto"/>
              <w:rPr>
                <w:rFonts w:ascii="仿宋" w:hAnsi="仿宋" w:eastAsia="仿宋" w:cs="仿宋"/>
                <w:color w:val="000000"/>
                <w:sz w:val="24"/>
              </w:rPr>
            </w:pPr>
            <w:r>
              <w:rPr>
                <w:rFonts w:ascii="仿宋" w:hAnsi="仿宋" w:eastAsia="仿宋" w:cs="仿宋"/>
                <w:color w:val="000000"/>
                <w:sz w:val="24"/>
              </w:rPr>
              <w:t>投资者关系活动类别</w:t>
            </w:r>
          </w:p>
          <w:p>
            <w:pPr>
              <w:spacing w:line="560" w:lineRule="auto"/>
            </w:pPr>
          </w:p>
        </w:tc>
        <w:tc>
          <w:tcPr>
            <w:tcW w:w="501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spacing w:line="560" w:lineRule="auto"/>
              <w:rPr>
                <w:rFonts w:ascii="仿宋" w:hAnsi="仿宋" w:eastAsia="仿宋" w:cs="仿宋"/>
                <w:color w:val="000000"/>
                <w:sz w:val="24"/>
              </w:rPr>
            </w:pPr>
            <w:r>
              <w:rPr>
                <w:rFonts w:ascii="仿宋" w:hAnsi="仿宋" w:eastAsia="仿宋" w:cs="仿宋"/>
                <w:color w:val="000000"/>
                <w:sz w:val="24"/>
              </w:rPr>
              <w:t xml:space="preserve">□特定对象调研        </w:t>
            </w:r>
            <w:r>
              <w:rPr>
                <w:rFonts w:ascii="仿宋" w:hAnsi="仿宋" w:eastAsia="仿宋" w:cs="仿宋"/>
                <w:color w:val="000000"/>
                <w:sz w:val="24"/>
              </w:rPr>
              <w:sym w:font="Wingdings 2" w:char="0052"/>
            </w:r>
            <w:r>
              <w:rPr>
                <w:rFonts w:ascii="仿宋" w:hAnsi="仿宋" w:eastAsia="仿宋" w:cs="仿宋"/>
                <w:color w:val="000000"/>
                <w:sz w:val="24"/>
              </w:rPr>
              <w:t>分析师会议</w:t>
            </w:r>
          </w:p>
          <w:p>
            <w:pPr>
              <w:spacing w:line="560" w:lineRule="auto"/>
              <w:rPr>
                <w:rFonts w:ascii="仿宋" w:hAnsi="仿宋" w:eastAsia="仿宋" w:cs="仿宋"/>
                <w:color w:val="000000"/>
                <w:sz w:val="24"/>
              </w:rPr>
            </w:pPr>
            <w:r>
              <w:rPr>
                <w:rFonts w:ascii="仿宋" w:hAnsi="仿宋" w:eastAsia="仿宋" w:cs="仿宋"/>
                <w:color w:val="000000"/>
                <w:sz w:val="24"/>
              </w:rPr>
              <w:t xml:space="preserve">□媒体采访            </w:t>
            </w:r>
            <w:r>
              <w:rPr>
                <w:rFonts w:hint="eastAsia" w:ascii="仿宋_GB2312" w:hAnsi="宋体" w:eastAsia="仿宋_GB2312"/>
                <w:sz w:val="30"/>
                <w:szCs w:val="30"/>
              </w:rPr>
              <w:sym w:font="Wingdings 2" w:char="00A3"/>
            </w:r>
            <w:r>
              <w:rPr>
                <w:rFonts w:ascii="仿宋" w:hAnsi="仿宋" w:eastAsia="仿宋" w:cs="仿宋"/>
                <w:color w:val="000000"/>
                <w:sz w:val="24"/>
              </w:rPr>
              <w:t>业绩说明会</w:t>
            </w:r>
          </w:p>
          <w:p>
            <w:pPr>
              <w:spacing w:line="560" w:lineRule="auto"/>
              <w:rPr>
                <w:rFonts w:ascii="仿宋" w:hAnsi="仿宋" w:eastAsia="仿宋" w:cs="仿宋"/>
                <w:color w:val="000000"/>
                <w:sz w:val="24"/>
              </w:rPr>
            </w:pPr>
            <w:r>
              <w:rPr>
                <w:rFonts w:ascii="仿宋" w:hAnsi="仿宋" w:eastAsia="仿宋" w:cs="仿宋"/>
                <w:color w:val="000000"/>
                <w:sz w:val="24"/>
              </w:rPr>
              <w:t>□新闻发布会          □路演活动</w:t>
            </w:r>
          </w:p>
          <w:p>
            <w:pPr>
              <w:tabs>
                <w:tab w:val="left" w:pos="3045"/>
                <w:tab w:val="center" w:pos="3199"/>
              </w:tabs>
              <w:spacing w:line="560" w:lineRule="auto"/>
              <w:rPr>
                <w:rFonts w:ascii="仿宋" w:hAnsi="仿宋" w:eastAsia="仿宋" w:cs="仿宋"/>
                <w:color w:val="000000"/>
                <w:sz w:val="24"/>
              </w:rPr>
            </w:pPr>
            <w:r>
              <w:rPr>
                <w:rFonts w:ascii="仿宋" w:hAnsi="仿宋" w:eastAsia="仿宋" w:cs="仿宋"/>
                <w:color w:val="000000"/>
                <w:sz w:val="24"/>
              </w:rPr>
              <w:sym w:font="Wingdings 2" w:char="00A3"/>
            </w:r>
            <w:r>
              <w:rPr>
                <w:rFonts w:ascii="仿宋" w:hAnsi="仿宋" w:eastAsia="仿宋" w:cs="仿宋"/>
                <w:color w:val="000000"/>
                <w:sz w:val="24"/>
              </w:rPr>
              <w:t>现场参观</w:t>
            </w:r>
            <w:r>
              <w:rPr>
                <w:rFonts w:ascii="仿宋" w:hAnsi="仿宋" w:eastAsia="仿宋" w:cs="仿宋"/>
                <w:color w:val="000000"/>
                <w:sz w:val="24"/>
              </w:rPr>
              <w:tab/>
            </w:r>
          </w:p>
          <w:p>
            <w:pPr>
              <w:tabs>
                <w:tab w:val="center" w:pos="3199"/>
              </w:tabs>
              <w:spacing w:line="560" w:lineRule="auto"/>
            </w:pPr>
            <w:r>
              <w:rPr>
                <w:rFonts w:ascii="仿宋" w:hAnsi="仿宋" w:eastAsia="仿宋" w:cs="仿宋"/>
                <w:color w:val="000000"/>
                <w:sz w:val="24"/>
              </w:rPr>
              <w:sym w:font="Wingdings 2" w:char="00A3"/>
            </w:r>
            <w:r>
              <w:rPr>
                <w:rFonts w:ascii="仿宋" w:hAnsi="仿宋" w:eastAsia="仿宋" w:cs="仿宋"/>
                <w:color w:val="000000"/>
                <w:sz w:val="24"/>
              </w:rPr>
              <w:t xml:space="preserve">其他 </w:t>
            </w:r>
            <w:r>
              <w:rPr>
                <w:rFonts w:ascii="仿宋" w:hAnsi="仿宋" w:eastAsia="仿宋" w:cs="仿宋"/>
                <w:color w:val="000000"/>
                <w:sz w:val="24"/>
                <w:u w:val="single"/>
              </w:rPr>
              <w:t>（请文字说明其他活动内容）</w:t>
            </w:r>
          </w:p>
        </w:tc>
      </w:tr>
      <w:tr>
        <w:tblPrEx>
          <w:tblCellMar>
            <w:top w:w="0" w:type="dxa"/>
            <w:left w:w="10" w:type="dxa"/>
            <w:bottom w:w="0" w:type="dxa"/>
            <w:right w:w="10" w:type="dxa"/>
          </w:tblCellMar>
        </w:tblPrEx>
        <w:tc>
          <w:tcPr>
            <w:tcW w:w="351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spacing w:line="560" w:lineRule="auto"/>
            </w:pPr>
            <w:r>
              <w:rPr>
                <w:rFonts w:ascii="仿宋" w:hAnsi="仿宋" w:eastAsia="仿宋" w:cs="仿宋"/>
                <w:color w:val="000000"/>
                <w:sz w:val="24"/>
              </w:rPr>
              <w:t>参与单位名称及人员姓名</w:t>
            </w:r>
          </w:p>
        </w:tc>
        <w:tc>
          <w:tcPr>
            <w:tcW w:w="501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r>
              <w:rPr>
                <w:rFonts w:hint="eastAsia" w:ascii="仿宋" w:hAnsi="仿宋" w:eastAsia="仿宋" w:cs="仿宋"/>
                <w:color w:val="000000"/>
                <w:sz w:val="24"/>
                <w:lang w:val="en-US" w:eastAsia="zh-CN"/>
              </w:rPr>
              <w:t>银河证券、长江证券、光大证券、</w:t>
            </w:r>
            <w:r>
              <w:rPr>
                <w:rFonts w:hint="eastAsia" w:ascii="仿宋" w:hAnsi="仿宋" w:eastAsia="仿宋" w:cs="仿宋"/>
                <w:color w:val="000000"/>
                <w:sz w:val="24"/>
              </w:rPr>
              <w:t>兴业证券、</w:t>
            </w:r>
            <w:r>
              <w:rPr>
                <w:rFonts w:hint="eastAsia" w:ascii="仿宋" w:hAnsi="仿宋" w:eastAsia="仿宋" w:cs="仿宋"/>
                <w:color w:val="000000"/>
                <w:sz w:val="24"/>
                <w:lang w:val="en-US" w:eastAsia="zh-CN"/>
              </w:rPr>
              <w:t>中信证券、招商证券、</w:t>
            </w:r>
            <w:r>
              <w:rPr>
                <w:rFonts w:hint="eastAsia" w:ascii="仿宋" w:hAnsi="仿宋" w:eastAsia="仿宋" w:cs="仿宋"/>
                <w:color w:val="000000"/>
                <w:sz w:val="24"/>
              </w:rPr>
              <w:t>华创证券、华泰证券、申万宏源证券、中信建投证券、</w:t>
            </w:r>
            <w:r>
              <w:rPr>
                <w:rFonts w:hint="eastAsia" w:ascii="仿宋" w:hAnsi="仿宋" w:eastAsia="仿宋" w:cs="仿宋"/>
                <w:color w:val="000000"/>
                <w:sz w:val="24"/>
                <w:lang w:val="en-US" w:eastAsia="zh-CN"/>
              </w:rPr>
              <w:t>西部证券、广发</w:t>
            </w:r>
            <w:r>
              <w:rPr>
                <w:rFonts w:hint="eastAsia" w:ascii="仿宋" w:hAnsi="仿宋" w:eastAsia="仿宋" w:cs="仿宋"/>
                <w:color w:val="000000"/>
                <w:sz w:val="24"/>
              </w:rPr>
              <w:t>证券、第一上海证券、</w:t>
            </w:r>
            <w:r>
              <w:rPr>
                <w:rFonts w:hint="eastAsia" w:ascii="仿宋" w:hAnsi="仿宋" w:eastAsia="仿宋" w:cs="仿宋"/>
                <w:color w:val="000000"/>
                <w:sz w:val="24"/>
                <w:lang w:val="en-US" w:eastAsia="zh-CN"/>
              </w:rPr>
              <w:t>天风证券、国金证券、</w:t>
            </w:r>
            <w:r>
              <w:rPr>
                <w:rFonts w:hint="eastAsia" w:ascii="仿宋" w:hAnsi="仿宋" w:eastAsia="仿宋" w:cs="仿宋"/>
                <w:color w:val="000000"/>
                <w:sz w:val="24"/>
              </w:rPr>
              <w:t>浙商证券、</w:t>
            </w:r>
            <w:r>
              <w:rPr>
                <w:rFonts w:hint="eastAsia" w:ascii="仿宋" w:hAnsi="仿宋" w:eastAsia="仿宋" w:cs="仿宋"/>
                <w:color w:val="000000"/>
                <w:sz w:val="24"/>
                <w:lang w:val="en-US" w:eastAsia="zh-CN"/>
              </w:rPr>
              <w:t>摩根大通、</w:t>
            </w:r>
            <w:r>
              <w:rPr>
                <w:rFonts w:hint="eastAsia" w:ascii="仿宋" w:hAnsi="仿宋" w:eastAsia="仿宋" w:cs="仿宋"/>
                <w:color w:val="000000"/>
                <w:sz w:val="24"/>
              </w:rPr>
              <w:t>摩根士丹利、高盛证券、浦银国际证券、瑞银证券、碧云资本、</w:t>
            </w:r>
            <w:r>
              <w:rPr>
                <w:rFonts w:hint="eastAsia" w:ascii="仿宋" w:hAnsi="仿宋" w:eastAsia="仿宋" w:cs="仿宋"/>
                <w:color w:val="000000"/>
                <w:sz w:val="24"/>
                <w:lang w:val="en-US" w:eastAsia="zh-CN"/>
              </w:rPr>
              <w:t>大成基金、博时基金、中银</w:t>
            </w:r>
            <w:r>
              <w:rPr>
                <w:rFonts w:hint="eastAsia" w:ascii="仿宋" w:hAnsi="仿宋" w:eastAsia="仿宋" w:cs="仿宋"/>
                <w:color w:val="000000"/>
                <w:sz w:val="24"/>
              </w:rPr>
              <w:t>基金、前方基金、</w:t>
            </w:r>
            <w:r>
              <w:rPr>
                <w:rFonts w:hint="eastAsia" w:ascii="仿宋" w:hAnsi="仿宋" w:eastAsia="仿宋" w:cs="仿宋"/>
                <w:color w:val="000000"/>
                <w:sz w:val="24"/>
                <w:lang w:val="en-US" w:eastAsia="zh-CN"/>
              </w:rPr>
              <w:t>新华</w:t>
            </w:r>
            <w:r>
              <w:rPr>
                <w:rFonts w:hint="eastAsia" w:ascii="仿宋" w:hAnsi="仿宋" w:eastAsia="仿宋" w:cs="仿宋"/>
                <w:color w:val="000000"/>
                <w:sz w:val="24"/>
              </w:rPr>
              <w:t>基金</w:t>
            </w: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中欧基金</w:t>
            </w:r>
            <w:r>
              <w:rPr>
                <w:rFonts w:ascii="仿宋" w:hAnsi="仿宋" w:eastAsia="仿宋" w:cs="仿宋"/>
                <w:color w:val="000000"/>
                <w:sz w:val="24"/>
              </w:rPr>
              <w:t>等</w:t>
            </w:r>
            <w:r>
              <w:rPr>
                <w:rFonts w:hint="eastAsia" w:ascii="仿宋" w:hAnsi="仿宋" w:eastAsia="仿宋" w:cs="仿宋"/>
                <w:color w:val="000000"/>
                <w:sz w:val="24"/>
              </w:rPr>
              <w:t>1</w:t>
            </w:r>
            <w:r>
              <w:rPr>
                <w:rFonts w:hint="eastAsia" w:ascii="仿宋" w:hAnsi="仿宋" w:eastAsia="仿宋" w:cs="仿宋"/>
                <w:color w:val="000000"/>
                <w:sz w:val="24"/>
                <w:lang w:val="en-US" w:eastAsia="zh-CN"/>
              </w:rPr>
              <w:t>4</w:t>
            </w:r>
            <w:r>
              <w:rPr>
                <w:rFonts w:hint="eastAsia" w:ascii="仿宋" w:hAnsi="仿宋" w:eastAsia="仿宋" w:cs="仿宋"/>
                <w:color w:val="000000"/>
                <w:sz w:val="24"/>
              </w:rPr>
              <w:t>0多名投资者</w:t>
            </w:r>
            <w:r>
              <w:rPr>
                <w:rFonts w:ascii="仿宋" w:hAnsi="仿宋" w:eastAsia="仿宋" w:cs="仿宋"/>
                <w:color w:val="000000"/>
                <w:sz w:val="24"/>
              </w:rPr>
              <w:t>。</w:t>
            </w:r>
          </w:p>
        </w:tc>
      </w:tr>
      <w:tr>
        <w:tblPrEx>
          <w:tblCellMar>
            <w:top w:w="0" w:type="dxa"/>
            <w:left w:w="10" w:type="dxa"/>
            <w:bottom w:w="0" w:type="dxa"/>
            <w:right w:w="10" w:type="dxa"/>
          </w:tblCellMar>
        </w:tblPrEx>
        <w:trPr>
          <w:trHeight w:val="1" w:hRule="atLeast"/>
        </w:trPr>
        <w:tc>
          <w:tcPr>
            <w:tcW w:w="351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spacing w:line="560" w:lineRule="auto"/>
            </w:pPr>
            <w:r>
              <w:rPr>
                <w:rFonts w:ascii="仿宋" w:hAnsi="仿宋" w:eastAsia="仿宋" w:cs="仿宋"/>
                <w:color w:val="000000"/>
                <w:sz w:val="24"/>
              </w:rPr>
              <w:t>时间</w:t>
            </w:r>
          </w:p>
        </w:tc>
        <w:tc>
          <w:tcPr>
            <w:tcW w:w="501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spacing w:line="560" w:lineRule="auto"/>
            </w:pPr>
            <w:r>
              <w:rPr>
                <w:rFonts w:ascii="仿宋" w:hAnsi="仿宋" w:eastAsia="仿宋" w:cs="仿宋"/>
                <w:color w:val="000000"/>
                <w:sz w:val="24"/>
              </w:rPr>
              <w:t>202</w:t>
            </w:r>
            <w:r>
              <w:rPr>
                <w:rFonts w:hint="eastAsia" w:ascii="仿宋" w:hAnsi="仿宋" w:eastAsia="仿宋" w:cs="仿宋"/>
                <w:color w:val="000000"/>
                <w:sz w:val="24"/>
              </w:rPr>
              <w:t>5</w:t>
            </w:r>
            <w:r>
              <w:rPr>
                <w:rFonts w:ascii="仿宋" w:hAnsi="仿宋" w:eastAsia="仿宋" w:cs="仿宋"/>
                <w:color w:val="000000"/>
                <w:sz w:val="24"/>
              </w:rPr>
              <w:t>年</w:t>
            </w:r>
            <w:r>
              <w:rPr>
                <w:rFonts w:hint="eastAsia" w:ascii="仿宋" w:hAnsi="仿宋" w:eastAsia="仿宋" w:cs="仿宋"/>
                <w:color w:val="000000"/>
                <w:sz w:val="24"/>
                <w:lang w:val="en-US" w:eastAsia="zh-CN"/>
              </w:rPr>
              <w:t>8</w:t>
            </w:r>
            <w:r>
              <w:rPr>
                <w:rFonts w:ascii="仿宋" w:hAnsi="仿宋" w:eastAsia="仿宋" w:cs="仿宋"/>
                <w:color w:val="000000"/>
                <w:sz w:val="24"/>
              </w:rPr>
              <w:t>月</w:t>
            </w:r>
            <w:r>
              <w:rPr>
                <w:rFonts w:hint="eastAsia" w:ascii="仿宋" w:hAnsi="仿宋" w:eastAsia="仿宋" w:cs="仿宋"/>
                <w:color w:val="000000"/>
                <w:sz w:val="24"/>
                <w:lang w:val="en-US" w:eastAsia="zh-CN"/>
              </w:rPr>
              <w:t>22</w:t>
            </w:r>
            <w:r>
              <w:rPr>
                <w:rFonts w:ascii="仿宋" w:hAnsi="仿宋" w:eastAsia="仿宋" w:cs="仿宋"/>
                <w:color w:val="000000"/>
                <w:sz w:val="24"/>
              </w:rPr>
              <w:t>日</w:t>
            </w:r>
            <w:r>
              <w:rPr>
                <w:rFonts w:hint="eastAsia" w:ascii="仿宋" w:hAnsi="仿宋" w:eastAsia="仿宋" w:cs="仿宋"/>
                <w:color w:val="000000"/>
                <w:sz w:val="24"/>
              </w:rPr>
              <w:t>17:00</w:t>
            </w:r>
            <w:r>
              <w:rPr>
                <w:rFonts w:ascii="仿宋" w:hAnsi="仿宋" w:eastAsia="仿宋" w:cs="仿宋"/>
                <w:color w:val="000000"/>
                <w:sz w:val="24"/>
              </w:rPr>
              <w:t>-</w:t>
            </w:r>
            <w:r>
              <w:rPr>
                <w:rFonts w:hint="eastAsia" w:ascii="仿宋" w:hAnsi="仿宋" w:eastAsia="仿宋" w:cs="仿宋"/>
                <w:color w:val="000000"/>
                <w:sz w:val="24"/>
              </w:rPr>
              <w:t>18</w:t>
            </w:r>
            <w:r>
              <w:rPr>
                <w:rFonts w:ascii="仿宋" w:hAnsi="仿宋" w:eastAsia="仿宋" w:cs="仿宋"/>
                <w:color w:val="000000"/>
                <w:sz w:val="24"/>
              </w:rPr>
              <w:t>:</w:t>
            </w:r>
            <w:r>
              <w:rPr>
                <w:rFonts w:hint="eastAsia" w:ascii="仿宋" w:hAnsi="仿宋" w:eastAsia="仿宋" w:cs="仿宋"/>
                <w:color w:val="000000"/>
                <w:sz w:val="24"/>
              </w:rPr>
              <w:t>0</w:t>
            </w:r>
            <w:r>
              <w:rPr>
                <w:rFonts w:ascii="仿宋" w:hAnsi="仿宋" w:eastAsia="仿宋" w:cs="仿宋"/>
                <w:color w:val="000000"/>
                <w:sz w:val="24"/>
              </w:rPr>
              <w:t>0</w:t>
            </w:r>
          </w:p>
        </w:tc>
      </w:tr>
      <w:tr>
        <w:tblPrEx>
          <w:tblCellMar>
            <w:top w:w="0" w:type="dxa"/>
            <w:left w:w="10" w:type="dxa"/>
            <w:bottom w:w="0" w:type="dxa"/>
            <w:right w:w="10" w:type="dxa"/>
          </w:tblCellMar>
        </w:tblPrEx>
        <w:trPr>
          <w:trHeight w:val="1" w:hRule="atLeast"/>
        </w:trPr>
        <w:tc>
          <w:tcPr>
            <w:tcW w:w="351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spacing w:line="560" w:lineRule="auto"/>
            </w:pPr>
            <w:r>
              <w:rPr>
                <w:rFonts w:ascii="仿宋" w:hAnsi="仿宋" w:eastAsia="仿宋" w:cs="仿宋"/>
                <w:color w:val="000000"/>
                <w:sz w:val="24"/>
              </w:rPr>
              <w:t>地点</w:t>
            </w:r>
          </w:p>
        </w:tc>
        <w:tc>
          <w:tcPr>
            <w:tcW w:w="501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spacing w:line="560" w:lineRule="auto"/>
            </w:pPr>
            <w:r>
              <w:rPr>
                <w:rFonts w:hint="eastAsia" w:ascii="仿宋" w:hAnsi="仿宋" w:eastAsia="仿宋" w:cs="仿宋"/>
                <w:color w:val="000000"/>
                <w:sz w:val="24"/>
              </w:rPr>
              <w:t>电话</w:t>
            </w:r>
            <w:r>
              <w:rPr>
                <w:rFonts w:ascii="仿宋" w:hAnsi="仿宋" w:eastAsia="仿宋" w:cs="仿宋"/>
                <w:color w:val="000000"/>
                <w:sz w:val="24"/>
              </w:rPr>
              <w:t>会议</w:t>
            </w:r>
          </w:p>
        </w:tc>
      </w:tr>
      <w:tr>
        <w:tblPrEx>
          <w:tblCellMar>
            <w:top w:w="0" w:type="dxa"/>
            <w:left w:w="10" w:type="dxa"/>
            <w:bottom w:w="0" w:type="dxa"/>
            <w:right w:w="10" w:type="dxa"/>
          </w:tblCellMar>
        </w:tblPrEx>
        <w:trPr>
          <w:trHeight w:val="1" w:hRule="atLeast"/>
        </w:trPr>
        <w:tc>
          <w:tcPr>
            <w:tcW w:w="351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spacing w:line="560" w:lineRule="auto"/>
            </w:pPr>
            <w:r>
              <w:rPr>
                <w:rFonts w:ascii="仿宋" w:hAnsi="仿宋" w:eastAsia="仿宋" w:cs="仿宋"/>
                <w:color w:val="000000"/>
                <w:sz w:val="24"/>
              </w:rPr>
              <w:t>上市公司接待人员姓名</w:t>
            </w:r>
          </w:p>
        </w:tc>
        <w:tc>
          <w:tcPr>
            <w:tcW w:w="501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r>
              <w:rPr>
                <w:rFonts w:hint="eastAsia" w:ascii="仿宋" w:hAnsi="仿宋" w:eastAsia="仿宋" w:cs="仿宋"/>
                <w:color w:val="000000"/>
                <w:sz w:val="24"/>
                <w:lang w:val="en-US" w:eastAsia="zh-CN"/>
              </w:rPr>
              <w:t>副</w:t>
            </w:r>
            <w:r>
              <w:rPr>
                <w:rFonts w:hint="eastAsia" w:ascii="仿宋" w:hAnsi="仿宋" w:eastAsia="仿宋" w:cs="仿宋"/>
                <w:color w:val="000000"/>
                <w:sz w:val="24"/>
              </w:rPr>
              <w:t>总经理</w:t>
            </w:r>
            <w:r>
              <w:rPr>
                <w:rFonts w:hint="eastAsia" w:ascii="仿宋" w:hAnsi="仿宋" w:eastAsia="仿宋" w:cs="仿宋"/>
                <w:color w:val="000000"/>
                <w:sz w:val="24"/>
                <w:lang w:val="en-US" w:eastAsia="zh-CN"/>
              </w:rPr>
              <w:t>牛杰</w:t>
            </w:r>
            <w:r>
              <w:rPr>
                <w:rFonts w:hint="eastAsia" w:ascii="仿宋" w:hAnsi="仿宋" w:eastAsia="仿宋" w:cs="仿宋"/>
                <w:color w:val="000000"/>
                <w:sz w:val="24"/>
              </w:rPr>
              <w:t>先生，</w:t>
            </w:r>
            <w:r>
              <w:rPr>
                <w:rFonts w:ascii="仿宋" w:hAnsi="仿宋" w:eastAsia="仿宋" w:cs="仿宋"/>
                <w:color w:val="000000"/>
                <w:sz w:val="24"/>
              </w:rPr>
              <w:t>副总经理兼财务总监</w:t>
            </w:r>
            <w:r>
              <w:rPr>
                <w:rFonts w:hint="eastAsia" w:ascii="仿宋" w:hAnsi="仿宋" w:eastAsia="仿宋" w:cs="仿宋"/>
                <w:color w:val="000000"/>
                <w:sz w:val="24"/>
              </w:rPr>
              <w:t>孙珊女士，董事会秘书</w:t>
            </w:r>
            <w:r>
              <w:rPr>
                <w:rFonts w:ascii="仿宋" w:hAnsi="仿宋" w:eastAsia="仿宋" w:cs="仿宋"/>
                <w:color w:val="000000"/>
                <w:sz w:val="24"/>
              </w:rPr>
              <w:t>龙芙蓉女士。</w:t>
            </w:r>
          </w:p>
        </w:tc>
      </w:tr>
      <w:tr>
        <w:tblPrEx>
          <w:tblCellMar>
            <w:top w:w="0" w:type="dxa"/>
            <w:left w:w="10" w:type="dxa"/>
            <w:bottom w:w="0" w:type="dxa"/>
            <w:right w:w="10" w:type="dxa"/>
          </w:tblCellMar>
        </w:tblPrEx>
        <w:trPr>
          <w:trHeight w:val="1" w:hRule="atLeast"/>
        </w:trPr>
        <w:tc>
          <w:tcPr>
            <w:tcW w:w="351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560" w:lineRule="auto"/>
              <w:rPr>
                <w:rFonts w:ascii="仿宋" w:hAnsi="仿宋" w:eastAsia="仿宋" w:cs="仿宋"/>
                <w:color w:val="000000"/>
                <w:sz w:val="24"/>
              </w:rPr>
            </w:pPr>
            <w:r>
              <w:rPr>
                <w:rFonts w:ascii="仿宋" w:hAnsi="仿宋" w:eastAsia="仿宋" w:cs="仿宋"/>
                <w:color w:val="000000"/>
                <w:sz w:val="24"/>
              </w:rPr>
              <w:t>投资者关系活动主要内容介绍</w:t>
            </w:r>
          </w:p>
          <w:p>
            <w:pPr>
              <w:spacing w:line="560" w:lineRule="auto"/>
            </w:pPr>
          </w:p>
        </w:tc>
        <w:tc>
          <w:tcPr>
            <w:tcW w:w="501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rPr>
                <w:rFonts w:ascii="仿宋" w:hAnsi="仿宋" w:eastAsia="仿宋" w:cs="仿宋"/>
                <w:color w:val="000000"/>
                <w:sz w:val="24"/>
              </w:rPr>
            </w:pPr>
            <w:r>
              <w:rPr>
                <w:rFonts w:hint="eastAsia" w:ascii="仿宋" w:hAnsi="仿宋" w:eastAsia="仿宋" w:cs="仿宋"/>
                <w:color w:val="000000"/>
                <w:sz w:val="24"/>
              </w:rPr>
              <w:t>问答环节主要内容</w:t>
            </w:r>
            <w:r>
              <w:rPr>
                <w:rFonts w:ascii="仿宋" w:hAnsi="仿宋" w:eastAsia="仿宋" w:cs="仿宋"/>
                <w:color w:val="000000"/>
                <w:sz w:val="24"/>
              </w:rPr>
              <w:t>：</w:t>
            </w:r>
          </w:p>
          <w:p>
            <w:pPr>
              <w:rPr>
                <w:rFonts w:ascii="仿宋" w:hAnsi="仿宋" w:eastAsia="仿宋" w:cs="仿宋"/>
                <w:color w:val="000000"/>
                <w:sz w:val="24"/>
              </w:rPr>
            </w:pPr>
            <w:r>
              <w:rPr>
                <w:rFonts w:hint="eastAsia" w:ascii="仿宋" w:hAnsi="仿宋" w:eastAsia="仿宋" w:cs="仿宋"/>
                <w:color w:val="000000"/>
                <w:sz w:val="24"/>
              </w:rPr>
              <w:t>问题1：上半年铁路板块招标和交付情况具体什么状况？国铁刚发的210组动车组大单交付节奏怎样？“十五五”期间铁路投资有何展望及新机遇？</w:t>
            </w:r>
          </w:p>
          <w:p>
            <w:pPr>
              <w:ind w:firstLine="0" w:firstLineChars="0"/>
              <w:rPr>
                <w:rFonts w:hint="eastAsia" w:ascii="仿宋" w:hAnsi="仿宋" w:eastAsia="仿宋" w:cs="仿宋"/>
                <w:color w:val="000000"/>
                <w:sz w:val="24"/>
              </w:rPr>
            </w:pPr>
            <w:r>
              <w:rPr>
                <w:rFonts w:hint="eastAsia" w:ascii="仿宋" w:hAnsi="仿宋" w:eastAsia="仿宋" w:cs="仿宋"/>
                <w:color w:val="000000"/>
                <w:sz w:val="24"/>
              </w:rPr>
              <w:t>回答：2025年1月国铁集团招标机车120台，7月25日再次招标机车335台，至此，国铁集团全年机车招标已达455台，超过去年的360台。2025年4月国铁集团招标动车组68组，8月19日再次招标动车组210组，至此，国铁集团全年招标动车组数量已达278组，超过2024年全年的245组。</w:t>
            </w:r>
          </w:p>
          <w:p>
            <w:pPr>
              <w:ind w:firstLine="480" w:firstLineChars="200"/>
              <w:rPr>
                <w:rFonts w:hint="eastAsia" w:ascii="仿宋" w:hAnsi="仿宋" w:eastAsia="仿宋" w:cs="仿宋"/>
                <w:color w:val="000000"/>
                <w:sz w:val="24"/>
              </w:rPr>
            </w:pPr>
            <w:r>
              <w:rPr>
                <w:rFonts w:hint="eastAsia" w:ascii="仿宋" w:hAnsi="仿宋" w:eastAsia="仿宋" w:cs="仿宋"/>
                <w:color w:val="000000"/>
                <w:sz w:val="24"/>
              </w:rPr>
              <w:t>最近招标的210组动车组预计大部分会在年内交付，根据项目进度或许有少部分明年交付。</w:t>
            </w:r>
          </w:p>
          <w:p>
            <w:pPr>
              <w:ind w:firstLine="480" w:firstLineChars="200"/>
              <w:rPr>
                <w:rFonts w:ascii="仿宋" w:hAnsi="仿宋" w:eastAsia="仿宋" w:cs="仿宋"/>
                <w:color w:val="000000"/>
                <w:sz w:val="24"/>
              </w:rPr>
            </w:pPr>
            <w:r>
              <w:rPr>
                <w:rFonts w:hint="eastAsia" w:ascii="仿宋" w:hAnsi="仿宋" w:eastAsia="仿宋" w:cs="仿宋"/>
                <w:color w:val="000000"/>
                <w:sz w:val="24"/>
              </w:rPr>
              <w:t>根据2020年8月3日国铁集团发布的《新时代交通强国铁路先行规划纲要》及国家“十四五”铁路发展规划等权威文件，“十四五”末全国铁路运营里程将增长至17万公里，其中高铁5万公里左右，普速铁路12万公里。到2035年，全国铁路网运营里程达到20万公里左右，其中高铁7万公里左右。根据这些文件所述，未来10年高铁和普速铁路分别还有2万公里和1万公里的增长空间，高铁增速将超过普速铁路。预计“十五五”期间铁路建设将从大规模扩张转向路网的补强和优化，沿江沿海沿边、西部通道建设、区域互联等将成为铁路建设的重点，提升整体交通网络战略支撑能力，此外深化国际交通合作支撑“一带一路”，持续推进技术创新和绿色发展，都会给铁路装备产业带来新的发展机遇。</w:t>
            </w:r>
          </w:p>
          <w:p>
            <w:pPr>
              <w:ind w:firstLine="480" w:firstLineChars="200"/>
              <w:rPr>
                <w:rFonts w:ascii="仿宋" w:hAnsi="仿宋" w:eastAsia="仿宋" w:cs="仿宋"/>
                <w:color w:val="000000"/>
                <w:sz w:val="24"/>
              </w:rPr>
            </w:pPr>
          </w:p>
          <w:p>
            <w:pPr>
              <w:rPr>
                <w:rFonts w:ascii="仿宋" w:hAnsi="仿宋" w:eastAsia="仿宋" w:cs="仿宋"/>
                <w:color w:val="000000"/>
                <w:sz w:val="24"/>
              </w:rPr>
            </w:pPr>
            <w:r>
              <w:rPr>
                <w:rFonts w:hint="eastAsia" w:ascii="仿宋" w:hAnsi="仿宋" w:eastAsia="仿宋" w:cs="仿宋"/>
                <w:color w:val="000000"/>
                <w:sz w:val="24"/>
              </w:rPr>
              <w:t>问题2：上半年半导体板块具体经营情况请介绍一下。是否能够结合贵司已有能力介绍在已有板块中的行业地位情况</w:t>
            </w:r>
            <w:r>
              <w:rPr>
                <w:rFonts w:hint="eastAsia" w:ascii="仿宋" w:hAnsi="仿宋" w:eastAsia="仿宋" w:cs="仿宋"/>
                <w:color w:val="000000"/>
                <w:sz w:val="24"/>
                <w:lang w:eastAsia="zh-CN"/>
              </w:rPr>
              <w:t>，</w:t>
            </w:r>
            <w:r>
              <w:rPr>
                <w:rFonts w:hint="eastAsia" w:ascii="仿宋" w:hAnsi="仿宋" w:eastAsia="仿宋" w:cs="仿宋"/>
                <w:color w:val="000000"/>
                <w:sz w:val="24"/>
              </w:rPr>
              <w:t>以及对行业的展望及发展思路。</w:t>
            </w:r>
          </w:p>
          <w:p>
            <w:pPr>
              <w:ind w:firstLine="0" w:firstLineChars="0"/>
              <w:rPr>
                <w:rFonts w:hint="eastAsia" w:ascii="仿宋" w:hAnsi="仿宋" w:eastAsia="仿宋" w:cs="仿宋"/>
                <w:color w:val="000000"/>
                <w:sz w:val="24"/>
              </w:rPr>
            </w:pPr>
            <w:r>
              <w:rPr>
                <w:rFonts w:hint="eastAsia" w:ascii="仿宋" w:hAnsi="仿宋" w:eastAsia="仿宋" w:cs="仿宋"/>
                <w:color w:val="000000"/>
                <w:sz w:val="24"/>
              </w:rPr>
              <w:t>回答：2025年上半年半导体公司收入约24.40亿元，相比去年同期20.48亿元同比增长</w:t>
            </w:r>
            <w:r>
              <w:rPr>
                <w:rFonts w:hint="eastAsia" w:ascii="仿宋" w:hAnsi="仿宋" w:eastAsia="仿宋" w:cs="仿宋"/>
                <w:color w:val="000000"/>
                <w:sz w:val="24"/>
                <w:lang w:val="en-US" w:eastAsia="zh-CN"/>
              </w:rPr>
              <w:t>约</w:t>
            </w:r>
            <w:r>
              <w:rPr>
                <w:rFonts w:hint="eastAsia" w:ascii="仿宋" w:hAnsi="仿宋" w:eastAsia="仿宋" w:cs="仿宋"/>
                <w:color w:val="000000"/>
                <w:sz w:val="24"/>
              </w:rPr>
              <w:t>19.14%，其中双极器件收入</w:t>
            </w:r>
            <w:r>
              <w:rPr>
                <w:rFonts w:hint="eastAsia" w:ascii="仿宋" w:hAnsi="仿宋" w:eastAsia="仿宋" w:cs="仿宋"/>
                <w:color w:val="000000"/>
                <w:sz w:val="24"/>
                <w:lang w:val="en-US" w:eastAsia="zh-CN"/>
              </w:rPr>
              <w:t>约</w:t>
            </w:r>
            <w:r>
              <w:rPr>
                <w:rFonts w:hint="eastAsia" w:ascii="仿宋" w:hAnsi="仿宋" w:eastAsia="仿宋" w:cs="仿宋"/>
                <w:color w:val="000000"/>
                <w:sz w:val="24"/>
              </w:rPr>
              <w:t>2.58亿元，</w:t>
            </w:r>
            <w:r>
              <w:rPr>
                <w:rFonts w:hint="eastAsia" w:ascii="仿宋" w:hAnsi="仿宋" w:eastAsia="仿宋" w:cs="仿宋"/>
                <w:color w:val="000000"/>
                <w:sz w:val="24"/>
                <w:highlight w:val="none"/>
              </w:rPr>
              <w:t>同比</w:t>
            </w:r>
            <w:r>
              <w:rPr>
                <w:rFonts w:hint="eastAsia" w:ascii="仿宋" w:hAnsi="仿宋" w:eastAsia="仿宋" w:cs="仿宋"/>
                <w:color w:val="000000"/>
                <w:sz w:val="24"/>
                <w:highlight w:val="none"/>
                <w:lang w:val="en-US" w:eastAsia="zh-CN"/>
              </w:rPr>
              <w:t>减少</w:t>
            </w:r>
            <w:r>
              <w:rPr>
                <w:rFonts w:hint="eastAsia" w:ascii="仿宋" w:hAnsi="仿宋" w:eastAsia="仿宋" w:cs="仿宋"/>
                <w:color w:val="000000"/>
                <w:sz w:val="24"/>
                <w:lang w:val="en-US" w:eastAsia="zh-CN"/>
              </w:rPr>
              <w:t>约</w:t>
            </w:r>
            <w:r>
              <w:rPr>
                <w:rFonts w:hint="eastAsia" w:ascii="仿宋" w:hAnsi="仿宋" w:eastAsia="仿宋" w:cs="仿宋"/>
                <w:color w:val="000000"/>
                <w:sz w:val="24"/>
                <w:highlight w:val="none"/>
              </w:rPr>
              <w:t>35.01%</w:t>
            </w:r>
            <w:r>
              <w:rPr>
                <w:rFonts w:hint="eastAsia" w:ascii="仿宋" w:hAnsi="仿宋" w:eastAsia="仿宋" w:cs="仿宋"/>
                <w:color w:val="000000"/>
                <w:sz w:val="24"/>
              </w:rPr>
              <w:t>，IGBT收入</w:t>
            </w:r>
            <w:r>
              <w:rPr>
                <w:rFonts w:hint="eastAsia" w:ascii="仿宋" w:hAnsi="仿宋" w:eastAsia="仿宋" w:cs="仿宋"/>
                <w:color w:val="000000"/>
                <w:sz w:val="24"/>
                <w:lang w:val="en-US" w:eastAsia="zh-CN"/>
              </w:rPr>
              <w:t>约</w:t>
            </w:r>
            <w:r>
              <w:rPr>
                <w:rFonts w:hint="eastAsia" w:ascii="仿宋" w:hAnsi="仿宋" w:eastAsia="仿宋" w:cs="仿宋"/>
                <w:color w:val="000000"/>
                <w:sz w:val="24"/>
              </w:rPr>
              <w:t>21.82亿元，同比增长</w:t>
            </w:r>
            <w:r>
              <w:rPr>
                <w:rFonts w:hint="eastAsia" w:ascii="仿宋" w:hAnsi="仿宋" w:eastAsia="仿宋" w:cs="仿宋"/>
                <w:color w:val="000000"/>
                <w:sz w:val="24"/>
                <w:lang w:val="en-US" w:eastAsia="zh-CN"/>
              </w:rPr>
              <w:t>约</w:t>
            </w:r>
            <w:r>
              <w:rPr>
                <w:rFonts w:hint="eastAsia" w:ascii="仿宋" w:hAnsi="仿宋" w:eastAsia="仿宋" w:cs="仿宋"/>
                <w:color w:val="000000"/>
                <w:sz w:val="24"/>
              </w:rPr>
              <w:t>32.16%，其中高压IGBT收入</w:t>
            </w:r>
            <w:r>
              <w:rPr>
                <w:rFonts w:hint="eastAsia" w:ascii="仿宋" w:hAnsi="仿宋" w:eastAsia="仿宋" w:cs="仿宋"/>
                <w:color w:val="000000"/>
                <w:sz w:val="24"/>
                <w:lang w:val="en-US" w:eastAsia="zh-CN"/>
              </w:rPr>
              <w:t>约</w:t>
            </w:r>
            <w:r>
              <w:rPr>
                <w:rFonts w:hint="eastAsia" w:ascii="仿宋" w:hAnsi="仿宋" w:eastAsia="仿宋" w:cs="仿宋"/>
                <w:color w:val="000000"/>
                <w:sz w:val="24"/>
              </w:rPr>
              <w:t>4.2亿元，同比增长</w:t>
            </w:r>
            <w:r>
              <w:rPr>
                <w:rFonts w:hint="eastAsia" w:ascii="仿宋" w:hAnsi="仿宋" w:eastAsia="仿宋" w:cs="仿宋"/>
                <w:color w:val="000000"/>
                <w:sz w:val="24"/>
                <w:lang w:val="en-US" w:eastAsia="zh-CN"/>
              </w:rPr>
              <w:t>约</w:t>
            </w:r>
            <w:r>
              <w:rPr>
                <w:rFonts w:hint="eastAsia" w:ascii="仿宋" w:hAnsi="仿宋" w:eastAsia="仿宋" w:cs="仿宋"/>
                <w:color w:val="000000"/>
                <w:sz w:val="24"/>
              </w:rPr>
              <w:t>50.54%，中低压IGBT收入</w:t>
            </w:r>
            <w:r>
              <w:rPr>
                <w:rFonts w:hint="eastAsia" w:ascii="仿宋" w:hAnsi="仿宋" w:eastAsia="仿宋" w:cs="仿宋"/>
                <w:color w:val="000000"/>
                <w:sz w:val="24"/>
                <w:lang w:val="en-US" w:eastAsia="zh-CN"/>
              </w:rPr>
              <w:t>约</w:t>
            </w:r>
            <w:r>
              <w:rPr>
                <w:rFonts w:hint="eastAsia" w:ascii="仿宋" w:hAnsi="仿宋" w:eastAsia="仿宋" w:cs="仿宋"/>
                <w:color w:val="000000"/>
                <w:sz w:val="24"/>
              </w:rPr>
              <w:t>17.63亿元，同比增长</w:t>
            </w:r>
            <w:r>
              <w:rPr>
                <w:rFonts w:hint="eastAsia" w:ascii="仿宋" w:hAnsi="仿宋" w:eastAsia="仿宋" w:cs="仿宋"/>
                <w:color w:val="000000"/>
                <w:sz w:val="24"/>
                <w:lang w:val="en-US" w:eastAsia="zh-CN"/>
              </w:rPr>
              <w:t>约</w:t>
            </w:r>
            <w:r>
              <w:rPr>
                <w:rFonts w:hint="eastAsia" w:ascii="仿宋" w:hAnsi="仿宋" w:eastAsia="仿宋" w:cs="仿宋"/>
                <w:color w:val="000000"/>
                <w:sz w:val="24"/>
              </w:rPr>
              <w:t>28.50%。</w:t>
            </w:r>
          </w:p>
          <w:p>
            <w:pPr>
              <w:ind w:firstLine="480" w:firstLineChars="200"/>
              <w:rPr>
                <w:rFonts w:hint="eastAsia" w:ascii="仿宋" w:hAnsi="仿宋" w:eastAsia="仿宋" w:cs="仿宋"/>
                <w:color w:val="000000"/>
                <w:sz w:val="24"/>
              </w:rPr>
            </w:pPr>
            <w:r>
              <w:rPr>
                <w:rFonts w:hint="eastAsia" w:ascii="仿宋" w:hAnsi="仿宋" w:eastAsia="仿宋" w:cs="仿宋"/>
                <w:color w:val="000000"/>
                <w:sz w:val="24"/>
              </w:rPr>
              <w:t>功率半导体行业地位持续稳固提升，其中在轨道交通、新型电力系统领域持续处于主导地位，市占率均超50%，国内第一；在新能源汽车功率模块国内市占率13.6%，国内第二；新能源发电（风光储氢）国内市占率约20%，国内第二；此外，公司也在持续进行产品型谱拓展并取得了一定成效。</w:t>
            </w:r>
          </w:p>
          <w:p>
            <w:pPr>
              <w:ind w:firstLine="480" w:firstLineChars="200"/>
              <w:rPr>
                <w:rFonts w:ascii="仿宋" w:hAnsi="仿宋" w:eastAsia="仿宋" w:cs="仿宋"/>
                <w:color w:val="000000"/>
                <w:sz w:val="24"/>
              </w:rPr>
            </w:pPr>
            <w:r>
              <w:rPr>
                <w:rFonts w:hint="eastAsia" w:ascii="仿宋" w:hAnsi="仿宋" w:eastAsia="仿宋" w:cs="仿宋"/>
                <w:color w:val="000000"/>
                <w:sz w:val="24"/>
              </w:rPr>
              <w:t>受电动化、智能化以及节能减驱动，功率半导体市场容量持续处于增长趋势，尤其是在新型电力系统加速构建，催生大量的高压产品需求。但近几年，随着行业产能增加，尤其是在中低压领域（新能源汽车、新能源发电等），行业竞争持续加剧。时代电气半导体产业板块基于IDM产业发展模式，产品覆盖范围广，在高压产品领域具有传统优势，且在中低压产品领域聚集了大量的国内外优质客户资源，</w:t>
            </w:r>
            <w:r>
              <w:rPr>
                <w:rFonts w:hint="eastAsia" w:ascii="仿宋" w:hAnsi="仿宋" w:eastAsia="仿宋" w:cs="仿宋"/>
                <w:color w:val="000000"/>
                <w:sz w:val="24"/>
                <w:lang w:val="en-US" w:eastAsia="zh-CN"/>
              </w:rPr>
              <w:t>具备</w:t>
            </w:r>
            <w:r>
              <w:rPr>
                <w:rFonts w:hint="eastAsia" w:ascii="仿宋" w:hAnsi="仿宋" w:eastAsia="仿宋" w:cs="仿宋"/>
                <w:color w:val="000000"/>
                <w:sz w:val="24"/>
              </w:rPr>
              <w:t>长期竞争</w:t>
            </w:r>
            <w:r>
              <w:rPr>
                <w:rFonts w:hint="eastAsia" w:ascii="仿宋" w:hAnsi="仿宋" w:eastAsia="仿宋" w:cs="仿宋"/>
                <w:color w:val="000000"/>
                <w:sz w:val="24"/>
                <w:lang w:val="en-US" w:eastAsia="zh-CN"/>
              </w:rPr>
              <w:t>能力</w:t>
            </w:r>
            <w:r>
              <w:rPr>
                <w:rFonts w:hint="eastAsia" w:ascii="仿宋" w:hAnsi="仿宋" w:eastAsia="仿宋" w:cs="仿宋"/>
                <w:color w:val="000000"/>
                <w:sz w:val="24"/>
              </w:rPr>
              <w:t>。</w:t>
            </w:r>
          </w:p>
          <w:p>
            <w:pPr>
              <w:ind w:firstLine="480" w:firstLineChars="200"/>
              <w:rPr>
                <w:rFonts w:ascii="仿宋" w:hAnsi="仿宋" w:eastAsia="仿宋" w:cs="仿宋"/>
                <w:color w:val="000000"/>
                <w:sz w:val="24"/>
              </w:rPr>
            </w:pPr>
          </w:p>
          <w:p>
            <w:pPr>
              <w:rPr>
                <w:rFonts w:ascii="仿宋" w:hAnsi="仿宋" w:eastAsia="仿宋" w:cs="仿宋"/>
                <w:color w:val="000000"/>
                <w:sz w:val="24"/>
              </w:rPr>
            </w:pPr>
            <w:r>
              <w:rPr>
                <w:rFonts w:hint="eastAsia" w:ascii="仿宋" w:hAnsi="仿宋" w:eastAsia="仿宋" w:cs="仿宋"/>
                <w:color w:val="000000"/>
                <w:sz w:val="24"/>
              </w:rPr>
              <w:t>问题3：公司本报告期部分扣非后的指标均有较大幅度增长，注意到是非经常性损益的减少，具体原因是什么？公司如何应对此类收益对公司的利润的冲击？同时注意到公司的最终控制方</w:t>
            </w:r>
            <w:r>
              <w:rPr>
                <w:rFonts w:hint="eastAsia" w:ascii="仿宋" w:hAnsi="仿宋" w:eastAsia="仿宋" w:cs="仿宋"/>
                <w:color w:val="000000"/>
                <w:sz w:val="24"/>
                <w:lang w:val="en-US" w:eastAsia="zh-CN"/>
              </w:rPr>
              <w:t>中国中车</w:t>
            </w:r>
            <w:r>
              <w:rPr>
                <w:rFonts w:hint="eastAsia" w:ascii="仿宋" w:hAnsi="仿宋" w:eastAsia="仿宋" w:cs="仿宋"/>
                <w:color w:val="000000"/>
                <w:sz w:val="24"/>
              </w:rPr>
              <w:t>2025年半年度业绩大幅增长，公司半年度业绩增幅与</w:t>
            </w:r>
            <w:r>
              <w:rPr>
                <w:rFonts w:hint="eastAsia" w:ascii="仿宋" w:hAnsi="仿宋" w:eastAsia="仿宋" w:cs="仿宋"/>
                <w:color w:val="000000"/>
                <w:sz w:val="24"/>
                <w:lang w:val="en-US" w:eastAsia="zh-CN"/>
              </w:rPr>
              <w:t>中国中车</w:t>
            </w:r>
            <w:r>
              <w:rPr>
                <w:rFonts w:hint="eastAsia" w:ascii="仿宋" w:hAnsi="仿宋" w:eastAsia="仿宋" w:cs="仿宋"/>
                <w:color w:val="000000"/>
                <w:sz w:val="24"/>
              </w:rPr>
              <w:t>存在差异的原因是什么？</w:t>
            </w:r>
          </w:p>
          <w:p>
            <w:pPr>
              <w:ind w:firstLine="0" w:firstLineChars="0"/>
              <w:rPr>
                <w:rFonts w:hint="eastAsia" w:ascii="仿宋" w:hAnsi="仿宋" w:eastAsia="仿宋" w:cs="仿宋"/>
                <w:color w:val="000000"/>
                <w:sz w:val="24"/>
              </w:rPr>
            </w:pPr>
            <w:r>
              <w:rPr>
                <w:rFonts w:hint="eastAsia" w:ascii="仿宋" w:hAnsi="仿宋" w:eastAsia="仿宋" w:cs="仿宋"/>
                <w:color w:val="000000"/>
                <w:sz w:val="24"/>
              </w:rPr>
              <w:t>回答：公司2025年半年度扣非后的归母净利润</w:t>
            </w:r>
            <w:r>
              <w:rPr>
                <w:rFonts w:hint="eastAsia" w:ascii="仿宋" w:hAnsi="仿宋" w:eastAsia="仿宋" w:cs="仿宋"/>
                <w:color w:val="000000"/>
                <w:sz w:val="24"/>
                <w:lang w:val="en-US" w:eastAsia="zh-CN"/>
              </w:rPr>
              <w:t>约</w:t>
            </w:r>
            <w:r>
              <w:rPr>
                <w:rFonts w:hint="eastAsia" w:ascii="仿宋" w:hAnsi="仿宋" w:eastAsia="仿宋" w:cs="仿宋"/>
                <w:color w:val="000000"/>
                <w:sz w:val="24"/>
              </w:rPr>
              <w:t>15.88亿元，较上年同期增长</w:t>
            </w:r>
            <w:r>
              <w:rPr>
                <w:rFonts w:hint="eastAsia" w:ascii="仿宋" w:hAnsi="仿宋" w:eastAsia="仿宋" w:cs="仿宋"/>
                <w:color w:val="000000"/>
                <w:sz w:val="24"/>
                <w:lang w:val="en-US" w:eastAsia="zh-CN"/>
              </w:rPr>
              <w:t>约</w:t>
            </w:r>
            <w:r>
              <w:rPr>
                <w:rFonts w:hint="eastAsia" w:ascii="仿宋" w:hAnsi="仿宋" w:eastAsia="仿宋" w:cs="仿宋"/>
                <w:color w:val="000000"/>
                <w:sz w:val="24"/>
              </w:rPr>
              <w:t>37.04%，驱动</w:t>
            </w:r>
            <w:r>
              <w:rPr>
                <w:rFonts w:hint="eastAsia" w:ascii="仿宋" w:hAnsi="仿宋" w:eastAsia="仿宋" w:cs="仿宋"/>
                <w:color w:val="000000"/>
                <w:sz w:val="24"/>
                <w:lang w:val="en-US" w:eastAsia="zh-CN"/>
              </w:rPr>
              <w:t>公司</w:t>
            </w:r>
            <w:r>
              <w:rPr>
                <w:rFonts w:hint="eastAsia" w:ascii="仿宋" w:hAnsi="仿宋" w:eastAsia="仿宋" w:cs="仿宋"/>
                <w:color w:val="000000"/>
                <w:sz w:val="24"/>
              </w:rPr>
              <w:t>扣非后的每股收益和扣非后的净资产收益率均呈现较大幅度的增长。</w:t>
            </w:r>
          </w:p>
          <w:p>
            <w:pPr>
              <w:ind w:firstLine="480" w:firstLineChars="200"/>
              <w:rPr>
                <w:rFonts w:hint="eastAsia" w:ascii="仿宋" w:hAnsi="仿宋" w:eastAsia="仿宋" w:cs="仿宋"/>
                <w:color w:val="000000"/>
                <w:sz w:val="24"/>
              </w:rPr>
            </w:pPr>
            <w:r>
              <w:rPr>
                <w:rFonts w:hint="eastAsia" w:ascii="仿宋" w:hAnsi="仿宋" w:eastAsia="仿宋" w:cs="仿宋"/>
                <w:color w:val="000000"/>
                <w:sz w:val="24"/>
              </w:rPr>
              <w:t>扣非指标的增长，一方面由于公司收入规模的扩大带来毛利润的增长，2025年毛利润</w:t>
            </w:r>
            <w:r>
              <w:rPr>
                <w:rFonts w:hint="eastAsia" w:ascii="仿宋" w:hAnsi="仿宋" w:eastAsia="仿宋" w:cs="仿宋"/>
                <w:color w:val="000000"/>
                <w:sz w:val="24"/>
                <w:lang w:val="en-US" w:eastAsia="zh-CN"/>
              </w:rPr>
              <w:t>约</w:t>
            </w:r>
            <w:r>
              <w:rPr>
                <w:rFonts w:hint="eastAsia" w:ascii="仿宋" w:hAnsi="仿宋" w:eastAsia="仿宋" w:cs="仿宋"/>
                <w:color w:val="000000"/>
                <w:sz w:val="24"/>
              </w:rPr>
              <w:t>39.10亿元，较上年同期增长</w:t>
            </w:r>
            <w:r>
              <w:rPr>
                <w:rFonts w:hint="eastAsia" w:ascii="仿宋" w:hAnsi="仿宋" w:eastAsia="仿宋" w:cs="仿宋"/>
                <w:color w:val="000000"/>
                <w:sz w:val="24"/>
                <w:lang w:val="en-US" w:eastAsia="zh-CN"/>
              </w:rPr>
              <w:t>约</w:t>
            </w:r>
            <w:r>
              <w:rPr>
                <w:rFonts w:hint="eastAsia" w:ascii="仿宋" w:hAnsi="仿宋" w:eastAsia="仿宋" w:cs="仿宋"/>
                <w:color w:val="000000"/>
                <w:sz w:val="24"/>
              </w:rPr>
              <w:t>10.50亿元，增幅36.72%。另一方面是非经常性损益的减少，主要由于计入当期损益的政府补助大幅减少，2025年半年度该部分较上年同减少</w:t>
            </w:r>
            <w:r>
              <w:rPr>
                <w:rFonts w:hint="eastAsia" w:ascii="仿宋" w:hAnsi="仿宋" w:eastAsia="仿宋" w:cs="仿宋"/>
                <w:color w:val="000000"/>
                <w:sz w:val="24"/>
                <w:lang w:val="en-US" w:eastAsia="zh-CN"/>
              </w:rPr>
              <w:t>约</w:t>
            </w:r>
            <w:r>
              <w:rPr>
                <w:rFonts w:hint="eastAsia" w:ascii="仿宋" w:hAnsi="仿宋" w:eastAsia="仿宋" w:cs="仿宋"/>
                <w:color w:val="000000"/>
                <w:sz w:val="24"/>
              </w:rPr>
              <w:t>2.76亿元，降幅</w:t>
            </w:r>
            <w:r>
              <w:rPr>
                <w:rFonts w:hint="eastAsia" w:ascii="仿宋" w:hAnsi="仿宋" w:eastAsia="仿宋" w:cs="仿宋"/>
                <w:color w:val="000000"/>
                <w:sz w:val="24"/>
                <w:lang w:val="en-US" w:eastAsia="zh-CN"/>
              </w:rPr>
              <w:t>较大</w:t>
            </w:r>
            <w:r>
              <w:rPr>
                <w:rFonts w:hint="eastAsia" w:ascii="仿宋" w:hAnsi="仿宋" w:eastAsia="仿宋" w:cs="仿宋"/>
                <w:color w:val="000000"/>
                <w:sz w:val="24"/>
              </w:rPr>
              <w:t>。该变动主要由于与收益相关的科研补贴于2024年上半年随科研项目的结题而结转进损益，而本年半年度暂无大额项目结项确认损益。面对这一变化，公司持续致力于经营创效，秉持“高质量运营、高效率经营”的发展理念，在日常经营活动中挖潜。从2025年半年度经营业绩也看得出，公司归母净利润仍然保持稳健增长，非经常性损益的减少也不会给公司的业绩带来显著负面影响。</w:t>
            </w:r>
          </w:p>
          <w:p>
            <w:pPr>
              <w:ind w:firstLine="480" w:firstLineChars="200"/>
              <w:rPr>
                <w:rFonts w:ascii="仿宋" w:hAnsi="仿宋" w:eastAsia="仿宋" w:cs="仿宋"/>
                <w:color w:val="000000"/>
                <w:sz w:val="24"/>
              </w:rPr>
            </w:pPr>
            <w:r>
              <w:rPr>
                <w:rFonts w:hint="eastAsia" w:ascii="仿宋" w:hAnsi="仿宋" w:eastAsia="仿宋" w:cs="仿宋"/>
                <w:color w:val="000000"/>
                <w:sz w:val="24"/>
              </w:rPr>
              <w:t>关于公司业绩增幅与</w:t>
            </w:r>
            <w:r>
              <w:rPr>
                <w:rFonts w:hint="eastAsia" w:ascii="仿宋" w:hAnsi="仿宋" w:eastAsia="仿宋" w:cs="仿宋"/>
                <w:color w:val="000000"/>
                <w:sz w:val="24"/>
                <w:lang w:val="en-US" w:eastAsia="zh-CN"/>
              </w:rPr>
              <w:t>中国中车</w:t>
            </w:r>
            <w:r>
              <w:rPr>
                <w:rFonts w:hint="eastAsia" w:ascii="仿宋" w:hAnsi="仿宋" w:eastAsia="仿宋" w:cs="仿宋"/>
                <w:color w:val="000000"/>
                <w:sz w:val="24"/>
              </w:rPr>
              <w:t>存在差异的原因，主要有两个方面的影响：第一，公司作为轨道交通电气装备关键零部件的先进制造企业，核心产品是牵引变流系统，产品交付时点均早于整车交付。第二，随着公司同心多元化战略的深入开展，新兴装备业务的占比也持续提升。就2025年半年度收入结构而言，新兴装备业务的收入占公司总收入的43%，而中车2025年1季度收入新产业占比仅为31%。在以上两个因素的影响下，公司业绩增幅与中车股份的存在差异。</w:t>
            </w:r>
          </w:p>
          <w:p>
            <w:pPr>
              <w:ind w:firstLine="480" w:firstLineChars="200"/>
              <w:rPr>
                <w:rFonts w:ascii="仿宋" w:hAnsi="仿宋" w:eastAsia="仿宋" w:cs="仿宋"/>
                <w:color w:val="000000"/>
                <w:sz w:val="24"/>
              </w:rPr>
            </w:pPr>
          </w:p>
          <w:p>
            <w:pPr>
              <w:rPr>
                <w:rFonts w:ascii="仿宋" w:hAnsi="仿宋" w:eastAsia="仿宋" w:cs="仿宋"/>
                <w:color w:val="000000"/>
                <w:sz w:val="24"/>
              </w:rPr>
            </w:pPr>
            <w:r>
              <w:rPr>
                <w:rFonts w:hint="eastAsia" w:ascii="仿宋" w:hAnsi="仿宋" w:eastAsia="仿宋" w:cs="仿宋"/>
                <w:color w:val="000000"/>
                <w:sz w:val="24"/>
              </w:rPr>
              <w:t>问题4：请问上半年城轨市场招标</w:t>
            </w: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交付</w:t>
            </w:r>
            <w:r>
              <w:rPr>
                <w:rFonts w:hint="eastAsia" w:ascii="仿宋" w:hAnsi="仿宋" w:eastAsia="仿宋" w:cs="仿宋"/>
                <w:color w:val="000000"/>
                <w:sz w:val="24"/>
              </w:rPr>
              <w:t>情况？下半年及未来的招标和交付预期怎样？城轨市场的发展前景及公司产品布局如何？</w:t>
            </w:r>
          </w:p>
          <w:p>
            <w:pPr>
              <w:ind w:firstLine="0" w:firstLineChars="0"/>
              <w:rPr>
                <w:rFonts w:hint="eastAsia" w:ascii="仿宋" w:hAnsi="仿宋" w:eastAsia="仿宋" w:cs="仿宋"/>
                <w:color w:val="000000"/>
                <w:sz w:val="24"/>
              </w:rPr>
            </w:pPr>
            <w:r>
              <w:rPr>
                <w:rFonts w:hint="eastAsia" w:ascii="仿宋" w:hAnsi="仿宋" w:eastAsia="仿宋" w:cs="仿宋"/>
                <w:color w:val="000000"/>
                <w:sz w:val="24"/>
              </w:rPr>
              <w:t>回答：截至6月30日，国内城市轨道交通牵引系统总计招标1054辆，公司中标772辆，去年同期国内城轨牵引系统招标1151辆，公司中标752辆。受政府债务、客流强度、本期规划完成比例等因素影响，轨道交通线网规划放缓，新造市场容量下行。</w:t>
            </w:r>
          </w:p>
          <w:p>
            <w:pPr>
              <w:ind w:firstLine="480" w:firstLineChars="200"/>
            </w:pPr>
            <w:r>
              <w:rPr>
                <w:rFonts w:hint="eastAsia" w:ascii="仿宋" w:hAnsi="仿宋" w:eastAsia="仿宋" w:cs="仿宋"/>
                <w:color w:val="000000"/>
                <w:sz w:val="24"/>
              </w:rPr>
              <w:t>但同时早期采用进口品牌的关键系统也出现停产、备件周期长、价格昂贵等问题，改造需求日益增加，同时随着运营车辆逐年增多，检修业务需求增加，所以在既有业务布局之下，公司同步也成立了专门负责检修业务的团队，以应对日益增加的检修及改造市场需求。</w:t>
            </w:r>
            <w:r>
              <w:rPr>
                <w:rFonts w:hint="eastAsia" w:ascii="仿宋" w:hAnsi="仿宋" w:eastAsia="仿宋" w:cs="仿宋"/>
                <w:color w:val="000000"/>
                <w:sz w:val="24"/>
                <w:lang w:val="en-US" w:eastAsia="zh-CN"/>
              </w:rPr>
              <w:t>同时</w:t>
            </w:r>
            <w:r>
              <w:rPr>
                <w:rFonts w:hint="eastAsia" w:ascii="仿宋" w:hAnsi="仿宋" w:eastAsia="仿宋" w:cs="仿宋"/>
                <w:color w:val="000000"/>
                <w:sz w:val="24"/>
              </w:rPr>
              <w:t>丰富城轨检测设备等产品，如在线检测产品及检测网络等，通过产品的多型谱与多样性来弥补招标量下滑的影响。</w:t>
            </w:r>
          </w:p>
          <w:p>
            <w:pPr>
              <w:ind w:firstLine="480" w:firstLineChars="200"/>
              <w:rPr>
                <w:rFonts w:ascii="仿宋" w:hAnsi="仿宋" w:eastAsia="仿宋" w:cs="仿宋"/>
                <w:color w:val="000000"/>
                <w:sz w:val="24"/>
              </w:rPr>
            </w:pPr>
          </w:p>
          <w:p>
            <w:pPr>
              <w:rPr>
                <w:rFonts w:ascii="仿宋" w:hAnsi="仿宋" w:eastAsia="仿宋" w:cs="仿宋"/>
                <w:color w:val="000000"/>
                <w:sz w:val="24"/>
              </w:rPr>
            </w:pPr>
            <w:r>
              <w:rPr>
                <w:rFonts w:hint="eastAsia" w:ascii="仿宋" w:hAnsi="仿宋" w:eastAsia="仿宋" w:cs="仿宋"/>
                <w:color w:val="000000"/>
                <w:sz w:val="24"/>
              </w:rPr>
              <w:t>问题5：请介绍上半年公司新能源发电产业的中标情况，交付情况，财务状况。目前海外市场开拓情况请介绍。</w:t>
            </w:r>
          </w:p>
          <w:p>
            <w:pPr>
              <w:ind w:firstLine="0" w:firstLineChars="0"/>
              <w:rPr>
                <w:rFonts w:hint="eastAsia" w:ascii="仿宋" w:hAnsi="仿宋" w:eastAsia="仿宋" w:cs="仿宋"/>
                <w:color w:val="000000"/>
                <w:sz w:val="24"/>
              </w:rPr>
            </w:pPr>
            <w:r>
              <w:rPr>
                <w:rFonts w:hint="eastAsia" w:ascii="仿宋" w:hAnsi="仿宋" w:eastAsia="仿宋" w:cs="仿宋"/>
                <w:color w:val="000000"/>
                <w:sz w:val="24"/>
              </w:rPr>
              <w:t>回答：尽管136号文的发布对新能源市场产生了深远影响，但得益于自身高质量的“产品+服务”和良好的产业链生态竞争力，上半年，公司新能源发电产业中标量和交付量同比均实现大幅增长，财务状况良好。其中光伏逆变器国内中标超15GW，地面电站领域国内排名行业前三，公司首款液冷集中式储能变流器—2.5MW单支路PCS产品通过新国标认证与测试，订单超2GW。</w:t>
            </w:r>
          </w:p>
          <w:p>
            <w:pPr>
              <w:ind w:firstLine="480" w:firstLineChars="200"/>
              <w:rPr>
                <w:rFonts w:ascii="仿宋" w:hAnsi="仿宋" w:eastAsia="仿宋" w:cs="仿宋"/>
                <w:color w:val="000000"/>
                <w:sz w:val="24"/>
              </w:rPr>
            </w:pPr>
            <w:r>
              <w:rPr>
                <w:rFonts w:hint="eastAsia" w:ascii="仿宋" w:hAnsi="仿宋" w:eastAsia="仿宋" w:cs="仿宋"/>
                <w:color w:val="000000"/>
                <w:sz w:val="24"/>
              </w:rPr>
              <w:t>变流与控制技术是公司的根技术之一，我们始终坚持同心多元的创新战略，为用户、行业、社会提供高质量的变流装备。</w:t>
            </w:r>
          </w:p>
          <w:p>
            <w:pPr>
              <w:ind w:firstLine="480" w:firstLineChars="200"/>
              <w:rPr>
                <w:rFonts w:ascii="仿宋" w:hAnsi="仿宋" w:eastAsia="仿宋" w:cs="仿宋"/>
                <w:color w:val="000000"/>
                <w:sz w:val="24"/>
              </w:rPr>
            </w:pPr>
          </w:p>
          <w:p>
            <w:pPr>
              <w:rPr>
                <w:rFonts w:ascii="仿宋" w:hAnsi="仿宋" w:eastAsia="仿宋" w:cs="仿宋"/>
                <w:color w:val="000000"/>
                <w:sz w:val="24"/>
              </w:rPr>
            </w:pPr>
            <w:r>
              <w:rPr>
                <w:rFonts w:hint="eastAsia" w:ascii="仿宋" w:hAnsi="仿宋" w:eastAsia="仿宋" w:cs="仿宋"/>
                <w:color w:val="000000"/>
                <w:sz w:val="24"/>
              </w:rPr>
              <w:t>问题6：能否对公司海工装备业务情况做个介绍？全年展望如何？</w:t>
            </w:r>
          </w:p>
          <w:p>
            <w:pPr>
              <w:ind w:firstLine="0" w:firstLineChars="0"/>
              <w:rPr>
                <w:rFonts w:hint="eastAsia" w:ascii="仿宋" w:hAnsi="仿宋" w:eastAsia="仿宋" w:cs="仿宋"/>
                <w:color w:val="000000"/>
                <w:sz w:val="24"/>
              </w:rPr>
            </w:pPr>
            <w:r>
              <w:rPr>
                <w:rFonts w:hint="eastAsia" w:ascii="仿宋" w:hAnsi="仿宋" w:eastAsia="仿宋" w:cs="仿宋"/>
                <w:color w:val="000000"/>
                <w:sz w:val="24"/>
              </w:rPr>
              <w:t>回答：2025年中期，公司海工装备业务收入</w:t>
            </w:r>
            <w:r>
              <w:rPr>
                <w:rFonts w:hint="eastAsia" w:ascii="仿宋" w:hAnsi="仿宋" w:eastAsia="仿宋" w:cs="仿宋"/>
                <w:color w:val="000000"/>
                <w:sz w:val="24"/>
                <w:lang w:val="en-US" w:eastAsia="zh-CN"/>
              </w:rPr>
              <w:t>约</w:t>
            </w:r>
            <w:r>
              <w:rPr>
                <w:rFonts w:hint="eastAsia" w:ascii="仿宋" w:hAnsi="仿宋" w:eastAsia="仿宋" w:cs="仿宋"/>
                <w:color w:val="000000"/>
                <w:sz w:val="24"/>
              </w:rPr>
              <w:t>4.23亿元，相比去年同期4.05亿元小幅上涨4.37%。2025年国内海工市场在持续两年大规模装备采购之后，市场需求存在放缓可能，但在全球范围内，方兴未艾的海上风电和逐步复苏的油气市场仍将为ROV和水下挖沟机等海工装备带来新的市场需求，预计公司海工装备业务在2025年仍将持续增长。</w:t>
            </w:r>
          </w:p>
          <w:p>
            <w:pPr>
              <w:ind w:firstLine="480" w:firstLineChars="200"/>
              <w:rPr>
                <w:rFonts w:ascii="仿宋" w:hAnsi="仿宋" w:eastAsia="仿宋" w:cs="仿宋"/>
                <w:color w:val="000000"/>
                <w:sz w:val="24"/>
              </w:rPr>
            </w:pPr>
            <w:r>
              <w:rPr>
                <w:rFonts w:hint="eastAsia" w:ascii="仿宋" w:hAnsi="仿宋" w:eastAsia="仿宋" w:cs="仿宋"/>
                <w:color w:val="000000"/>
                <w:sz w:val="24"/>
              </w:rPr>
              <w:t>长期来看，随着全球绿色能源发展进一步加速，深海海工装备产业发展呈现绿色化、电动化、无人化和智能化趋势，深海经济、海底采矿、海底通讯、海上风电等行业的发展将为公司海工业务带来进一步增长空间。公司电动ROV的开发成功引领了市场发展，SMD作为目前市场上唯一成功电动化作业级EROV供应商，获得市场青睐，客户新增E-ROV需求不断增长，2025年上半年获得E-ROV首个订单。此外，SMD服务业务达到历史新高，售后服务市场随着新造装备的大量交付，迎来服务市场的显著增长，未来3年预期将持续较快增长。</w:t>
            </w:r>
          </w:p>
          <w:p>
            <w:pPr>
              <w:ind w:firstLine="480" w:firstLineChars="200"/>
              <w:rPr>
                <w:rFonts w:ascii="仿宋" w:hAnsi="仿宋" w:eastAsia="仿宋" w:cs="仿宋"/>
                <w:color w:val="000000"/>
                <w:sz w:val="24"/>
              </w:rPr>
            </w:pPr>
          </w:p>
          <w:p>
            <w:pPr>
              <w:rPr>
                <w:rFonts w:ascii="仿宋" w:hAnsi="仿宋" w:eastAsia="仿宋" w:cs="仿宋"/>
                <w:color w:val="000000"/>
                <w:sz w:val="24"/>
              </w:rPr>
            </w:pPr>
            <w:r>
              <w:rPr>
                <w:rFonts w:hint="eastAsia" w:ascii="仿宋" w:hAnsi="仿宋" w:eastAsia="仿宋" w:cs="仿宋"/>
                <w:color w:val="000000"/>
                <w:sz w:val="24"/>
              </w:rPr>
              <w:t>问题7：请介绍半导体板块目前的产能布局情况。宜兴和株洲产线具体的进展情况，公司预计这两条产线何时能达成盈亏平衡。</w:t>
            </w:r>
          </w:p>
          <w:p>
            <w:pPr>
              <w:ind w:firstLine="0" w:firstLineChars="0"/>
              <w:rPr>
                <w:rFonts w:hint="eastAsia" w:ascii="仿宋" w:hAnsi="仿宋" w:eastAsia="仿宋" w:cs="仿宋"/>
                <w:color w:val="000000"/>
                <w:sz w:val="24"/>
              </w:rPr>
            </w:pPr>
            <w:r>
              <w:rPr>
                <w:rFonts w:hint="eastAsia" w:ascii="仿宋" w:hAnsi="仿宋" w:eastAsia="仿宋" w:cs="仿宋"/>
                <w:color w:val="000000"/>
                <w:sz w:val="24"/>
              </w:rPr>
              <w:t>回答：宜兴基地8英寸IGBT芯片线已于2025年6月底达成了3万片/月的设计产能，上半年芯片和模块的出货量持续走高，但受市场竞争加剧，以及产线爬产期的折旧影响，宜兴基地2025年要实现盈利仍然面临很大挑战；株洲产线是8寸SiC产线，目前正在持续进行设备搬入，2025年底有望实现产线拉通。</w:t>
            </w:r>
          </w:p>
          <w:p>
            <w:pPr>
              <w:ind w:firstLine="480" w:firstLineChars="200"/>
              <w:rPr>
                <w:rFonts w:ascii="仿宋" w:hAnsi="仿宋" w:eastAsia="仿宋" w:cs="仿宋"/>
                <w:color w:val="000000"/>
                <w:sz w:val="24"/>
              </w:rPr>
            </w:pPr>
            <w:r>
              <w:rPr>
                <w:rFonts w:hint="eastAsia" w:ascii="仿宋" w:hAnsi="仿宋" w:eastAsia="仿宋" w:cs="仿宋"/>
                <w:color w:val="000000"/>
                <w:sz w:val="24"/>
              </w:rPr>
              <w:t>SiC方面公司已经拥有一条6英寸SiC芯片产线，当前已具备年产2.5万片6英寸SiC芯片产能。公司SiC MOSFET覆盖650V-6500V电压等级，适合高频/大功率密度系统要求，可广泛应用于新能源汽车/混合动力汽车、不间断电源（UPS）、风力发电、光伏逆变器、船舶运输、铁路运输、工业、智能电网等领域。公司SiC产品（SBD）在光伏领域批量供货，SiC TO器件在充电桩、OBC、电源检测等领域批量供货。2025年上半年，公司首次完成车规级SiC模块小批量交付。</w:t>
            </w:r>
          </w:p>
          <w:p>
            <w:pPr>
              <w:rPr>
                <w:rFonts w:ascii="仿宋" w:hAnsi="仿宋" w:eastAsia="仿宋" w:cs="仿宋"/>
                <w:color w:val="000000"/>
                <w:sz w:val="24"/>
              </w:rPr>
            </w:pPr>
          </w:p>
          <w:p>
            <w:pPr>
              <w:rPr>
                <w:rFonts w:ascii="仿宋" w:hAnsi="仿宋" w:eastAsia="仿宋" w:cs="仿宋"/>
                <w:color w:val="000000"/>
                <w:sz w:val="24"/>
              </w:rPr>
            </w:pPr>
            <w:r>
              <w:rPr>
                <w:rFonts w:hint="eastAsia" w:ascii="仿宋" w:hAnsi="仿宋" w:eastAsia="仿宋" w:cs="仿宋"/>
                <w:color w:val="000000"/>
                <w:sz w:val="24"/>
              </w:rPr>
              <w:t>问题8：公司在市值管理方面做了哪些工作？</w:t>
            </w:r>
          </w:p>
          <w:p>
            <w:pPr>
              <w:ind w:firstLine="0" w:firstLineChars="0"/>
              <w:rPr>
                <w:rFonts w:hint="eastAsia" w:ascii="仿宋" w:hAnsi="仿宋" w:eastAsia="仿宋" w:cs="仿宋"/>
                <w:color w:val="000000"/>
                <w:sz w:val="24"/>
              </w:rPr>
            </w:pPr>
            <w:r>
              <w:rPr>
                <w:rFonts w:hint="eastAsia" w:ascii="仿宋" w:hAnsi="仿宋" w:eastAsia="仿宋" w:cs="仿宋"/>
                <w:color w:val="000000"/>
                <w:sz w:val="24"/>
              </w:rPr>
              <w:t>回答：公司坚持以专业化做精做优轨道轨道交通装备和清洁能源装备两大领域，持续保持高研发投入强度，突破关键核心技术，勇闯无人区，持续巩固轨道交通装备业务核心竞争力，大力发展战略性新兴产业,为股东创造可持续价值，全面实现公司的稳健发展。公司通过规范的内部管理流程、详尽的规章制度和严格的审计制度建立了良好的公司治理体系，并建立了董事会负责的ESG管理、评估和披露体系，继2023年11月斩获国新中证ESG金牛企业峰会“ESG百强企业”和“ESG央企50强企业”两个奖项之后，2024年又荣获ESG金牛奖央企五十强、上市公司ESG最佳实践奖等重磅ESG奖项。</w:t>
            </w:r>
          </w:p>
          <w:p>
            <w:pPr>
              <w:rPr>
                <w:rFonts w:hint="eastAsia" w:ascii="仿宋" w:hAnsi="仿宋" w:eastAsia="仿宋" w:cs="仿宋"/>
                <w:color w:val="000000"/>
                <w:sz w:val="24"/>
              </w:rPr>
            </w:pPr>
            <w:r>
              <w:rPr>
                <w:rFonts w:hint="eastAsia" w:ascii="仿宋" w:hAnsi="仿宋" w:eastAsia="仿宋" w:cs="仿宋"/>
                <w:color w:val="000000"/>
                <w:sz w:val="24"/>
              </w:rPr>
              <w:t>在公司高效运营的同时，公司极其重视股东回报。自2006年在香港联交所上市以来，一贯保持了稳定的分红政策，每年分红总额占当年归母净利润的比例保持在20%以上，随着公司业绩稳健发展，每股分红逐年提升，2021年9月7日公司登录A股科创板之后，分红比例提升到30%以上，2023年提升到35.45%，2024年公司拟向全体股东每股派发现金股利人民币1元（含税），合计派发现金红利总额为人民币13.69亿元，约占公司2024年度合并报表归属上市公司股东净利润的36.98%。2025年6月28日公布的2024周年股东大会决议通过了公司未来三年（2025年-2027年）股东分红回报规划的议案，未来三年每年以现金形式分配的利润不低于当年实现的可供分配利润的35%，三年累计不低于105%。</w:t>
            </w:r>
          </w:p>
          <w:p>
            <w:pPr>
              <w:ind w:firstLine="480" w:firstLineChars="200"/>
              <w:rPr>
                <w:rFonts w:ascii="仿宋" w:hAnsi="仿宋" w:eastAsia="仿宋" w:cs="仿宋"/>
                <w:color w:val="000000"/>
                <w:sz w:val="24"/>
              </w:rPr>
            </w:pPr>
            <w:r>
              <w:rPr>
                <w:rFonts w:hint="eastAsia" w:ascii="仿宋" w:hAnsi="仿宋" w:eastAsia="仿宋" w:cs="仿宋"/>
                <w:color w:val="000000"/>
                <w:sz w:val="24"/>
              </w:rPr>
              <w:t>在资本市场低迷时，积极通过行</w:t>
            </w:r>
            <w:r>
              <w:rPr>
                <w:rFonts w:hint="eastAsia" w:ascii="仿宋" w:hAnsi="仿宋" w:eastAsia="仿宋" w:cs="仿宋"/>
                <w:color w:val="000000"/>
                <w:sz w:val="24"/>
                <w:lang w:val="en-US" w:eastAsia="zh-CN"/>
              </w:rPr>
              <w:t>动</w:t>
            </w:r>
            <w:r>
              <w:rPr>
                <w:rFonts w:hint="eastAsia" w:ascii="仿宋" w:hAnsi="仿宋" w:eastAsia="仿宋" w:cs="仿宋"/>
                <w:color w:val="000000"/>
                <w:sz w:val="24"/>
              </w:rPr>
              <w:t>向市场传递信心。从2023年9月开始，公司股东中车香港资本增持公司H股近2400万股，控股股东中车株洲电力机车研究所有限公司自愿延长其持有的约5.9亿股A股锁定期12个月至2025年9月6日并增持公司A股约141万股，2024年1月，公司回购H股469.68万股并于2024年4月16日注销。2024年12月-2025年6月，公司共回购H股5359.17万股，</w:t>
            </w:r>
            <w:r>
              <w:rPr>
                <w:rFonts w:hint="eastAsia" w:ascii="仿宋" w:hAnsi="仿宋" w:eastAsia="仿宋" w:cs="仿宋"/>
                <w:color w:val="000000"/>
                <w:sz w:val="24"/>
                <w:lang w:val="en-US" w:eastAsia="zh-CN"/>
              </w:rPr>
              <w:t>并完成</w:t>
            </w:r>
            <w:r>
              <w:rPr>
                <w:rFonts w:hint="eastAsia" w:ascii="仿宋" w:hAnsi="仿宋" w:eastAsia="仿宋" w:cs="仿宋"/>
                <w:color w:val="000000"/>
                <w:sz w:val="24"/>
              </w:rPr>
              <w:t>注销。公司的已发行股份数目进一步减少为1,357,948,412股（其中包括489,040,900股H股和868,907,512股A股）。2025年6月28日公布的2024周年股东大会和2025年类别股东大会决议通过了授权公司董事会进行H股回购的一般性授权议案，公司将在授权范围内视情况择机继续展开回购。</w:t>
            </w:r>
          </w:p>
          <w:p>
            <w:pPr>
              <w:rPr>
                <w:rFonts w:ascii="仿宋" w:hAnsi="仿宋" w:eastAsia="仿宋" w:cs="仿宋"/>
                <w:color w:val="000000"/>
                <w:sz w:val="24"/>
              </w:rPr>
            </w:pPr>
          </w:p>
          <w:p>
            <w:pPr>
              <w:rPr>
                <w:rFonts w:hint="eastAsia" w:ascii="仿宋" w:hAnsi="仿宋" w:eastAsia="仿宋" w:cs="仿宋"/>
                <w:color w:val="000000"/>
                <w:sz w:val="24"/>
              </w:rPr>
            </w:pPr>
            <w:r>
              <w:rPr>
                <w:rFonts w:hint="eastAsia" w:ascii="仿宋" w:hAnsi="仿宋" w:eastAsia="仿宋" w:cs="仿宋"/>
                <w:color w:val="000000"/>
                <w:sz w:val="24"/>
              </w:rPr>
              <w:t>问题9：请介绍下汽车电驱产业上半年经营情况。结合目前行业极度内卷的背景下，公司的发展思路是什么？</w:t>
            </w:r>
          </w:p>
          <w:p>
            <w:pPr>
              <w:ind w:firstLine="0" w:firstLineChars="0"/>
              <w:rPr>
                <w:rFonts w:hint="eastAsia" w:ascii="仿宋" w:hAnsi="仿宋" w:eastAsia="仿宋" w:cs="仿宋"/>
                <w:color w:val="000000"/>
                <w:sz w:val="24"/>
              </w:rPr>
            </w:pPr>
            <w:r>
              <w:rPr>
                <w:rFonts w:hint="eastAsia" w:ascii="仿宋" w:hAnsi="仿宋" w:eastAsia="仿宋" w:cs="仿宋"/>
                <w:color w:val="000000"/>
                <w:sz w:val="24"/>
              </w:rPr>
              <w:t>回答：今年上半年，中车电驱累计交付电驱系统及部件产品25.8万套，同比增长10.1%；完成销售收入</w:t>
            </w:r>
            <w:r>
              <w:rPr>
                <w:rFonts w:hint="eastAsia" w:ascii="仿宋" w:hAnsi="仿宋" w:eastAsia="仿宋" w:cs="仿宋"/>
                <w:color w:val="000000"/>
                <w:sz w:val="24"/>
                <w:lang w:val="en-US" w:eastAsia="zh-CN"/>
              </w:rPr>
              <w:t>约</w:t>
            </w:r>
            <w:r>
              <w:rPr>
                <w:rFonts w:hint="eastAsia" w:ascii="仿宋" w:hAnsi="仿宋" w:eastAsia="仿宋" w:cs="仿宋"/>
                <w:color w:val="000000"/>
                <w:sz w:val="24"/>
              </w:rPr>
              <w:t>9.99亿元，同比增长1.32%。受株洲零碳产业园基地搬迁等因素影响，产线处于调试、爬坡状态，上半年，交付量、销售收入增速放缓，市场排名出现了一定程度下滑。下半年，随着产能的逐步提升，产品交付量和销售收入预计将较上半年有较大提升。</w:t>
            </w:r>
          </w:p>
          <w:p>
            <w:pPr>
              <w:ind w:firstLine="480" w:firstLineChars="200"/>
              <w:rPr>
                <w:rFonts w:hint="eastAsia" w:ascii="仿宋" w:hAnsi="仿宋" w:eastAsia="仿宋" w:cs="仿宋"/>
                <w:color w:val="000000"/>
                <w:sz w:val="24"/>
              </w:rPr>
            </w:pPr>
            <w:r>
              <w:rPr>
                <w:rFonts w:hint="eastAsia" w:ascii="仿宋" w:hAnsi="仿宋" w:eastAsia="仿宋" w:cs="仿宋"/>
                <w:color w:val="000000"/>
                <w:sz w:val="24"/>
              </w:rPr>
              <w:t>当前开展的主要工作包括（1）坚持品牌向上，市场开拓取得新突破。上半年，中车电驱持续深化品牌向上策略，加大市场开拓力度，新突破奇瑞等2个新客户，累计获取项目20个，其中包括某客户首款国产纯电自研项目电控产品订单和中高压平台总成产品订单，混动项目、系统项目等高价值产品较上年度有大幅提升。截至6月末，中车电驱已进入大众、丰田、通用、一汽、上汽等车企，主流车企占比超过70%，配套车企超过14家，搭载中车电驱的产品的汽车超过200万台。（2）持续加大科技创新力度，构建行业领先的自主电驱解决方案。中车电驱持续加大科技创新投入力度，年均研发投入比超10%，构建了上千人的研发队伍，打造了拥有超高转速试验台、超大吨位振动试验台等国际领先实验室，重点突破“材料-器件-算法-测试”四大底层基础技术，“电机-电控-齿轮箱”三大部件应用技术，以及自主电驱系统深度集成技术，构建了从组件-部件-系统全栈自研多元电驱系统解决方案，形成了动力安全、信息安全、功能安全、零碳认证四证齐全的电驱系统产品，被客户评价为最懂部件的系统供应商和最懂系统的部件供应商。在产品平台方面，上半年，中车电驱深入推进第五代产品平台的开发，其中超级增程二合一、超级混动五合一、超级纯电多合一电驱总成已完成样机试制，分布式电驱研发进展顺利。新一代五合一产品较上一代产品减重14</w:t>
            </w:r>
            <w:r>
              <w:rPr>
                <w:rFonts w:hint="eastAsia" w:ascii="仿宋" w:hAnsi="仿宋" w:eastAsia="仿宋" w:cs="仿宋"/>
                <w:color w:val="000000"/>
                <w:sz w:val="24"/>
                <w:lang w:val="en-US" w:eastAsia="zh-CN"/>
              </w:rPr>
              <w:t>K</w:t>
            </w:r>
            <w:r>
              <w:rPr>
                <w:rFonts w:hint="eastAsia" w:ascii="仿宋" w:hAnsi="仿宋" w:eastAsia="仿宋" w:cs="仿宋"/>
                <w:color w:val="000000"/>
                <w:sz w:val="24"/>
              </w:rPr>
              <w:t>g、CLTC效率达到了93%。在前沿技术创新方面，基于第五代产品平台，开展前沿技术创新应用，底层技术进一步夯实。（3）持续推动国际化进程，扩大全球业务版图。借助中国中车全球化布局优势，中车电驱持续加大海外市场开拓力度。一是“搬链出海”。中车电驱已在印度尼西亚设立首个海外基地，为上汽通用印尼工厂提供电驱产品配套，同时辐射东南亚市场，基地计划今年三季度投产。</w:t>
            </w:r>
            <w:r>
              <w:rPr>
                <w:rFonts w:hint="eastAsia" w:ascii="仿宋" w:hAnsi="仿宋" w:eastAsia="仿宋" w:cs="仿宋"/>
                <w:color w:val="000000"/>
                <w:sz w:val="24"/>
                <w:lang w:val="en-US" w:eastAsia="zh-CN"/>
              </w:rPr>
              <w:t>二</w:t>
            </w:r>
            <w:r>
              <w:rPr>
                <w:rFonts w:hint="eastAsia" w:ascii="仿宋" w:hAnsi="仿宋" w:eastAsia="仿宋" w:cs="仿宋"/>
                <w:color w:val="000000"/>
                <w:sz w:val="24"/>
              </w:rPr>
              <w:t>是“共链出海”，依托中车海外客户资源，以合资车企为突破口，开拓海外市场项目。上半年，中车电驱与上汽通用、一汽大众、广汽丰田等车企合作，获得增程器、电控、电机定转子等项目，并通过这些项目锤炼匹配海外市场产品高压化、功能安全、信息安全等方面能力。三是“协链出海”。中车电驱依托中车时代新材（博戈）、全球多地研发中心等，深入推进海外市场开拓，产品已出口欧洲、巴西、越南等地。</w:t>
            </w:r>
          </w:p>
          <w:p>
            <w:pPr>
              <w:ind w:firstLine="480" w:firstLineChars="200"/>
              <w:rPr>
                <w:rFonts w:ascii="仿宋" w:hAnsi="仿宋" w:eastAsia="仿宋" w:cs="仿宋"/>
                <w:color w:val="000000"/>
                <w:sz w:val="24"/>
              </w:rPr>
            </w:pPr>
            <w:r>
              <w:rPr>
                <w:rFonts w:hint="eastAsia" w:ascii="仿宋" w:hAnsi="仿宋" w:eastAsia="仿宋" w:cs="仿宋"/>
                <w:color w:val="000000"/>
                <w:sz w:val="24"/>
              </w:rPr>
              <w:t>在市场和政策的双轮驱动下，新能源汽车持续快速发展，市场空间广阔。但当前，汽车市场已跨越规模化扩张的“伪成熟期”，正迈入以结构性淘汰为特征的“深度整合期”。目前，电驱市场格局初定，汇川、联电已进入第一梯队，公司处于第一梯队边缘，头部企业通过扩大产业规模持续扩大自身竞争优势。中车电驱将保持战略定力，坚持投入，不断构建产业核心竞争力，提升市场规模和地位。</w:t>
            </w:r>
          </w:p>
          <w:p>
            <w:pPr>
              <w:rPr>
                <w:rFonts w:ascii="仿宋" w:hAnsi="仿宋" w:eastAsia="仿宋" w:cs="仿宋"/>
                <w:color w:val="000000"/>
                <w:sz w:val="24"/>
              </w:rPr>
            </w:pPr>
          </w:p>
          <w:p>
            <w:pPr>
              <w:rPr>
                <w:rFonts w:ascii="仿宋" w:hAnsi="仿宋" w:eastAsia="仿宋" w:cs="仿宋"/>
                <w:color w:val="000000"/>
                <w:sz w:val="24"/>
              </w:rPr>
            </w:pPr>
            <w:r>
              <w:rPr>
                <w:rFonts w:hint="eastAsia" w:ascii="仿宋" w:hAnsi="仿宋" w:eastAsia="仿宋" w:cs="仿宋"/>
                <w:color w:val="000000"/>
                <w:sz w:val="24"/>
              </w:rPr>
              <w:t>问题10：公司传感器业务恢复增长的原因？</w:t>
            </w:r>
          </w:p>
          <w:p>
            <w:pPr>
              <w:ind w:firstLine="0" w:firstLineChars="0"/>
              <w:rPr>
                <w:rFonts w:hint="eastAsia" w:ascii="仿宋" w:hAnsi="仿宋" w:eastAsia="仿宋" w:cs="仿宋"/>
                <w:color w:val="000000"/>
                <w:sz w:val="24"/>
              </w:rPr>
            </w:pPr>
            <w:r>
              <w:rPr>
                <w:rFonts w:hint="eastAsia" w:ascii="仿宋" w:hAnsi="仿宋" w:eastAsia="仿宋" w:cs="仿宋"/>
                <w:color w:val="000000"/>
                <w:sz w:val="24"/>
              </w:rPr>
              <w:t>回答：公司传感器业务一直在轨道交通领域占据优势，产品覆盖范围最广，系统应用经验同行领先，是国内轨道交通行业传感与测量技术解决方案的首选供应商。近年来大力发展新能源传感器，聚焦光伏、汽车、风电等行业，致力于成为清洁能源能量变换与高效利用传感测量系统解决方案供应商。2024年受光伏行业需求下滑和汽车项目衔接不均衡影响，公司传感器业务有所下滑。</w:t>
            </w:r>
          </w:p>
          <w:p>
            <w:pPr>
              <w:ind w:firstLine="480" w:firstLineChars="200"/>
              <w:rPr>
                <w:rFonts w:ascii="仿宋" w:hAnsi="仿宋" w:eastAsia="仿宋" w:cs="仿宋"/>
                <w:color w:val="000000"/>
                <w:sz w:val="24"/>
              </w:rPr>
            </w:pPr>
            <w:r>
              <w:rPr>
                <w:rFonts w:hint="eastAsia" w:ascii="仿宋" w:hAnsi="仿宋" w:eastAsia="仿宋" w:cs="仿宋"/>
                <w:color w:val="000000"/>
                <w:sz w:val="24"/>
              </w:rPr>
              <w:t>2025年上半年，公司传感器业务收入</w:t>
            </w:r>
            <w:r>
              <w:rPr>
                <w:rFonts w:hint="eastAsia" w:ascii="仿宋" w:hAnsi="仿宋" w:eastAsia="仿宋" w:cs="仿宋"/>
                <w:color w:val="000000"/>
                <w:sz w:val="24"/>
                <w:lang w:val="en-US" w:eastAsia="zh-CN"/>
              </w:rPr>
              <w:t>约</w:t>
            </w:r>
            <w:r>
              <w:rPr>
                <w:rFonts w:hint="eastAsia" w:ascii="仿宋" w:hAnsi="仿宋" w:eastAsia="仿宋" w:cs="仿宋"/>
                <w:color w:val="000000"/>
                <w:sz w:val="24"/>
              </w:rPr>
              <w:t>2.36亿元，相比去年同期1.36亿元增长73.80%，已接近2023年同期2.57亿的水平。主要源于光伏业务有所恢复，新品导入也实现突破，同时汽车传感器获得新的项目定点。目前公司在光伏领域已经与全球排名头部客户形成全面合作；在汽车领域成为电驱电控子领域头部客户的最大供方；在风电领域，市场占有率继续保持行业领跑地位。</w:t>
            </w:r>
          </w:p>
          <w:p>
            <w:pPr>
              <w:rPr>
                <w:rFonts w:ascii="仿宋" w:hAnsi="仿宋" w:eastAsia="仿宋" w:cs="仿宋"/>
                <w:color w:val="000000"/>
                <w:sz w:val="24"/>
              </w:rPr>
            </w:pPr>
          </w:p>
          <w:p>
            <w:pPr>
              <w:rPr>
                <w:rFonts w:ascii="仿宋" w:hAnsi="仿宋" w:eastAsia="仿宋" w:cs="仿宋"/>
                <w:color w:val="000000"/>
                <w:sz w:val="24"/>
              </w:rPr>
            </w:pPr>
            <w:r>
              <w:rPr>
                <w:rFonts w:hint="eastAsia" w:ascii="仿宋" w:hAnsi="仿宋" w:eastAsia="仿宋" w:cs="仿宋"/>
                <w:color w:val="000000"/>
                <w:sz w:val="24"/>
              </w:rPr>
              <w:t>问题11：今年上半年</w:t>
            </w:r>
            <w:r>
              <w:rPr>
                <w:rFonts w:hint="eastAsia" w:ascii="仿宋" w:hAnsi="仿宋" w:eastAsia="仿宋" w:cs="仿宋"/>
                <w:color w:val="000000"/>
                <w:sz w:val="24"/>
                <w:lang w:val="en-US" w:eastAsia="zh-CN"/>
              </w:rPr>
              <w:t>检修业务情况</w:t>
            </w:r>
            <w:r>
              <w:rPr>
                <w:rFonts w:hint="eastAsia" w:ascii="仿宋" w:hAnsi="仿宋" w:eastAsia="仿宋" w:cs="仿宋"/>
                <w:color w:val="000000"/>
                <w:sz w:val="24"/>
              </w:rPr>
              <w:t>？按机车、动车和城轨拆分的比例是多少？</w:t>
            </w:r>
          </w:p>
          <w:p>
            <w:pPr>
              <w:ind w:firstLine="0" w:firstLineChars="0"/>
              <w:rPr>
                <w:rFonts w:ascii="仿宋" w:hAnsi="仿宋" w:eastAsia="仿宋" w:cs="仿宋"/>
                <w:color w:val="000000"/>
                <w:sz w:val="24"/>
              </w:rPr>
            </w:pPr>
            <w:r>
              <w:rPr>
                <w:rFonts w:hint="eastAsia" w:ascii="仿宋" w:hAnsi="仿宋" w:eastAsia="仿宋" w:cs="仿宋"/>
                <w:color w:val="000000"/>
                <w:sz w:val="24"/>
              </w:rPr>
              <w:t>回答：上半年检修收入15.67亿元，同比增长47%。其中，城市轨道收入占比约10%-20%，机车与动车收入占比大致各占</w:t>
            </w:r>
            <w:r>
              <w:rPr>
                <w:rFonts w:hint="eastAsia" w:ascii="仿宋" w:hAnsi="仿宋" w:eastAsia="仿宋" w:cs="仿宋"/>
                <w:color w:val="000000"/>
                <w:sz w:val="24"/>
                <w:lang w:val="en-US" w:eastAsia="zh-CN"/>
              </w:rPr>
              <w:t>剩余的</w:t>
            </w:r>
            <w:r>
              <w:rPr>
                <w:rFonts w:hint="eastAsia" w:ascii="仿宋" w:hAnsi="仿宋" w:eastAsia="仿宋" w:cs="仿宋"/>
                <w:color w:val="000000"/>
                <w:sz w:val="24"/>
              </w:rPr>
              <w:t>一半。</w:t>
            </w:r>
            <w:r>
              <w:rPr>
                <w:rFonts w:hint="eastAsia" w:ascii="仿宋" w:hAnsi="仿宋" w:eastAsia="仿宋" w:cs="仿宋"/>
                <w:color w:val="000000"/>
                <w:sz w:val="24"/>
                <w:lang w:val="en-US" w:eastAsia="zh-CN"/>
              </w:rPr>
              <w:t>今年</w:t>
            </w:r>
            <w:r>
              <w:rPr>
                <w:rFonts w:hint="eastAsia" w:ascii="仿宋" w:hAnsi="仿宋" w:eastAsia="仿宋" w:cs="仿宋"/>
                <w:color w:val="000000"/>
                <w:sz w:val="24"/>
              </w:rPr>
              <w:t>检修市场还处在高位增长的局面，未来城轨市场将逐步进入新造和检修并举的状态。去年城轨检修订单超8亿元，今年上半年城轨检修订单2亿元，且在上海实现跨平台检修。</w:t>
            </w:r>
          </w:p>
          <w:p>
            <w:pPr>
              <w:rPr>
                <w:rFonts w:ascii="仿宋" w:hAnsi="仿宋" w:eastAsia="仿宋" w:cs="仿宋"/>
                <w:color w:val="000000"/>
                <w:sz w:val="24"/>
              </w:rPr>
            </w:pPr>
          </w:p>
          <w:p>
            <w:pPr>
              <w:rPr>
                <w:rFonts w:hint="eastAsia" w:ascii="仿宋" w:hAnsi="仿宋" w:eastAsia="仿宋" w:cs="仿宋"/>
                <w:color w:val="000000"/>
                <w:sz w:val="24"/>
              </w:rPr>
            </w:pPr>
            <w:r>
              <w:rPr>
                <w:rFonts w:hint="eastAsia" w:ascii="仿宋" w:hAnsi="仿宋" w:eastAsia="仿宋" w:cs="仿宋"/>
                <w:color w:val="000000"/>
                <w:sz w:val="24"/>
              </w:rPr>
              <w:t>问题12：株洲8英寸碳化硅产线2026年投产后，主要下游应用领域有哪些？株洲8英寸碳化硅产线的月产能或年产能规模大概是多少？</w:t>
            </w:r>
          </w:p>
          <w:p>
            <w:pPr>
              <w:ind w:firstLine="0" w:firstLineChars="0"/>
              <w:rPr>
                <w:rFonts w:ascii="仿宋" w:hAnsi="仿宋" w:eastAsia="仿宋" w:cs="仿宋"/>
                <w:color w:val="000000"/>
                <w:sz w:val="24"/>
              </w:rPr>
            </w:pPr>
            <w:r>
              <w:rPr>
                <w:rFonts w:hint="eastAsia" w:ascii="仿宋" w:hAnsi="仿宋" w:eastAsia="仿宋" w:cs="仿宋"/>
                <w:color w:val="000000"/>
                <w:sz w:val="24"/>
              </w:rPr>
              <w:t>回答：产品前期验证与投入覆盖新能源汽车、混合动力汽车、不间断电源、风力发电、光伏逆变、船舶运输、铁路运输、工业智能电网等领域，目前新能源车是碳化硅应用的主流行业。目前规划投入的月产能在1.5至2万片之间，将处于分批投入阶段。</w:t>
            </w:r>
          </w:p>
          <w:p>
            <w:pPr>
              <w:pStyle w:val="2"/>
              <w:rPr>
                <w:rFonts w:ascii="仿宋" w:hAnsi="仿宋" w:eastAsia="仿宋" w:cs="仿宋"/>
              </w:rPr>
            </w:pPr>
          </w:p>
          <w:p>
            <w:pPr>
              <w:pStyle w:val="2"/>
              <w:rPr>
                <w:rFonts w:ascii="仿宋" w:hAnsi="仿宋" w:eastAsia="仿宋" w:cs="仿宋"/>
              </w:rPr>
            </w:pPr>
            <w:r>
              <w:rPr>
                <w:rFonts w:hint="eastAsia" w:ascii="仿宋" w:hAnsi="仿宋" w:eastAsia="仿宋" w:cs="仿宋"/>
              </w:rPr>
              <w:t>问题13：针对服务器电源对第三代半导体的需求，公司在氮化镓等领域是否有布局评估？长期财务影响如何？</w:t>
            </w:r>
          </w:p>
          <w:p>
            <w:pPr>
              <w:pStyle w:val="2"/>
              <w:ind w:firstLine="0" w:firstLineChars="0"/>
              <w:rPr>
                <w:rFonts w:ascii="仿宋" w:hAnsi="仿宋" w:eastAsia="仿宋" w:cs="仿宋"/>
              </w:rPr>
            </w:pPr>
            <w:r>
              <w:rPr>
                <w:rFonts w:hint="eastAsia" w:ascii="仿宋" w:hAnsi="仿宋" w:eastAsia="仿宋" w:cs="仿宋"/>
              </w:rPr>
              <w:t>回答：公司对半导体板块有长期布局，愿景是成为中国一流、世界头部的工业半导体企业。但目前相关财务影响及未来投资走向尚不明确，无法量化回答。</w:t>
            </w:r>
          </w:p>
          <w:p/>
        </w:tc>
      </w:tr>
      <w:tr>
        <w:tblPrEx>
          <w:tblCellMar>
            <w:top w:w="0" w:type="dxa"/>
            <w:left w:w="10" w:type="dxa"/>
            <w:bottom w:w="0" w:type="dxa"/>
            <w:right w:w="10" w:type="dxa"/>
          </w:tblCellMar>
        </w:tblPrEx>
        <w:trPr>
          <w:trHeight w:val="1" w:hRule="atLeast"/>
        </w:trPr>
        <w:tc>
          <w:tcPr>
            <w:tcW w:w="351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560" w:lineRule="auto"/>
            </w:pPr>
            <w:r>
              <w:rPr>
                <w:rFonts w:ascii="仿宋" w:hAnsi="仿宋" w:eastAsia="仿宋" w:cs="仿宋"/>
                <w:color w:val="000000"/>
                <w:sz w:val="24"/>
              </w:rPr>
              <w:t>附件清单（如有）</w:t>
            </w:r>
          </w:p>
        </w:tc>
        <w:tc>
          <w:tcPr>
            <w:tcW w:w="501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spacing w:line="560" w:lineRule="auto"/>
              <w:rPr>
                <w:rFonts w:ascii="宋体" w:hAnsi="宋体" w:eastAsia="宋体" w:cs="宋体"/>
                <w:sz w:val="22"/>
              </w:rPr>
            </w:pPr>
          </w:p>
        </w:tc>
      </w:tr>
      <w:tr>
        <w:tblPrEx>
          <w:tblCellMar>
            <w:top w:w="0" w:type="dxa"/>
            <w:left w:w="10" w:type="dxa"/>
            <w:bottom w:w="0" w:type="dxa"/>
            <w:right w:w="10" w:type="dxa"/>
          </w:tblCellMar>
        </w:tblPrEx>
        <w:trPr>
          <w:trHeight w:val="1" w:hRule="atLeast"/>
        </w:trPr>
        <w:tc>
          <w:tcPr>
            <w:tcW w:w="351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560" w:lineRule="auto"/>
            </w:pPr>
            <w:r>
              <w:rPr>
                <w:rFonts w:ascii="仿宋" w:hAnsi="仿宋" w:eastAsia="仿宋" w:cs="仿宋"/>
                <w:color w:val="000000"/>
                <w:sz w:val="24"/>
              </w:rPr>
              <w:t>日期</w:t>
            </w:r>
          </w:p>
        </w:tc>
        <w:tc>
          <w:tcPr>
            <w:tcW w:w="501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spacing w:line="560" w:lineRule="auto"/>
              <w:rPr>
                <w:rFonts w:hint="eastAsia" w:ascii="宋体" w:hAnsi="宋体" w:eastAsia="仿宋" w:cs="宋体"/>
                <w:sz w:val="22"/>
                <w:lang w:val="en-US" w:eastAsia="zh-CN"/>
              </w:rPr>
            </w:pPr>
            <w:r>
              <w:rPr>
                <w:rFonts w:hint="eastAsia" w:ascii="仿宋" w:hAnsi="仿宋" w:eastAsia="仿宋" w:cs="仿宋"/>
                <w:sz w:val="24"/>
                <w:szCs w:val="24"/>
              </w:rPr>
              <w:t>2025年</w:t>
            </w:r>
            <w:r>
              <w:rPr>
                <w:rFonts w:hint="eastAsia" w:ascii="仿宋" w:hAnsi="仿宋" w:eastAsia="仿宋" w:cs="仿宋"/>
                <w:sz w:val="24"/>
                <w:szCs w:val="24"/>
                <w:lang w:val="en-US" w:eastAsia="zh-CN"/>
              </w:rPr>
              <w:t>8</w:t>
            </w:r>
            <w:r>
              <w:rPr>
                <w:rFonts w:hint="eastAsia" w:ascii="仿宋" w:hAnsi="仿宋" w:eastAsia="仿宋" w:cs="仿宋"/>
                <w:sz w:val="24"/>
                <w:szCs w:val="24"/>
              </w:rPr>
              <w:t>月</w:t>
            </w:r>
            <w:r>
              <w:rPr>
                <w:rFonts w:hint="eastAsia" w:ascii="仿宋" w:hAnsi="仿宋" w:eastAsia="仿宋" w:cs="仿宋"/>
                <w:sz w:val="24"/>
                <w:szCs w:val="24"/>
                <w:lang w:val="en-US" w:eastAsia="zh-CN"/>
              </w:rPr>
              <w:t>24</w:t>
            </w:r>
            <w:r>
              <w:rPr>
                <w:rFonts w:hint="eastAsia" w:ascii="仿宋" w:hAnsi="仿宋" w:eastAsia="仿宋" w:cs="仿宋"/>
                <w:sz w:val="24"/>
                <w:szCs w:val="24"/>
              </w:rPr>
              <w:t>日</w:t>
            </w:r>
            <w:r>
              <w:rPr>
                <w:rFonts w:hint="eastAsia" w:ascii="仿宋" w:hAnsi="仿宋" w:eastAsia="仿宋" w:cs="仿宋"/>
                <w:sz w:val="24"/>
                <w:szCs w:val="24"/>
                <w:lang w:val="en-US" w:eastAsia="zh-CN"/>
              </w:rPr>
              <w:t>整理</w:t>
            </w:r>
            <w:bookmarkStart w:id="0" w:name="_GoBack"/>
            <w:bookmarkEnd w:id="0"/>
          </w:p>
        </w:tc>
      </w:tr>
    </w:tbl>
    <w:p>
      <w:pPr>
        <w:rPr>
          <w:rFonts w:ascii="仿宋" w:hAnsi="仿宋" w:eastAsia="仿宋" w:cs="仿宋"/>
          <w:sz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nforcement="0"/>
  <w:defaultTabStop w:val="420"/>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275"/>
    <w:rsid w:val="00076702"/>
    <w:rsid w:val="00084E27"/>
    <w:rsid w:val="000E25B7"/>
    <w:rsid w:val="0011146D"/>
    <w:rsid w:val="001210AD"/>
    <w:rsid w:val="001E2699"/>
    <w:rsid w:val="00216D5D"/>
    <w:rsid w:val="002253AC"/>
    <w:rsid w:val="003760BB"/>
    <w:rsid w:val="00382982"/>
    <w:rsid w:val="003838D8"/>
    <w:rsid w:val="003977D3"/>
    <w:rsid w:val="00406FA4"/>
    <w:rsid w:val="00427572"/>
    <w:rsid w:val="00447BFD"/>
    <w:rsid w:val="00463D58"/>
    <w:rsid w:val="004D051C"/>
    <w:rsid w:val="00514DA4"/>
    <w:rsid w:val="005E348A"/>
    <w:rsid w:val="005F43A5"/>
    <w:rsid w:val="00652B54"/>
    <w:rsid w:val="00661978"/>
    <w:rsid w:val="00797149"/>
    <w:rsid w:val="00797C75"/>
    <w:rsid w:val="007B0275"/>
    <w:rsid w:val="007D7521"/>
    <w:rsid w:val="008351B4"/>
    <w:rsid w:val="00874F92"/>
    <w:rsid w:val="008B0013"/>
    <w:rsid w:val="009B308D"/>
    <w:rsid w:val="009E091E"/>
    <w:rsid w:val="00A461D4"/>
    <w:rsid w:val="00A5322E"/>
    <w:rsid w:val="00AE3EA0"/>
    <w:rsid w:val="00BA491A"/>
    <w:rsid w:val="00BB6FDE"/>
    <w:rsid w:val="00C20268"/>
    <w:rsid w:val="00CD1308"/>
    <w:rsid w:val="00D14383"/>
    <w:rsid w:val="00D4143E"/>
    <w:rsid w:val="00DC0530"/>
    <w:rsid w:val="00F830EB"/>
    <w:rsid w:val="00F9425A"/>
    <w:rsid w:val="00FC01CC"/>
    <w:rsid w:val="02941E6A"/>
    <w:rsid w:val="04130FE4"/>
    <w:rsid w:val="055D2307"/>
    <w:rsid w:val="05E760DD"/>
    <w:rsid w:val="061B6BB8"/>
    <w:rsid w:val="063B3A29"/>
    <w:rsid w:val="077A6B8B"/>
    <w:rsid w:val="07941252"/>
    <w:rsid w:val="086504A5"/>
    <w:rsid w:val="093B2D2A"/>
    <w:rsid w:val="093E76DB"/>
    <w:rsid w:val="0A625F3E"/>
    <w:rsid w:val="0BED31D4"/>
    <w:rsid w:val="0C1912A3"/>
    <w:rsid w:val="0F3B12C8"/>
    <w:rsid w:val="107C02E7"/>
    <w:rsid w:val="115D134D"/>
    <w:rsid w:val="11670FE5"/>
    <w:rsid w:val="123831CA"/>
    <w:rsid w:val="129C37EA"/>
    <w:rsid w:val="136342D4"/>
    <w:rsid w:val="13FF042A"/>
    <w:rsid w:val="140F7D22"/>
    <w:rsid w:val="173F7C7F"/>
    <w:rsid w:val="19FA3CE1"/>
    <w:rsid w:val="1AB417B2"/>
    <w:rsid w:val="1BC43683"/>
    <w:rsid w:val="1BCB40E8"/>
    <w:rsid w:val="1CEF1260"/>
    <w:rsid w:val="1E0B2DDD"/>
    <w:rsid w:val="1E7F4D35"/>
    <w:rsid w:val="1EBC33B5"/>
    <w:rsid w:val="1ECF5855"/>
    <w:rsid w:val="1F867F88"/>
    <w:rsid w:val="2081135C"/>
    <w:rsid w:val="2125671E"/>
    <w:rsid w:val="222F44A7"/>
    <w:rsid w:val="228D7242"/>
    <w:rsid w:val="22EF2A76"/>
    <w:rsid w:val="22F15ABE"/>
    <w:rsid w:val="23450E4B"/>
    <w:rsid w:val="23770F2E"/>
    <w:rsid w:val="24AB0F89"/>
    <w:rsid w:val="24AB1858"/>
    <w:rsid w:val="25703FAC"/>
    <w:rsid w:val="25AA00CB"/>
    <w:rsid w:val="287659AD"/>
    <w:rsid w:val="29B95405"/>
    <w:rsid w:val="2A50149F"/>
    <w:rsid w:val="2BBA78BC"/>
    <w:rsid w:val="2C9A2B24"/>
    <w:rsid w:val="2F4C069D"/>
    <w:rsid w:val="30240F03"/>
    <w:rsid w:val="309371E5"/>
    <w:rsid w:val="30D14499"/>
    <w:rsid w:val="32724D27"/>
    <w:rsid w:val="36AD19E2"/>
    <w:rsid w:val="36BB11F0"/>
    <w:rsid w:val="379076DC"/>
    <w:rsid w:val="3B24578D"/>
    <w:rsid w:val="3BDF2A03"/>
    <w:rsid w:val="3C8037CB"/>
    <w:rsid w:val="3C81510F"/>
    <w:rsid w:val="3CEE0EBD"/>
    <w:rsid w:val="3E091815"/>
    <w:rsid w:val="3F3015E4"/>
    <w:rsid w:val="3F3E4D80"/>
    <w:rsid w:val="40D17FF9"/>
    <w:rsid w:val="41F17CF7"/>
    <w:rsid w:val="42653A68"/>
    <w:rsid w:val="43C478C1"/>
    <w:rsid w:val="442178E2"/>
    <w:rsid w:val="44542AB6"/>
    <w:rsid w:val="449066D8"/>
    <w:rsid w:val="44CA5EED"/>
    <w:rsid w:val="464D4F34"/>
    <w:rsid w:val="47DB6738"/>
    <w:rsid w:val="48EF6855"/>
    <w:rsid w:val="4A692DFC"/>
    <w:rsid w:val="4AC8612D"/>
    <w:rsid w:val="4C1C299B"/>
    <w:rsid w:val="4C3803A1"/>
    <w:rsid w:val="4C3F5C87"/>
    <w:rsid w:val="52110625"/>
    <w:rsid w:val="53636CDB"/>
    <w:rsid w:val="536B4ACC"/>
    <w:rsid w:val="54F56865"/>
    <w:rsid w:val="553A0A18"/>
    <w:rsid w:val="560D6FAC"/>
    <w:rsid w:val="56D94DE8"/>
    <w:rsid w:val="58EA7192"/>
    <w:rsid w:val="5AD00A7F"/>
    <w:rsid w:val="5B354071"/>
    <w:rsid w:val="5BC164AA"/>
    <w:rsid w:val="5D6946C4"/>
    <w:rsid w:val="5EAA5897"/>
    <w:rsid w:val="5F06110D"/>
    <w:rsid w:val="60495478"/>
    <w:rsid w:val="60E05139"/>
    <w:rsid w:val="61A236D4"/>
    <w:rsid w:val="620174AD"/>
    <w:rsid w:val="65AE707B"/>
    <w:rsid w:val="6600223F"/>
    <w:rsid w:val="66B66CB2"/>
    <w:rsid w:val="67424801"/>
    <w:rsid w:val="69631608"/>
    <w:rsid w:val="69991FF1"/>
    <w:rsid w:val="6A5D66F9"/>
    <w:rsid w:val="6BA06743"/>
    <w:rsid w:val="6BB51FCA"/>
    <w:rsid w:val="6BF571B5"/>
    <w:rsid w:val="6D417912"/>
    <w:rsid w:val="6ED77A26"/>
    <w:rsid w:val="6F2C1A92"/>
    <w:rsid w:val="726A67B9"/>
    <w:rsid w:val="730F13B2"/>
    <w:rsid w:val="73E07940"/>
    <w:rsid w:val="76194155"/>
    <w:rsid w:val="761E47FA"/>
    <w:rsid w:val="775A3D61"/>
    <w:rsid w:val="77BF1DBE"/>
    <w:rsid w:val="7A1A39B6"/>
    <w:rsid w:val="7A2F1483"/>
    <w:rsid w:val="7A687712"/>
    <w:rsid w:val="7B231F26"/>
    <w:rsid w:val="7C6815EE"/>
    <w:rsid w:val="7CDB54C9"/>
    <w:rsid w:val="7FFB78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kern w:val="0"/>
      <w:sz w:val="27"/>
      <w:szCs w:val="27"/>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styleId="4">
    <w:name w:val="annotation text"/>
    <w:basedOn w:val="1"/>
    <w:link w:val="19"/>
    <w:semiHidden/>
    <w:unhideWhenUsed/>
    <w:qFormat/>
    <w:uiPriority w:val="99"/>
    <w:pPr>
      <w:jc w:val="left"/>
    </w:pPr>
  </w:style>
  <w:style w:type="paragraph" w:styleId="5">
    <w:name w:val="Balloon Text"/>
    <w:basedOn w:val="1"/>
    <w:link w:val="17"/>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link w:val="20"/>
    <w:semiHidden/>
    <w:unhideWhenUsed/>
    <w:qFormat/>
    <w:uiPriority w:val="99"/>
    <w:rPr>
      <w:b/>
      <w:bCs/>
    </w:rPr>
  </w:style>
  <w:style w:type="character" w:styleId="11">
    <w:name w:val="Hyperlink"/>
    <w:basedOn w:val="10"/>
    <w:semiHidden/>
    <w:unhideWhenUsed/>
    <w:qFormat/>
    <w:uiPriority w:val="99"/>
    <w:rPr>
      <w:color w:val="0000FF"/>
      <w:u w:val="single"/>
    </w:rPr>
  </w:style>
  <w:style w:type="character" w:styleId="12">
    <w:name w:val="annotation reference"/>
    <w:basedOn w:val="10"/>
    <w:semiHidden/>
    <w:unhideWhenUsed/>
    <w:qFormat/>
    <w:uiPriority w:val="99"/>
    <w:rPr>
      <w:sz w:val="21"/>
      <w:szCs w:val="21"/>
    </w:rPr>
  </w:style>
  <w:style w:type="character" w:customStyle="1" w:styleId="13">
    <w:name w:val="页眉 Char"/>
    <w:basedOn w:val="10"/>
    <w:link w:val="7"/>
    <w:qFormat/>
    <w:uiPriority w:val="99"/>
    <w:rPr>
      <w:sz w:val="18"/>
      <w:szCs w:val="18"/>
    </w:rPr>
  </w:style>
  <w:style w:type="character" w:customStyle="1" w:styleId="14">
    <w:name w:val="页脚 Char"/>
    <w:basedOn w:val="10"/>
    <w:link w:val="6"/>
    <w:qFormat/>
    <w:uiPriority w:val="99"/>
    <w:rPr>
      <w:sz w:val="18"/>
      <w:szCs w:val="18"/>
    </w:rPr>
  </w:style>
  <w:style w:type="paragraph" w:styleId="15">
    <w:name w:val="List Paragraph"/>
    <w:basedOn w:val="1"/>
    <w:qFormat/>
    <w:uiPriority w:val="34"/>
    <w:pPr>
      <w:ind w:firstLine="420" w:firstLineChars="200"/>
    </w:pPr>
  </w:style>
  <w:style w:type="paragraph" w:customStyle="1" w:styleId="16">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7">
    <w:name w:val="批注框文本 Char"/>
    <w:basedOn w:val="10"/>
    <w:link w:val="5"/>
    <w:semiHidden/>
    <w:qFormat/>
    <w:uiPriority w:val="99"/>
    <w:rPr>
      <w:rFonts w:asciiTheme="minorHAnsi" w:hAnsiTheme="minorHAnsi" w:eastAsiaTheme="minorEastAsia" w:cstheme="minorBidi"/>
      <w:kern w:val="2"/>
      <w:sz w:val="18"/>
      <w:szCs w:val="18"/>
    </w:rPr>
  </w:style>
  <w:style w:type="paragraph" w:customStyle="1" w:styleId="18">
    <w:name w:val="修订2"/>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9">
    <w:name w:val="批注文字 Char"/>
    <w:basedOn w:val="10"/>
    <w:link w:val="4"/>
    <w:semiHidden/>
    <w:qFormat/>
    <w:uiPriority w:val="99"/>
    <w:rPr>
      <w:rFonts w:asciiTheme="minorHAnsi" w:hAnsiTheme="minorHAnsi" w:eastAsiaTheme="minorEastAsia" w:cstheme="minorBidi"/>
      <w:kern w:val="2"/>
      <w:sz w:val="21"/>
      <w:szCs w:val="22"/>
    </w:rPr>
  </w:style>
  <w:style w:type="character" w:customStyle="1" w:styleId="20">
    <w:name w:val="批注主题 Char"/>
    <w:basedOn w:val="19"/>
    <w:link w:val="8"/>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712</Words>
  <Characters>4061</Characters>
  <Lines>33</Lines>
  <Paragraphs>9</Paragraphs>
  <TotalTime>9</TotalTime>
  <ScaleCrop>false</ScaleCrop>
  <LinksUpToDate>false</LinksUpToDate>
  <CharactersWithSpaces>4764</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2025-04-30T00:33:00Z</dcterms:created>
  <dc:creator>20095035</dc:creator>
  <cp:lastModifiedBy>20231806</cp:lastModifiedBy>
  <dcterms:modified xsi:type="dcterms:W3CDTF">2025-08-25T09:21:31Z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