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3A332">
      <w:pPr>
        <w:spacing w:before="156" w:beforeLines="50" w:after="156" w:afterLines="50" w:line="400" w:lineRule="exact"/>
        <w:rPr>
          <w:rFonts w:ascii="宋体" w:hAnsi="宋体"/>
          <w:b/>
          <w:iCs/>
          <w:color w:val="000000"/>
          <w:sz w:val="24"/>
          <w:szCs w:val="22"/>
        </w:rPr>
      </w:pPr>
      <w:r>
        <w:rPr>
          <w:rFonts w:hint="eastAsia" w:ascii="宋体" w:hAnsi="宋体"/>
          <w:b/>
          <w:iCs/>
          <w:color w:val="000000"/>
          <w:sz w:val="24"/>
          <w:szCs w:val="22"/>
        </w:rPr>
        <w:t xml:space="preserve">证券代码：688188                                </w:t>
      </w:r>
      <w:r>
        <w:rPr>
          <w:rFonts w:ascii="宋体" w:hAnsi="宋体"/>
          <w:b/>
          <w:iCs/>
          <w:color w:val="000000"/>
          <w:sz w:val="24"/>
          <w:szCs w:val="22"/>
        </w:rPr>
        <w:t xml:space="preserve">  </w:t>
      </w:r>
      <w:r>
        <w:rPr>
          <w:rFonts w:hint="eastAsia" w:ascii="宋体" w:hAnsi="宋体"/>
          <w:b/>
          <w:iCs/>
          <w:color w:val="000000"/>
          <w:sz w:val="24"/>
          <w:szCs w:val="22"/>
        </w:rPr>
        <w:t xml:space="preserve">证券简称：柏楚电子 </w:t>
      </w:r>
    </w:p>
    <w:p w14:paraId="027FE76B">
      <w:pPr>
        <w:spacing w:line="360" w:lineRule="auto"/>
        <w:ind w:firstLine="643" w:firstLineChars="200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</w:p>
    <w:p w14:paraId="4A25741D">
      <w:pPr>
        <w:spacing w:line="360" w:lineRule="auto"/>
        <w:ind w:firstLine="643" w:firstLineChars="200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上海柏楚电子科技股份有限公司</w:t>
      </w:r>
    </w:p>
    <w:p w14:paraId="6F07B510">
      <w:pPr>
        <w:spacing w:line="360" w:lineRule="auto"/>
        <w:ind w:firstLine="643" w:firstLineChars="200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320BD2A0">
      <w:pPr>
        <w:spacing w:line="360" w:lineRule="auto"/>
        <w:ind w:firstLine="643" w:firstLineChars="200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</w:p>
    <w:p w14:paraId="3FFE12CF">
      <w:pPr>
        <w:spacing w:line="400" w:lineRule="exact"/>
        <w:ind w:firstLine="480" w:firstLineChars="200"/>
        <w:rPr>
          <w:rFonts w:hint="default" w:ascii="宋体" w:hAnsi="宋体" w:eastAsia="宋体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编号：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2025-003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 w14:paraId="7A73E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DCDD9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投资者关系活动类别</w:t>
            </w:r>
          </w:p>
          <w:p w14:paraId="7B671610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534067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分析师会议</w:t>
            </w:r>
          </w:p>
          <w:p w14:paraId="48DCF2C1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业绩说明会</w:t>
            </w:r>
          </w:p>
          <w:p w14:paraId="766E16D5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路演活动</w:t>
            </w:r>
          </w:p>
          <w:p w14:paraId="0F86A34F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现场参观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ab/>
            </w:r>
          </w:p>
          <w:p w14:paraId="29C0926E">
            <w:pPr>
              <w:tabs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其他 （</w:t>
            </w:r>
            <w:r>
              <w:rPr>
                <w:rFonts w:hint="eastAsia" w:ascii="宋体" w:hAnsi="宋体"/>
                <w:sz w:val="24"/>
                <w:u w:val="single"/>
              </w:rPr>
              <w:t>电话会议）</w:t>
            </w:r>
          </w:p>
        </w:tc>
      </w:tr>
      <w:tr w14:paraId="22B67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69432">
            <w:pPr>
              <w:spacing w:line="360" w:lineRule="auto"/>
              <w:rPr>
                <w:rFonts w:hint="default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参与单位名称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及人数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198C8F">
            <w:pPr>
              <w:spacing w:line="480" w:lineRule="atLeast"/>
              <w:rPr>
                <w:rFonts w:hint="default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易方达基金管理有限公司、</w:t>
            </w:r>
            <w:r>
              <w:rPr>
                <w:rFonts w:hint="eastAsia"/>
                <w:lang w:val="en-US" w:eastAsia="zh-CN"/>
              </w:rPr>
              <w:t>华夏基金、</w:t>
            </w:r>
            <w:r>
              <w:rPr>
                <w:rFonts w:hint="eastAsia"/>
                <w:lang w:eastAsia="zh-CN"/>
              </w:rPr>
              <w:t>GIC PRIVATE LIMITED、富国基金管理有限公司、南方基金管理股份有限公司、交银施罗德基金、上海瓴仁私募基金管理合伙企业（有限合伙）、华泰柏瑞基金管理有限公司、博时基金管理有限公司、</w:t>
            </w:r>
            <w:r>
              <w:rPr>
                <w:rFonts w:hint="eastAsia"/>
              </w:rPr>
              <w:t>中信证券股份有限公司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申万宏源证券有限公司</w:t>
            </w:r>
            <w:r>
              <w:rPr>
                <w:rFonts w:hint="eastAsia"/>
                <w:lang w:eastAsia="zh-CN"/>
              </w:rPr>
              <w:t>、浙商证券股份有限公司、长江证券股份有限公司、中信建投证券股份有限公司</w:t>
            </w:r>
            <w:r>
              <w:rPr>
                <w:rFonts w:hint="eastAsia"/>
                <w:lang w:val="en-US" w:eastAsia="zh-CN"/>
              </w:rPr>
              <w:t>等69家机构，共计86人次。</w:t>
            </w:r>
          </w:p>
        </w:tc>
      </w:tr>
      <w:tr w14:paraId="36783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72CC3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77ABAF">
            <w:pPr>
              <w:spacing w:line="480" w:lineRule="atLeast"/>
              <w:rPr>
                <w:rFonts w:hint="default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日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下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午1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: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0-1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: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30</w:t>
            </w:r>
          </w:p>
        </w:tc>
      </w:tr>
      <w:tr w14:paraId="22F5A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9532B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760726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电话会议</w:t>
            </w:r>
          </w:p>
        </w:tc>
      </w:tr>
      <w:tr w14:paraId="1D52E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B9269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E7534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董事会秘书：周荇</w:t>
            </w:r>
          </w:p>
          <w:p w14:paraId="308EE32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证券事务代表：周志禹</w:t>
            </w:r>
          </w:p>
        </w:tc>
      </w:tr>
      <w:tr w14:paraId="2A8B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084BA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58235F92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F54CED">
            <w:pPr>
              <w:spacing w:line="480" w:lineRule="atLeast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交流的主要内容：</w:t>
            </w:r>
          </w:p>
          <w:p w14:paraId="46DBAE3F">
            <w:pPr>
              <w:spacing w:line="480" w:lineRule="atLeast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ascii="宋体" w:hAnsi="宋体"/>
                <w:b/>
                <w:iCs/>
                <w:color w:val="000000"/>
                <w:sz w:val="24"/>
              </w:rPr>
              <w:t>第一部分：公司</w:t>
            </w:r>
            <w:r>
              <w:rPr>
                <w:rFonts w:hint="eastAsia" w:ascii="宋体" w:hAnsi="宋体"/>
                <w:b/>
                <w:iCs/>
                <w:color w:val="000000"/>
                <w:sz w:val="24"/>
                <w:lang w:val="en-US" w:eastAsia="zh-CN"/>
              </w:rPr>
              <w:t>2025年上半年</w:t>
            </w: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基本</w:t>
            </w:r>
            <w:r>
              <w:rPr>
                <w:rFonts w:ascii="宋体" w:hAnsi="宋体"/>
                <w:b/>
                <w:iCs/>
                <w:color w:val="000000"/>
                <w:sz w:val="24"/>
              </w:rPr>
              <w:t>情况介绍</w:t>
            </w:r>
          </w:p>
          <w:p w14:paraId="0A8F097D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答：报告期内，公司持续加大技术研发及市场开拓的投入，不断开拓新市场，进一步优化产品解决方案，实现营业收入同比增长 24.89%，利润总额同比增长 24.18%，归属于上市公司股东的净利润同比增长 30.32%，归属于上市公司股东的扣除非经常性损益的净利润同比增长 25.97%。</w:t>
            </w:r>
          </w:p>
          <w:p w14:paraId="1CA5064A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此外，公司总人数增至1136人，研发人员占比保持40%左右，公司整体研发投入保持10.73%增速。</w:t>
            </w:r>
          </w:p>
          <w:p w14:paraId="0A18FD3D">
            <w:pPr>
              <w:spacing w:line="480" w:lineRule="atLeast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第二部分：提问与回答环节</w:t>
            </w:r>
          </w:p>
          <w:p w14:paraId="6E2AF4EB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1、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如何看待目前激光切割业务所在的行业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景气度？</w:t>
            </w:r>
          </w:p>
          <w:p w14:paraId="6B855933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答：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公司整体市占情况相对稳定，海外市场增速相较国内更快，公司的增长情况也在一定程度上反映了行业现状与趋势。</w:t>
            </w:r>
          </w:p>
          <w:p w14:paraId="48E10B56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2、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公司目前主营业务产品的竞争策略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？</w:t>
            </w:r>
          </w:p>
          <w:p w14:paraId="2F827D00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答：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公司是国内激光切割行业的领跑者，公司只有长期坚定地加大研发投入，主动贴近市场需求，积极探索新技术新方向，才能在日益激烈的市场竞争环境中，持续巩固技术领先优势，为客户创造更多的增量价值，不断增强用户黏性。</w:t>
            </w:r>
          </w:p>
          <w:p w14:paraId="0A47C39E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3、管材切割解决方案的下游应用主要涉及哪些行业？</w:t>
            </w:r>
          </w:p>
          <w:p w14:paraId="7B5010C6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答：管材切割解决方案的应用极为广泛，包括建筑钢结构、航空航天、运动器材、金属家具、电梯、电气设备、灯饰五金等。近年来，除了传统的管材加工需求外，很多涉及小管及重管的新需求也在持续释放。</w:t>
            </w:r>
          </w:p>
          <w:p w14:paraId="68610330">
            <w:pPr>
              <w:spacing w:line="480" w:lineRule="atLeast"/>
              <w:rPr>
                <w:rFonts w:hint="default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、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智能机器人焊接业务的下游的客户主要是哪些？</w:t>
            </w:r>
          </w:p>
          <w:p w14:paraId="6A88275D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答：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下游客户主要为设备集成商、机器人本体厂商及部分行业头部终端等。</w:t>
            </w:r>
          </w:p>
          <w:p w14:paraId="12DA04DC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5、目前智能机器人焊接系统的实际应用中，有图纸方案与免图纸方案相比哪类应用更多？</w:t>
            </w:r>
          </w:p>
          <w:p w14:paraId="550F1499">
            <w:pPr>
              <w:spacing w:line="480" w:lineRule="atLeast"/>
              <w:rPr>
                <w:rFonts w:hint="default" w:ascii="宋体" w:hAnsi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答：各下游行业的情况有所不同，具体会结合各行业现状选择更适合的方案落地。目前已实现应用的行业中，流程规范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化管理程度更高的行业更多会采用有图纸方案。</w:t>
            </w:r>
          </w:p>
          <w:p w14:paraId="4AD52842">
            <w:pPr>
              <w:widowControl w:val="0"/>
              <w:numPr>
                <w:ilvl w:val="0"/>
                <w:numId w:val="0"/>
              </w:numPr>
              <w:spacing w:line="480" w:lineRule="atLeast"/>
              <w:jc w:val="both"/>
              <w:rPr>
                <w:rFonts w:hint="default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6、上半年智能机器人焊接业务下游终端的行业需求如何？</w:t>
            </w:r>
          </w:p>
          <w:p w14:paraId="31B35F66">
            <w:pPr>
              <w:widowControl w:val="0"/>
              <w:numPr>
                <w:ilvl w:val="0"/>
                <w:numId w:val="0"/>
              </w:numPr>
              <w:spacing w:line="480" w:lineRule="atLeast"/>
              <w:jc w:val="both"/>
              <w:rPr>
                <w:rFonts w:hint="eastAsia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答：上半年出货的订单中建筑钢结构占比约80%，其余船舶、变压器油箱、桥梁、工程机械等均有涉及。特别是今年埃森展后主动来咨询对接的客户很多，智能化替代需求旺盛。</w:t>
            </w:r>
          </w:p>
        </w:tc>
      </w:tr>
      <w:tr w14:paraId="049E0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BC70C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关于本次活动是否涉及应当披露重大信息的说明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0ED9C8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无。</w:t>
            </w:r>
          </w:p>
        </w:tc>
      </w:tr>
      <w:tr w14:paraId="3F26F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A049E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445717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60E53F9C">
      <w:pPr>
        <w:jc w:val="left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zYzcxNmFjOWU0MDU0NjVlZWM4NTczMTA1ZTYwMDYifQ=="/>
  </w:docVars>
  <w:rsids>
    <w:rsidRoot w:val="00DB361F"/>
    <w:rsid w:val="00000601"/>
    <w:rsid w:val="0000207D"/>
    <w:rsid w:val="00003F99"/>
    <w:rsid w:val="00005DB8"/>
    <w:rsid w:val="001417C0"/>
    <w:rsid w:val="001A2E1E"/>
    <w:rsid w:val="001D3494"/>
    <w:rsid w:val="00293E36"/>
    <w:rsid w:val="00295CED"/>
    <w:rsid w:val="002A2C74"/>
    <w:rsid w:val="002B0130"/>
    <w:rsid w:val="002C09B8"/>
    <w:rsid w:val="002D7C22"/>
    <w:rsid w:val="002F3005"/>
    <w:rsid w:val="003035EA"/>
    <w:rsid w:val="003609BA"/>
    <w:rsid w:val="003E70FC"/>
    <w:rsid w:val="00412DA5"/>
    <w:rsid w:val="004D6884"/>
    <w:rsid w:val="0054490C"/>
    <w:rsid w:val="005964DF"/>
    <w:rsid w:val="0060334D"/>
    <w:rsid w:val="00652AE8"/>
    <w:rsid w:val="006903D5"/>
    <w:rsid w:val="006A78DE"/>
    <w:rsid w:val="00752966"/>
    <w:rsid w:val="00785F1B"/>
    <w:rsid w:val="007B2ED3"/>
    <w:rsid w:val="008107E8"/>
    <w:rsid w:val="008A37DE"/>
    <w:rsid w:val="008B0754"/>
    <w:rsid w:val="009148ED"/>
    <w:rsid w:val="009967E3"/>
    <w:rsid w:val="009A490D"/>
    <w:rsid w:val="009B0B11"/>
    <w:rsid w:val="009E743C"/>
    <w:rsid w:val="00A247FA"/>
    <w:rsid w:val="00A6539A"/>
    <w:rsid w:val="00AC7C57"/>
    <w:rsid w:val="00AE4ED3"/>
    <w:rsid w:val="00B26A5B"/>
    <w:rsid w:val="00BB2FD4"/>
    <w:rsid w:val="00CF1F10"/>
    <w:rsid w:val="00D039FA"/>
    <w:rsid w:val="00DA041C"/>
    <w:rsid w:val="00DA4F8C"/>
    <w:rsid w:val="00DB361F"/>
    <w:rsid w:val="00DD17A3"/>
    <w:rsid w:val="00E33901"/>
    <w:rsid w:val="00E52443"/>
    <w:rsid w:val="00EB0D2E"/>
    <w:rsid w:val="00ED430E"/>
    <w:rsid w:val="00F514E1"/>
    <w:rsid w:val="030148E2"/>
    <w:rsid w:val="068E795F"/>
    <w:rsid w:val="07A71079"/>
    <w:rsid w:val="0C547201"/>
    <w:rsid w:val="131B45D5"/>
    <w:rsid w:val="1939138F"/>
    <w:rsid w:val="1A397B11"/>
    <w:rsid w:val="1A4268EB"/>
    <w:rsid w:val="1B845309"/>
    <w:rsid w:val="1CF71A15"/>
    <w:rsid w:val="23E34C9B"/>
    <w:rsid w:val="39957106"/>
    <w:rsid w:val="3B992858"/>
    <w:rsid w:val="3DBF6F19"/>
    <w:rsid w:val="44FC2531"/>
    <w:rsid w:val="56B84DAE"/>
    <w:rsid w:val="59FE1AB5"/>
    <w:rsid w:val="5B065111"/>
    <w:rsid w:val="5B7B213E"/>
    <w:rsid w:val="71FE04BF"/>
    <w:rsid w:val="78FB2611"/>
    <w:rsid w:val="7CD5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Emphasis"/>
    <w:basedOn w:val="8"/>
    <w:qFormat/>
    <w:uiPriority w:val="20"/>
    <w:rPr>
      <w:i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font21"/>
    <w:basedOn w:val="8"/>
    <w:qFormat/>
    <w:uiPriority w:val="0"/>
    <w:rPr>
      <w:rFonts w:hint="default" w:ascii="Calibri" w:hAnsi="Calibri" w:cs="Calibri"/>
      <w:color w:val="000000"/>
      <w:sz w:val="16"/>
      <w:szCs w:val="16"/>
      <w:u w:val="none"/>
    </w:rPr>
  </w:style>
  <w:style w:type="character" w:customStyle="1" w:styleId="17">
    <w:name w:val="font3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EEFA9-4F87-439C-AC01-3D44CAB8AF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1142</Words>
  <Characters>1223</Characters>
  <Lines>9</Lines>
  <Paragraphs>2</Paragraphs>
  <TotalTime>162</TotalTime>
  <ScaleCrop>false</ScaleCrop>
  <LinksUpToDate>false</LinksUpToDate>
  <CharactersWithSpaces>1348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2023-10-13T07:56:00Z</dcterms:created>
  <dc:creator>skd004</dc:creator>
  <cp:lastModifiedBy>红牛</cp:lastModifiedBy>
  <dcterms:modified xsi:type="dcterms:W3CDTF">2025-08-25T09:10:02Z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53B00762A6DE44DF8C0543280DD0A92A_13</vt:lpwstr>
  </property>
  <property fmtid="{D5CDD505-2E9C-101B-9397-08002B2CF9AE}" pid="4" name="KSOTemplateDocerSaveRecord">
    <vt:lpwstr>eyJoZGlkIjoiZjMzYzcxNmFjOWU0MDU0NjVlZWM4NTczMTA1ZTYwMDYiLCJ1c2VySWQiOiIxNzEyMTk1NDQ1In0=</vt:lpwstr>
  </property>
</Properties>
</file>