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B402C">
      <w:pPr>
        <w:spacing w:line="360" w:lineRule="auto"/>
        <w:jc w:val="center"/>
        <w:rPr>
          <w:rFonts w:ascii="宋体" w:hAnsi="宋体" w:cs="宋体"/>
          <w:b/>
          <w:iCs/>
          <w:color w:val="000000"/>
          <w:sz w:val="44"/>
          <w:szCs w:val="44"/>
        </w:rPr>
      </w:pPr>
      <w:bookmarkStart w:id="3" w:name="_GoBack"/>
      <w:bookmarkEnd w:id="3"/>
      <w:r>
        <w:rPr>
          <w:rFonts w:hint="eastAsia" w:ascii="宋体" w:hAnsi="宋体" w:cs="宋体"/>
          <w:b/>
          <w:iCs/>
          <w:color w:val="000000"/>
          <w:sz w:val="44"/>
          <w:szCs w:val="44"/>
        </w:rPr>
        <w:t>北京福元医药股份有限公司</w:t>
      </w:r>
    </w:p>
    <w:p w14:paraId="5BF120C7">
      <w:pPr>
        <w:spacing w:line="360" w:lineRule="auto"/>
        <w:jc w:val="center"/>
        <w:rPr>
          <w:rFonts w:ascii="宋体" w:hAnsi="宋体" w:cs="宋体"/>
          <w:b/>
          <w:iCs/>
          <w:color w:val="000000"/>
          <w:sz w:val="44"/>
          <w:szCs w:val="44"/>
        </w:rPr>
      </w:pPr>
      <w:r>
        <w:rPr>
          <w:rFonts w:hint="eastAsia" w:ascii="宋体" w:hAnsi="宋体" w:cs="宋体"/>
          <w:b/>
          <w:iCs/>
          <w:color w:val="000000"/>
          <w:sz w:val="44"/>
          <w:szCs w:val="44"/>
        </w:rPr>
        <w:t>投资者关系活动记录表</w:t>
      </w:r>
    </w:p>
    <w:p w14:paraId="4C836190">
      <w:pPr>
        <w:spacing w:line="360" w:lineRule="auto"/>
        <w:jc w:val="right"/>
        <w:rPr>
          <w:rFonts w:ascii="宋体" w:hAnsi="宋体" w:cs="宋体"/>
          <w:bCs/>
          <w:iCs/>
          <w:color w:val="000000"/>
          <w:sz w:val="28"/>
          <w:szCs w:val="28"/>
        </w:rPr>
      </w:pPr>
      <w:r>
        <w:rPr>
          <w:rFonts w:hint="eastAsia" w:ascii="宋体" w:hAnsi="宋体" w:cs="宋体"/>
          <w:bCs/>
          <w:iCs/>
          <w:color w:val="000000"/>
          <w:sz w:val="28"/>
          <w:szCs w:val="28"/>
        </w:rPr>
        <w:t>编号：2</w:t>
      </w:r>
      <w:r>
        <w:rPr>
          <w:rFonts w:ascii="宋体" w:hAnsi="宋体" w:cs="宋体"/>
          <w:bCs/>
          <w:iCs/>
          <w:color w:val="000000"/>
          <w:sz w:val="28"/>
          <w:szCs w:val="28"/>
        </w:rPr>
        <w:t>025-14</w:t>
      </w:r>
    </w:p>
    <w:tbl>
      <w:tblPr>
        <w:tblStyle w:val="7"/>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6782"/>
      </w:tblGrid>
      <w:tr w14:paraId="16F9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6742A109">
            <w:pPr>
              <w:rPr>
                <w:rFonts w:ascii="宋体" w:hAnsi="宋体" w:cs="宋体"/>
                <w:bCs/>
                <w:iCs/>
                <w:color w:val="000000"/>
                <w:sz w:val="24"/>
                <w:szCs w:val="24"/>
              </w:rPr>
            </w:pPr>
            <w:r>
              <w:rPr>
                <w:rFonts w:hint="eastAsia" w:ascii="宋体" w:hAnsi="宋体" w:cs="宋体"/>
                <w:bCs/>
                <w:iCs/>
                <w:color w:val="000000"/>
                <w:sz w:val="24"/>
                <w:szCs w:val="24"/>
              </w:rPr>
              <w:t>投资者关系活动类别</w:t>
            </w:r>
          </w:p>
          <w:p w14:paraId="0228BA4E">
            <w:pPr>
              <w:rPr>
                <w:rFonts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6F7FE241">
            <w:pPr>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特定对象调研        </w:t>
            </w:r>
            <w:r>
              <w:rPr>
                <w:rFonts w:hint="eastAsia" w:ascii="宋体" w:hAnsi="宋体" w:cs="宋体"/>
                <w:bCs/>
                <w:iCs/>
                <w:color w:val="000000"/>
                <w:sz w:val="24"/>
                <w:szCs w:val="24"/>
              </w:rPr>
              <w:sym w:font="Wingdings 2" w:char="00A3"/>
            </w:r>
            <w:r>
              <w:rPr>
                <w:rFonts w:hint="eastAsia" w:ascii="宋体" w:hAnsi="宋体" w:cs="宋体"/>
                <w:color w:val="000000"/>
                <w:sz w:val="24"/>
                <w:szCs w:val="24"/>
              </w:rPr>
              <w:t>分析师会议</w:t>
            </w:r>
          </w:p>
          <w:p w14:paraId="1817BFFE">
            <w:pPr>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媒体采访            </w:t>
            </w:r>
            <w:r>
              <w:rPr>
                <w:rFonts w:hint="eastAsia" w:ascii="宋体" w:hAnsi="宋体" w:cs="宋体"/>
                <w:bCs/>
                <w:iCs/>
                <w:color w:val="000000"/>
                <w:sz w:val="24"/>
                <w:szCs w:val="24"/>
              </w:rPr>
              <w:sym w:font="Wingdings 2" w:char="00A3"/>
            </w:r>
            <w:r>
              <w:rPr>
                <w:rFonts w:hint="eastAsia" w:ascii="宋体" w:hAnsi="宋体" w:cs="宋体"/>
                <w:color w:val="000000"/>
                <w:sz w:val="24"/>
                <w:szCs w:val="24"/>
              </w:rPr>
              <w:t>业绩说明会</w:t>
            </w:r>
          </w:p>
          <w:p w14:paraId="622D3EB9">
            <w:pPr>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新闻发布会          </w:t>
            </w:r>
            <w:r>
              <w:rPr>
                <w:rFonts w:hint="eastAsia" w:ascii="宋体" w:hAnsi="宋体" w:cs="宋体"/>
                <w:bCs/>
                <w:iCs/>
                <w:color w:val="000000"/>
                <w:sz w:val="24"/>
                <w:szCs w:val="24"/>
              </w:rPr>
              <w:t>□</w:t>
            </w:r>
            <w:r>
              <w:rPr>
                <w:rFonts w:hint="eastAsia" w:ascii="宋体" w:hAnsi="宋体" w:cs="宋体"/>
                <w:color w:val="000000"/>
                <w:sz w:val="24"/>
                <w:szCs w:val="24"/>
              </w:rPr>
              <w:t>路演活动</w:t>
            </w:r>
          </w:p>
          <w:p w14:paraId="7CCC3C09">
            <w:pPr>
              <w:tabs>
                <w:tab w:val="left" w:pos="3045"/>
                <w:tab w:val="center" w:pos="3199"/>
              </w:tabs>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现场参观</w:t>
            </w:r>
            <w:r>
              <w:rPr>
                <w:rFonts w:hint="eastAsia" w:ascii="宋体" w:hAnsi="宋体" w:cs="宋体"/>
                <w:bCs/>
                <w:iCs/>
                <w:color w:val="000000"/>
                <w:sz w:val="24"/>
                <w:szCs w:val="24"/>
              </w:rPr>
              <w:tab/>
            </w:r>
          </w:p>
          <w:p w14:paraId="422816A3">
            <w:pPr>
              <w:tabs>
                <w:tab w:val="center" w:pos="3199"/>
              </w:tabs>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其他（</w:t>
            </w:r>
            <w:r>
              <w:rPr>
                <w:rFonts w:hint="eastAsia" w:ascii="宋体" w:hAnsi="宋体" w:cs="宋体"/>
                <w:color w:val="000000"/>
                <w:sz w:val="24"/>
                <w:szCs w:val="24"/>
                <w:u w:val="single"/>
              </w:rPr>
              <w:t>请文字说明其他活动内容）</w:t>
            </w:r>
          </w:p>
        </w:tc>
      </w:tr>
      <w:tr w14:paraId="50D5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49" w:type="dxa"/>
            <w:tcBorders>
              <w:top w:val="single" w:color="auto" w:sz="4" w:space="0"/>
              <w:left w:val="single" w:color="auto" w:sz="4" w:space="0"/>
              <w:bottom w:val="single" w:color="auto" w:sz="4" w:space="0"/>
              <w:right w:val="single" w:color="auto" w:sz="4" w:space="0"/>
            </w:tcBorders>
            <w:vAlign w:val="center"/>
          </w:tcPr>
          <w:p w14:paraId="72D84765">
            <w:pPr>
              <w:rPr>
                <w:rFonts w:ascii="宋体" w:hAnsi="宋体" w:cs="宋体"/>
                <w:bCs/>
                <w:iCs/>
                <w:color w:val="000000"/>
                <w:sz w:val="24"/>
                <w:szCs w:val="24"/>
              </w:rPr>
            </w:pPr>
            <w:r>
              <w:rPr>
                <w:rFonts w:hint="eastAsia" w:ascii="宋体" w:hAnsi="宋体" w:cs="宋体"/>
                <w:bCs/>
                <w:iCs/>
                <w:color w:val="000000"/>
                <w:sz w:val="24"/>
                <w:szCs w:val="24"/>
              </w:rPr>
              <w:t>参与单位名称及人员姓名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5DD41422">
            <w:pPr>
              <w:rPr>
                <w:rFonts w:ascii="宋体" w:hAnsi="宋体" w:cs="宋体"/>
                <w:bCs/>
                <w:iCs/>
                <w:color w:val="000000"/>
                <w:sz w:val="24"/>
                <w:szCs w:val="24"/>
              </w:rPr>
            </w:pPr>
            <w:r>
              <w:rPr>
                <w:rFonts w:hint="eastAsia" w:ascii="宋体" w:hAnsi="宋体" w:cs="宋体"/>
                <w:bCs/>
                <w:iCs/>
                <w:color w:val="000000"/>
                <w:sz w:val="24"/>
                <w:szCs w:val="24"/>
              </w:rPr>
              <w:t xml:space="preserve">嘉实基金 李慧 曹佳宁 </w:t>
            </w:r>
            <w:r>
              <w:rPr>
                <w:rFonts w:ascii="宋体" w:hAnsi="宋体" w:cs="宋体"/>
                <w:bCs/>
                <w:iCs/>
                <w:color w:val="000000"/>
                <w:sz w:val="24"/>
                <w:szCs w:val="24"/>
              </w:rPr>
              <w:t xml:space="preserve">      </w:t>
            </w:r>
            <w:r>
              <w:rPr>
                <w:rFonts w:hint="eastAsia" w:ascii="宋体" w:hAnsi="宋体" w:cs="宋体"/>
                <w:bCs/>
                <w:iCs/>
                <w:color w:val="000000"/>
                <w:sz w:val="24"/>
                <w:szCs w:val="24"/>
              </w:rPr>
              <w:t>平安基金 黄文敏</w:t>
            </w:r>
          </w:p>
          <w:p w14:paraId="3DDB9A1A">
            <w:pPr>
              <w:rPr>
                <w:rFonts w:ascii="宋体" w:hAnsi="宋体" w:cs="宋体"/>
                <w:bCs/>
                <w:iCs/>
                <w:color w:val="000000"/>
                <w:sz w:val="24"/>
                <w:szCs w:val="24"/>
              </w:rPr>
            </w:pPr>
            <w:r>
              <w:rPr>
                <w:rFonts w:hint="eastAsia" w:ascii="宋体" w:hAnsi="宋体" w:cs="宋体"/>
                <w:bCs/>
                <w:iCs/>
                <w:color w:val="000000"/>
                <w:sz w:val="24"/>
                <w:szCs w:val="24"/>
              </w:rPr>
              <w:t xml:space="preserve">泰康资产 陈璟 雷啸 </w:t>
            </w:r>
            <w:r>
              <w:rPr>
                <w:rFonts w:ascii="宋体" w:hAnsi="宋体" w:cs="宋体"/>
                <w:bCs/>
                <w:iCs/>
                <w:color w:val="000000"/>
                <w:sz w:val="24"/>
                <w:szCs w:val="24"/>
              </w:rPr>
              <w:t xml:space="preserve">        </w:t>
            </w:r>
            <w:r>
              <w:rPr>
                <w:rFonts w:hint="eastAsia" w:ascii="宋体" w:hAnsi="宋体" w:cs="宋体"/>
                <w:bCs/>
                <w:iCs/>
                <w:color w:val="000000"/>
                <w:sz w:val="24"/>
                <w:szCs w:val="24"/>
              </w:rPr>
              <w:t>华夏基金 陈悦</w:t>
            </w:r>
          </w:p>
          <w:p w14:paraId="03717D09">
            <w:pPr>
              <w:rPr>
                <w:rFonts w:ascii="宋体" w:hAnsi="宋体" w:cs="宋体"/>
                <w:bCs/>
                <w:iCs/>
                <w:color w:val="000000"/>
                <w:sz w:val="24"/>
                <w:szCs w:val="24"/>
              </w:rPr>
            </w:pPr>
            <w:r>
              <w:rPr>
                <w:rFonts w:hint="eastAsia" w:ascii="宋体" w:hAnsi="宋体" w:cs="宋体"/>
                <w:bCs/>
                <w:iCs/>
                <w:color w:val="000000"/>
                <w:sz w:val="24"/>
                <w:szCs w:val="24"/>
              </w:rPr>
              <w:t xml:space="preserve">平安证券 曹艳凯 苏莉 </w:t>
            </w:r>
            <w:r>
              <w:rPr>
                <w:rFonts w:ascii="宋体" w:hAnsi="宋体" w:cs="宋体"/>
                <w:bCs/>
                <w:iCs/>
                <w:color w:val="000000"/>
                <w:sz w:val="24"/>
                <w:szCs w:val="24"/>
              </w:rPr>
              <w:t xml:space="preserve">      </w:t>
            </w:r>
            <w:r>
              <w:rPr>
                <w:rFonts w:hint="eastAsia" w:ascii="宋体" w:hAnsi="宋体" w:cs="宋体"/>
                <w:bCs/>
                <w:iCs/>
                <w:color w:val="000000"/>
                <w:sz w:val="24"/>
                <w:szCs w:val="24"/>
              </w:rPr>
              <w:t>建信基金 郑丁源</w:t>
            </w:r>
          </w:p>
          <w:p w14:paraId="5B9A63EA">
            <w:pPr>
              <w:rPr>
                <w:rFonts w:ascii="宋体" w:hAnsi="宋体" w:cs="宋体"/>
                <w:bCs/>
                <w:iCs/>
                <w:color w:val="000000"/>
                <w:sz w:val="24"/>
                <w:szCs w:val="24"/>
              </w:rPr>
            </w:pPr>
            <w:r>
              <w:rPr>
                <w:rFonts w:hint="eastAsia" w:ascii="宋体" w:hAnsi="宋体" w:cs="宋体"/>
                <w:bCs/>
                <w:iCs/>
                <w:color w:val="000000"/>
                <w:sz w:val="24"/>
                <w:szCs w:val="24"/>
              </w:rPr>
              <w:t>华源医药 刘闯 孙洁玲</w:t>
            </w:r>
          </w:p>
        </w:tc>
      </w:tr>
      <w:tr w14:paraId="026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B0EF39">
            <w:pPr>
              <w:rPr>
                <w:rFonts w:ascii="宋体" w:hAnsi="宋体" w:cs="宋体"/>
                <w:bCs/>
                <w:iCs/>
                <w:color w:val="000000"/>
                <w:sz w:val="24"/>
                <w:szCs w:val="24"/>
              </w:rPr>
            </w:pPr>
            <w:r>
              <w:rPr>
                <w:rFonts w:hint="eastAsia" w:ascii="宋体" w:hAnsi="宋体" w:cs="宋体"/>
                <w:bCs/>
                <w:iCs/>
                <w:color w:val="000000"/>
                <w:sz w:val="24"/>
                <w:szCs w:val="24"/>
              </w:rPr>
              <w:t>时间</w:t>
            </w:r>
          </w:p>
        </w:tc>
        <w:tc>
          <w:tcPr>
            <w:tcW w:w="6782" w:type="dxa"/>
            <w:tcBorders>
              <w:top w:val="single" w:color="auto" w:sz="4" w:space="0"/>
              <w:left w:val="single" w:color="auto" w:sz="4" w:space="0"/>
              <w:bottom w:val="single" w:color="auto" w:sz="4" w:space="0"/>
              <w:right w:val="single" w:color="auto" w:sz="4" w:space="0"/>
            </w:tcBorders>
            <w:vAlign w:val="center"/>
          </w:tcPr>
          <w:p w14:paraId="26D632AD">
            <w:pPr>
              <w:rPr>
                <w:rFonts w:ascii="宋体" w:hAnsi="宋体" w:cs="宋体"/>
                <w:bCs/>
                <w:iCs/>
                <w:color w:val="000000"/>
                <w:sz w:val="24"/>
                <w:szCs w:val="24"/>
              </w:rPr>
            </w:pPr>
            <w:r>
              <w:rPr>
                <w:rFonts w:hint="eastAsia" w:ascii="宋体" w:hAnsi="宋体" w:cs="宋体"/>
                <w:bCs/>
                <w:iCs/>
                <w:color w:val="000000"/>
                <w:sz w:val="24"/>
                <w:szCs w:val="24"/>
              </w:rPr>
              <w:t>2025年8月28日1</w:t>
            </w:r>
            <w:r>
              <w:rPr>
                <w:rFonts w:ascii="宋体" w:hAnsi="宋体" w:cs="宋体"/>
                <w:bCs/>
                <w:iCs/>
                <w:color w:val="000000"/>
                <w:sz w:val="24"/>
                <w:szCs w:val="24"/>
              </w:rPr>
              <w:t>0</w:t>
            </w:r>
            <w:r>
              <w:rPr>
                <w:rFonts w:hint="eastAsia" w:ascii="宋体" w:hAnsi="宋体" w:cs="宋体"/>
                <w:bCs/>
                <w:iCs/>
                <w:color w:val="000000"/>
                <w:sz w:val="24"/>
                <w:szCs w:val="24"/>
              </w:rPr>
              <w:t>:</w:t>
            </w:r>
            <w:r>
              <w:rPr>
                <w:rFonts w:ascii="宋体" w:hAnsi="宋体" w:cs="宋体"/>
                <w:bCs/>
                <w:iCs/>
                <w:color w:val="000000"/>
                <w:sz w:val="24"/>
                <w:szCs w:val="24"/>
              </w:rPr>
              <w:t>00-11</w:t>
            </w:r>
            <w:r>
              <w:rPr>
                <w:rFonts w:hint="eastAsia" w:ascii="宋体" w:hAnsi="宋体" w:cs="宋体"/>
                <w:bCs/>
                <w:iCs/>
                <w:color w:val="000000"/>
                <w:sz w:val="24"/>
                <w:szCs w:val="24"/>
              </w:rPr>
              <w:t>:</w:t>
            </w:r>
            <w:r>
              <w:rPr>
                <w:rFonts w:ascii="宋体" w:hAnsi="宋体" w:cs="宋体"/>
                <w:bCs/>
                <w:iCs/>
                <w:color w:val="000000"/>
                <w:sz w:val="24"/>
                <w:szCs w:val="24"/>
              </w:rPr>
              <w:t>30</w:t>
            </w:r>
            <w:r>
              <w:rPr>
                <w:rFonts w:hint="eastAsia" w:ascii="宋体" w:hAnsi="宋体" w:cs="宋体"/>
                <w:bCs/>
                <w:iCs/>
                <w:color w:val="000000"/>
                <w:sz w:val="24"/>
                <w:szCs w:val="24"/>
              </w:rPr>
              <w:t xml:space="preserve">  </w:t>
            </w:r>
          </w:p>
        </w:tc>
      </w:tr>
      <w:tr w14:paraId="2E3A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9BA2E8">
            <w:pPr>
              <w:rPr>
                <w:rFonts w:ascii="宋体" w:hAnsi="宋体" w:cs="宋体"/>
                <w:bCs/>
                <w:iCs/>
                <w:color w:val="000000"/>
                <w:sz w:val="24"/>
                <w:szCs w:val="24"/>
              </w:rPr>
            </w:pPr>
            <w:r>
              <w:rPr>
                <w:rFonts w:hint="eastAsia" w:ascii="宋体" w:hAnsi="宋体" w:cs="宋体"/>
                <w:bCs/>
                <w:iCs/>
                <w:color w:val="000000"/>
                <w:sz w:val="24"/>
                <w:szCs w:val="24"/>
              </w:rPr>
              <w:t>地点</w:t>
            </w:r>
          </w:p>
        </w:tc>
        <w:tc>
          <w:tcPr>
            <w:tcW w:w="6782" w:type="dxa"/>
            <w:tcBorders>
              <w:top w:val="single" w:color="auto" w:sz="4" w:space="0"/>
              <w:left w:val="single" w:color="auto" w:sz="4" w:space="0"/>
              <w:bottom w:val="single" w:color="auto" w:sz="4" w:space="0"/>
              <w:right w:val="single" w:color="auto" w:sz="4" w:space="0"/>
            </w:tcBorders>
            <w:vAlign w:val="center"/>
          </w:tcPr>
          <w:p w14:paraId="75C55427">
            <w:pPr>
              <w:rPr>
                <w:rFonts w:ascii="宋体" w:hAnsi="宋体" w:cs="宋体"/>
                <w:bCs/>
                <w:iCs/>
                <w:color w:val="000000"/>
                <w:sz w:val="24"/>
                <w:szCs w:val="24"/>
              </w:rPr>
            </w:pPr>
            <w:r>
              <w:rPr>
                <w:rFonts w:hint="eastAsia" w:ascii="宋体" w:hAnsi="宋体" w:cs="宋体"/>
                <w:bCs/>
                <w:iCs/>
                <w:color w:val="000000"/>
                <w:sz w:val="24"/>
                <w:szCs w:val="24"/>
              </w:rPr>
              <w:t>公司会议室</w:t>
            </w:r>
          </w:p>
        </w:tc>
      </w:tr>
      <w:tr w14:paraId="4C2D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11BAD12">
            <w:pPr>
              <w:rPr>
                <w:rFonts w:ascii="宋体" w:hAnsi="宋体" w:cs="宋体"/>
                <w:bCs/>
                <w:iCs/>
                <w:color w:val="000000"/>
                <w:sz w:val="24"/>
                <w:szCs w:val="24"/>
              </w:rPr>
            </w:pPr>
            <w:r>
              <w:rPr>
                <w:rFonts w:hint="eastAsia" w:ascii="宋体" w:hAnsi="宋体" w:cs="宋体"/>
                <w:bCs/>
                <w:iCs/>
                <w:color w:val="000000"/>
                <w:sz w:val="24"/>
                <w:szCs w:val="24"/>
              </w:rPr>
              <w:t>上市公司接待人员姓名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1D871106">
            <w:pPr>
              <w:rPr>
                <w:rFonts w:ascii="宋体" w:hAnsi="宋体" w:cs="宋体"/>
                <w:bCs/>
                <w:iCs/>
                <w:color w:val="000000"/>
                <w:sz w:val="24"/>
                <w:szCs w:val="24"/>
              </w:rPr>
            </w:pPr>
            <w:r>
              <w:rPr>
                <w:rFonts w:hint="eastAsia" w:ascii="宋体" w:hAnsi="宋体" w:cs="宋体"/>
                <w:bCs/>
                <w:iCs/>
                <w:color w:val="000000"/>
                <w:sz w:val="24"/>
                <w:szCs w:val="24"/>
              </w:rPr>
              <w:t>董事长、总经理 黄河</w:t>
            </w:r>
          </w:p>
          <w:p w14:paraId="5C1EED9C">
            <w:pPr>
              <w:rPr>
                <w:rFonts w:ascii="宋体" w:hAnsi="宋体" w:cs="宋体"/>
                <w:bCs/>
                <w:iCs/>
                <w:color w:val="000000"/>
                <w:sz w:val="24"/>
                <w:szCs w:val="24"/>
              </w:rPr>
            </w:pPr>
            <w:r>
              <w:rPr>
                <w:rFonts w:hint="eastAsia" w:ascii="宋体" w:hAnsi="宋体" w:cs="宋体"/>
                <w:bCs/>
                <w:iCs/>
                <w:color w:val="000000"/>
                <w:sz w:val="24"/>
                <w:szCs w:val="24"/>
              </w:rPr>
              <w:t>药物研究院创新中心总监 王岩</w:t>
            </w:r>
          </w:p>
          <w:p w14:paraId="00B74A98">
            <w:pPr>
              <w:rPr>
                <w:rFonts w:ascii="宋体" w:hAnsi="宋体" w:cs="宋体"/>
                <w:bCs/>
                <w:iCs/>
                <w:color w:val="000000"/>
                <w:sz w:val="24"/>
                <w:szCs w:val="24"/>
              </w:rPr>
            </w:pPr>
            <w:r>
              <w:rPr>
                <w:rFonts w:hint="eastAsia" w:ascii="宋体" w:hAnsi="宋体" w:cs="宋体"/>
                <w:bCs/>
                <w:iCs/>
                <w:color w:val="000000"/>
                <w:sz w:val="24"/>
                <w:szCs w:val="24"/>
              </w:rPr>
              <w:t>财务负责人 杨徐燕</w:t>
            </w:r>
          </w:p>
          <w:p w14:paraId="6DF270AB">
            <w:pPr>
              <w:rPr>
                <w:rFonts w:ascii="宋体" w:hAnsi="宋体" w:cs="宋体"/>
                <w:bCs/>
                <w:iCs/>
                <w:color w:val="000000"/>
                <w:sz w:val="24"/>
                <w:szCs w:val="24"/>
              </w:rPr>
            </w:pPr>
            <w:r>
              <w:rPr>
                <w:rFonts w:hint="eastAsia" w:ascii="宋体" w:hAnsi="宋体" w:cs="宋体"/>
                <w:bCs/>
                <w:iCs/>
                <w:color w:val="000000"/>
                <w:sz w:val="24"/>
                <w:szCs w:val="24"/>
              </w:rPr>
              <w:t>董事会秘书 张莉瑾</w:t>
            </w:r>
          </w:p>
          <w:p w14:paraId="23E6112C">
            <w:pPr>
              <w:rPr>
                <w:rFonts w:ascii="宋体" w:hAnsi="宋体" w:cs="宋体"/>
                <w:bCs/>
                <w:iCs/>
                <w:color w:val="000000"/>
                <w:sz w:val="24"/>
                <w:szCs w:val="24"/>
              </w:rPr>
            </w:pPr>
            <w:r>
              <w:rPr>
                <w:rFonts w:hint="eastAsia" w:ascii="宋体" w:hAnsi="宋体" w:cs="宋体"/>
                <w:bCs/>
                <w:iCs/>
                <w:color w:val="000000"/>
                <w:sz w:val="24"/>
                <w:szCs w:val="24"/>
              </w:rPr>
              <w:t>证券事务代表 郑凯微</w:t>
            </w:r>
          </w:p>
        </w:tc>
      </w:tr>
      <w:tr w14:paraId="5820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0CDF7A14">
            <w:pPr>
              <w:rPr>
                <w:rFonts w:ascii="宋体" w:hAnsi="宋体" w:cs="宋体"/>
                <w:bCs/>
                <w:iCs/>
                <w:color w:val="000000"/>
                <w:sz w:val="24"/>
                <w:szCs w:val="24"/>
              </w:rPr>
            </w:pPr>
            <w:r>
              <w:rPr>
                <w:rFonts w:hint="eastAsia" w:ascii="宋体" w:hAnsi="宋体" w:cs="宋体"/>
                <w:bCs/>
                <w:iCs/>
                <w:color w:val="000000"/>
                <w:sz w:val="24"/>
                <w:szCs w:val="24"/>
              </w:rPr>
              <w:t>投资者关系活动主要内容介绍</w:t>
            </w:r>
          </w:p>
          <w:p w14:paraId="745B08B6">
            <w:pPr>
              <w:rPr>
                <w:rFonts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11F5FD8E">
            <w:pPr>
              <w:rPr>
                <w:rFonts w:ascii="宋体" w:hAnsi="宋体" w:cs="宋体"/>
                <w:bCs/>
                <w:iCs/>
                <w:color w:val="000000"/>
                <w:sz w:val="24"/>
                <w:szCs w:val="24"/>
              </w:rPr>
            </w:pPr>
            <w:r>
              <w:rPr>
                <w:rFonts w:hint="eastAsia" w:ascii="宋体" w:hAnsi="宋体" w:cs="宋体"/>
                <w:bCs/>
                <w:iCs/>
                <w:color w:val="000000"/>
                <w:sz w:val="24"/>
                <w:szCs w:val="24"/>
              </w:rPr>
              <w:t>（一）公司简介：</w:t>
            </w:r>
          </w:p>
          <w:p w14:paraId="2EAB6542">
            <w:pPr>
              <w:ind w:firstLine="480" w:firstLineChars="200"/>
              <w:rPr>
                <w:rFonts w:ascii="宋体" w:hAnsi="宋体" w:cs="宋体"/>
                <w:bCs/>
                <w:iCs/>
                <w:color w:val="000000"/>
                <w:sz w:val="24"/>
                <w:szCs w:val="24"/>
              </w:rPr>
            </w:pPr>
            <w:r>
              <w:rPr>
                <w:rFonts w:hint="eastAsia" w:ascii="宋体" w:hAnsi="宋体" w:cs="宋体"/>
                <w:bCs/>
                <w:iCs/>
                <w:color w:val="000000"/>
                <w:sz w:val="24"/>
                <w:szCs w:val="24"/>
              </w:rPr>
              <w:t>福元医药一脉相承新和成集团的“老师文化”，老老实实做人，踏踏实实做事，扎实做好技术和产品，实践着“创富、均衡、永续”的经营哲学。</w:t>
            </w:r>
            <w:r>
              <w:rPr>
                <w:rFonts w:ascii="宋体" w:hAnsi="宋体" w:cs="宋体"/>
                <w:bCs/>
                <w:iCs/>
                <w:color w:val="000000"/>
                <w:sz w:val="24"/>
                <w:szCs w:val="24"/>
              </w:rPr>
              <w:t>2025</w:t>
            </w:r>
            <w:r>
              <w:rPr>
                <w:rFonts w:hint="eastAsia" w:ascii="宋体" w:hAnsi="宋体" w:cs="宋体"/>
                <w:bCs/>
                <w:iCs/>
                <w:color w:val="000000"/>
                <w:sz w:val="24"/>
                <w:szCs w:val="24"/>
              </w:rPr>
              <w:t>年1</w:t>
            </w:r>
            <w:r>
              <w:rPr>
                <w:rFonts w:ascii="宋体" w:hAnsi="宋体" w:cs="宋体"/>
                <w:bCs/>
                <w:iCs/>
                <w:color w:val="000000"/>
                <w:sz w:val="24"/>
                <w:szCs w:val="24"/>
              </w:rPr>
              <w:t>-6</w:t>
            </w:r>
            <w:r>
              <w:rPr>
                <w:rFonts w:hint="eastAsia" w:ascii="宋体" w:hAnsi="宋体" w:cs="宋体"/>
                <w:bCs/>
                <w:iCs/>
                <w:color w:val="000000"/>
                <w:sz w:val="24"/>
                <w:szCs w:val="24"/>
              </w:rPr>
              <w:t>月，公司实现营业收入16.34亿元，归属于上市公司股东的净利润2.68亿元。</w:t>
            </w:r>
          </w:p>
          <w:p w14:paraId="4B0C25D3">
            <w:pPr>
              <w:ind w:firstLine="480" w:firstLineChars="200"/>
              <w:rPr>
                <w:rFonts w:ascii="宋体" w:hAnsi="宋体" w:cs="宋体"/>
                <w:bCs/>
                <w:iCs/>
                <w:color w:val="000000"/>
                <w:sz w:val="24"/>
                <w:szCs w:val="24"/>
              </w:rPr>
            </w:pPr>
            <w:r>
              <w:rPr>
                <w:rFonts w:hint="eastAsia" w:ascii="宋体" w:hAnsi="宋体" w:cs="宋体"/>
                <w:bCs/>
                <w:iCs/>
                <w:color w:val="000000"/>
                <w:sz w:val="24"/>
                <w:szCs w:val="24"/>
              </w:rPr>
              <w:t>公司重视研发，坚持“临床急需、仿创结合”的研发策略。仿制药方面，以药物市场需求为导向，坚持“首仿+快仿”的多品种战略，打造多样化的产品线，持续增强在已有优势的产品及治疗领域的投入,加强技术与产品的积累，形成仿制药的核心竞争力，做到高效、领先。上半年，在仿制药方面，有8个品种视同通过一致性评价，获得3项临床批件，阿昔莫司原料药DMF转A，完成1</w:t>
            </w:r>
            <w:r>
              <w:rPr>
                <w:rFonts w:ascii="宋体" w:hAnsi="宋体" w:cs="宋体"/>
                <w:bCs/>
                <w:iCs/>
                <w:color w:val="000000"/>
                <w:sz w:val="24"/>
                <w:szCs w:val="24"/>
              </w:rPr>
              <w:t>1</w:t>
            </w:r>
            <w:r>
              <w:rPr>
                <w:rFonts w:hint="eastAsia" w:ascii="宋体" w:hAnsi="宋体" w:cs="宋体"/>
                <w:bCs/>
                <w:iCs/>
                <w:color w:val="000000"/>
                <w:sz w:val="24"/>
                <w:szCs w:val="24"/>
              </w:rPr>
              <w:t>个仿制药申报。</w:t>
            </w:r>
          </w:p>
          <w:p w14:paraId="48558A22">
            <w:pPr>
              <w:ind w:firstLine="480" w:firstLineChars="200"/>
              <w:rPr>
                <w:rFonts w:ascii="宋体" w:hAnsi="宋体" w:cs="宋体"/>
                <w:bCs/>
                <w:iCs/>
                <w:color w:val="000000"/>
                <w:sz w:val="24"/>
                <w:szCs w:val="24"/>
              </w:rPr>
            </w:pPr>
            <w:r>
              <w:rPr>
                <w:rFonts w:hint="eastAsia" w:ascii="宋体" w:hAnsi="宋体" w:cs="宋体"/>
                <w:bCs/>
                <w:iCs/>
                <w:color w:val="000000"/>
                <w:sz w:val="24"/>
                <w:szCs w:val="24"/>
              </w:rPr>
              <w:t>创新药方面，重点进行小核酸药物及核酸类药物递送系统的研发，其中FY101注射液项目获得药物临床试验批准。公司立足于自主研发，同时联合北京大学、北京科技大学等知名院校持续开展合作研发，充分发挥产学研合作优势，加速推进小核酸药物及其递送系统等项目的研究与开发。</w:t>
            </w:r>
          </w:p>
          <w:p w14:paraId="5DD06C89">
            <w:pPr>
              <w:ind w:firstLine="480" w:firstLineChars="200"/>
              <w:rPr>
                <w:rFonts w:ascii="宋体" w:hAnsi="宋体" w:cs="宋体"/>
                <w:bCs/>
                <w:iCs/>
                <w:color w:val="000000"/>
                <w:sz w:val="24"/>
                <w:szCs w:val="24"/>
              </w:rPr>
            </w:pPr>
            <w:r>
              <w:rPr>
                <w:rFonts w:hint="eastAsia" w:ascii="宋体" w:hAnsi="宋体" w:cs="宋体"/>
                <w:bCs/>
                <w:iCs/>
                <w:color w:val="000000"/>
                <w:sz w:val="24"/>
                <w:szCs w:val="24"/>
              </w:rPr>
              <w:t>公司高度重视并持续强化营销三大体系建设：在组织体系层面，不断提升人才管理质量和营销效率；在产品体系层面，深化产品策略落地，增强产品市场竞争力；在客户体系层面，锚定高质量发展目标，强化与战略合作伙伴的深度合作，拓展与百强连锁的合作版图，推行客户分级管理模式并制定差异化合作策略。</w:t>
            </w:r>
          </w:p>
          <w:p w14:paraId="25E4D697">
            <w:pPr>
              <w:ind w:firstLine="480" w:firstLineChars="200"/>
              <w:rPr>
                <w:rFonts w:ascii="宋体" w:hAnsi="宋体" w:cs="宋体"/>
                <w:bCs/>
                <w:iCs/>
                <w:color w:val="000000"/>
                <w:sz w:val="24"/>
                <w:szCs w:val="24"/>
              </w:rPr>
            </w:pPr>
            <w:r>
              <w:rPr>
                <w:rFonts w:hint="eastAsia" w:ascii="宋体" w:hAnsi="宋体" w:cs="宋体"/>
                <w:bCs/>
                <w:iCs/>
                <w:color w:val="000000"/>
                <w:sz w:val="24"/>
                <w:szCs w:val="24"/>
              </w:rPr>
              <w:t>公司目前以北京通州、河北沧州、安徽宣城及浙江杭州4大生产基地,建立起原料药+制剂全产业链。另有漷县新生产基地建设,按计划目前进展顺利。</w:t>
            </w:r>
          </w:p>
          <w:p w14:paraId="7DDD65B8">
            <w:pPr>
              <w:rPr>
                <w:rFonts w:ascii="宋体" w:hAnsi="宋体" w:cs="宋体"/>
                <w:bCs/>
                <w:iCs/>
                <w:color w:val="000000"/>
                <w:sz w:val="24"/>
                <w:szCs w:val="24"/>
              </w:rPr>
            </w:pPr>
            <w:r>
              <w:rPr>
                <w:rFonts w:hint="eastAsia" w:ascii="宋体" w:hAnsi="宋体" w:cs="宋体"/>
                <w:bCs/>
                <w:iCs/>
                <w:color w:val="000000"/>
                <w:sz w:val="24"/>
                <w:szCs w:val="24"/>
              </w:rPr>
              <w:t>（二）公司创新药业务简介</w:t>
            </w:r>
          </w:p>
          <w:p w14:paraId="7F85D15E">
            <w:pPr>
              <w:ind w:firstLine="480" w:firstLineChars="200"/>
              <w:rPr>
                <w:rFonts w:ascii="宋体" w:hAnsi="宋体" w:cs="宋体"/>
                <w:bCs/>
                <w:iCs/>
                <w:color w:val="000000"/>
                <w:sz w:val="24"/>
                <w:szCs w:val="24"/>
              </w:rPr>
            </w:pPr>
            <w:r>
              <w:rPr>
                <w:rFonts w:hint="eastAsia" w:ascii="宋体" w:hAnsi="宋体" w:cs="宋体"/>
                <w:bCs/>
                <w:iCs/>
                <w:color w:val="000000"/>
                <w:sz w:val="24"/>
                <w:szCs w:val="24"/>
              </w:rPr>
              <w:t>公司创新药的研发立项思路主要是以市场价值为导向，聚焦尚未满足的临床需求，进行差异化立项，并切合公司管线及成熟的销售优势。公司的N-ER平台是以福元医药自主研发为技术基础的创新核酸药物发现及递送系统的研发平台。公司已搭建创新核酸药物设计、合成、修饰、生物学评价、药学研究一体化研发平台。</w:t>
            </w:r>
          </w:p>
          <w:p w14:paraId="501C8DE6">
            <w:pPr>
              <w:ind w:firstLine="480" w:firstLineChars="200"/>
              <w:rPr>
                <w:rFonts w:ascii="宋体" w:hAnsi="宋体" w:cs="宋体"/>
                <w:bCs/>
                <w:iCs/>
                <w:color w:val="000000"/>
                <w:sz w:val="24"/>
                <w:szCs w:val="24"/>
              </w:rPr>
            </w:pPr>
            <w:r>
              <w:rPr>
                <w:rFonts w:hint="eastAsia" w:ascii="宋体" w:hAnsi="宋体" w:cs="宋体"/>
                <w:bCs/>
                <w:iCs/>
                <w:color w:val="000000"/>
                <w:sz w:val="24"/>
                <w:szCs w:val="24"/>
              </w:rPr>
              <w:t>目前,公司基于创新核酸药物技术平台开展了多个靶点的研究与开发，肝靶向与肝外靶向均有布局，未来进展大家可以关注公司公告。</w:t>
            </w:r>
          </w:p>
          <w:p w14:paraId="1ED0C7C5">
            <w:pPr>
              <w:rPr>
                <w:rFonts w:ascii="宋体" w:hAnsi="宋体" w:cs="宋体"/>
                <w:bCs/>
                <w:iCs/>
                <w:color w:val="000000"/>
                <w:sz w:val="24"/>
                <w:szCs w:val="24"/>
              </w:rPr>
            </w:pPr>
            <w:r>
              <w:rPr>
                <w:rFonts w:hint="eastAsia" w:ascii="宋体" w:hAnsi="宋体" w:cs="宋体"/>
                <w:bCs/>
                <w:iCs/>
                <w:color w:val="000000"/>
                <w:sz w:val="24"/>
                <w:szCs w:val="24"/>
              </w:rPr>
              <w:t>（三）Q</w:t>
            </w:r>
            <w:r>
              <w:rPr>
                <w:rFonts w:ascii="宋体" w:hAnsi="宋体" w:cs="宋体"/>
                <w:bCs/>
                <w:iCs/>
                <w:color w:val="000000"/>
                <w:sz w:val="24"/>
                <w:szCs w:val="24"/>
              </w:rPr>
              <w:t>&amp;</w:t>
            </w:r>
            <w:r>
              <w:rPr>
                <w:rFonts w:hint="eastAsia" w:ascii="宋体" w:hAnsi="宋体" w:cs="宋体"/>
                <w:bCs/>
                <w:iCs/>
                <w:color w:val="000000"/>
                <w:sz w:val="24"/>
                <w:szCs w:val="24"/>
              </w:rPr>
              <w:t>A环节</w:t>
            </w:r>
          </w:p>
          <w:p w14:paraId="3261A7CB">
            <w:pPr>
              <w:rPr>
                <w:rFonts w:ascii="宋体" w:hAnsi="宋体" w:cs="宋体"/>
                <w:bCs/>
                <w:iCs/>
                <w:color w:val="000000"/>
                <w:sz w:val="24"/>
                <w:szCs w:val="24"/>
              </w:rPr>
            </w:pPr>
            <w:r>
              <w:rPr>
                <w:rFonts w:hint="eastAsia" w:ascii="宋体" w:hAnsi="宋体" w:cs="宋体"/>
                <w:bCs/>
                <w:iCs/>
                <w:color w:val="000000"/>
                <w:sz w:val="24"/>
                <w:szCs w:val="24"/>
              </w:rPr>
              <w:t>1、FY101的临床前实验的效果如何？I期临床进展？预计数据读出时间？是否对2期临床有初步的规划？</w:t>
            </w:r>
          </w:p>
          <w:p w14:paraId="2CD68054">
            <w:pPr>
              <w:rPr>
                <w:rFonts w:ascii="宋体" w:hAnsi="宋体" w:cs="宋体"/>
                <w:bCs/>
                <w:iCs/>
                <w:color w:val="000000"/>
                <w:sz w:val="24"/>
                <w:szCs w:val="24"/>
              </w:rPr>
            </w:pPr>
            <w:r>
              <w:rPr>
                <w:rFonts w:hint="eastAsia" w:ascii="宋体" w:hAnsi="宋体" w:cs="宋体"/>
                <w:bCs/>
                <w:iCs/>
                <w:color w:val="000000"/>
                <w:sz w:val="24"/>
                <w:szCs w:val="24"/>
              </w:rPr>
              <w:t>回答：FY</w:t>
            </w:r>
            <w:r>
              <w:rPr>
                <w:rFonts w:ascii="宋体" w:hAnsi="宋体" w:cs="宋体"/>
                <w:bCs/>
                <w:iCs/>
                <w:color w:val="000000"/>
                <w:sz w:val="24"/>
                <w:szCs w:val="24"/>
              </w:rPr>
              <w:t>101</w:t>
            </w:r>
            <w:r>
              <w:rPr>
                <w:rFonts w:hint="eastAsia" w:ascii="宋体" w:hAnsi="宋体" w:cs="宋体"/>
                <w:bCs/>
                <w:iCs/>
                <w:color w:val="000000"/>
                <w:sz w:val="24"/>
                <w:szCs w:val="24"/>
              </w:rPr>
              <w:t>的临床前动物实验数据达到公司预期，I期临床正在按计划推进，顺利完成后会按计划启动Ⅱ期临床。</w:t>
            </w:r>
          </w:p>
          <w:p w14:paraId="20FB29FC">
            <w:pPr>
              <w:rPr>
                <w:rFonts w:ascii="宋体" w:hAnsi="宋体" w:cs="宋体"/>
                <w:bCs/>
                <w:iCs/>
                <w:color w:val="000000"/>
                <w:sz w:val="24"/>
                <w:szCs w:val="24"/>
              </w:rPr>
            </w:pPr>
          </w:p>
          <w:p w14:paraId="1C49A42B">
            <w:pPr>
              <w:rPr>
                <w:rFonts w:ascii="宋体" w:hAnsi="宋体" w:cs="宋体"/>
                <w:bCs/>
                <w:iCs/>
                <w:color w:val="000000"/>
                <w:sz w:val="24"/>
                <w:szCs w:val="24"/>
              </w:rPr>
            </w:pPr>
            <w:r>
              <w:rPr>
                <w:rFonts w:hint="eastAsia" w:ascii="宋体" w:hAnsi="宋体" w:cs="宋体"/>
                <w:bCs/>
                <w:iCs/>
                <w:color w:val="000000"/>
                <w:sz w:val="24"/>
                <w:szCs w:val="24"/>
              </w:rPr>
              <w:t>2、公司核酸类药物主要聚焦哪些差异化的靶点和适应症？靶点和适应症选择的依据？</w:t>
            </w:r>
          </w:p>
          <w:p w14:paraId="28DF862C">
            <w:pPr>
              <w:rPr>
                <w:rFonts w:ascii="宋体" w:hAnsi="宋体" w:cs="宋体"/>
                <w:bCs/>
                <w:iCs/>
                <w:color w:val="000000"/>
                <w:sz w:val="24"/>
                <w:szCs w:val="24"/>
              </w:rPr>
            </w:pPr>
            <w:r>
              <w:rPr>
                <w:rFonts w:hint="eastAsia" w:ascii="宋体" w:hAnsi="宋体" w:cs="宋体"/>
                <w:bCs/>
                <w:iCs/>
                <w:color w:val="000000"/>
                <w:sz w:val="24"/>
                <w:szCs w:val="24"/>
              </w:rPr>
              <w:t>回答：公司</w:t>
            </w:r>
            <w:bookmarkStart w:id="0" w:name="OLE_LINK3"/>
            <w:r>
              <w:rPr>
                <w:rFonts w:hint="eastAsia" w:ascii="宋体" w:hAnsi="宋体" w:cs="宋体"/>
                <w:bCs/>
                <w:iCs/>
                <w:color w:val="000000"/>
                <w:sz w:val="24"/>
                <w:szCs w:val="24"/>
              </w:rPr>
              <w:t>核酸类药物主要聚焦心血管及代谢类疾病等慢病管理方向，</w:t>
            </w:r>
            <w:bookmarkEnd w:id="0"/>
            <w:r>
              <w:rPr>
                <w:rFonts w:hint="eastAsia" w:ascii="宋体" w:hAnsi="宋体" w:cs="宋体"/>
                <w:bCs/>
                <w:iCs/>
                <w:color w:val="000000"/>
                <w:sz w:val="24"/>
                <w:szCs w:val="24"/>
              </w:rPr>
              <w:t>系统性布局相关适应症靶点，完善产品组合。</w:t>
            </w:r>
          </w:p>
          <w:p w14:paraId="25D2E34E">
            <w:pPr>
              <w:rPr>
                <w:rFonts w:ascii="宋体" w:hAnsi="宋体" w:cs="宋体"/>
                <w:bCs/>
                <w:iCs/>
                <w:color w:val="000000"/>
                <w:sz w:val="24"/>
                <w:szCs w:val="24"/>
              </w:rPr>
            </w:pPr>
          </w:p>
          <w:p w14:paraId="53B094C8">
            <w:pPr>
              <w:rPr>
                <w:rFonts w:ascii="宋体" w:hAnsi="宋体" w:cs="宋体"/>
                <w:bCs/>
                <w:iCs/>
                <w:color w:val="000000"/>
                <w:sz w:val="24"/>
                <w:szCs w:val="24"/>
              </w:rPr>
            </w:pPr>
            <w:r>
              <w:rPr>
                <w:rFonts w:hint="eastAsia" w:ascii="宋体" w:hAnsi="宋体" w:cs="宋体"/>
                <w:bCs/>
                <w:iCs/>
                <w:color w:val="000000"/>
                <w:sz w:val="24"/>
                <w:szCs w:val="24"/>
              </w:rPr>
              <w:t>3、肝外靶向目前的研发进展？有哪些可以上IND？</w:t>
            </w:r>
          </w:p>
          <w:p w14:paraId="6B74DA5A">
            <w:pPr>
              <w:rPr>
                <w:rFonts w:ascii="宋体" w:hAnsi="宋体" w:cs="宋体"/>
                <w:bCs/>
                <w:iCs/>
                <w:color w:val="000000"/>
                <w:sz w:val="24"/>
                <w:szCs w:val="24"/>
              </w:rPr>
            </w:pPr>
            <w:r>
              <w:rPr>
                <w:rFonts w:hint="eastAsia" w:ascii="宋体" w:hAnsi="宋体" w:cs="宋体"/>
                <w:bCs/>
                <w:iCs/>
                <w:color w:val="000000"/>
                <w:sz w:val="24"/>
                <w:szCs w:val="24"/>
              </w:rPr>
              <w:t>回答：公司在积极探索肝外领域，有阶段性成果后会与大家分享，可以关注公司后续公告。</w:t>
            </w:r>
          </w:p>
          <w:p w14:paraId="276F72C6">
            <w:pPr>
              <w:rPr>
                <w:rFonts w:ascii="宋体" w:hAnsi="宋体" w:cs="宋体"/>
                <w:bCs/>
                <w:iCs/>
                <w:color w:val="000000"/>
                <w:sz w:val="24"/>
                <w:szCs w:val="24"/>
              </w:rPr>
            </w:pPr>
          </w:p>
          <w:p w14:paraId="1497EF28">
            <w:pPr>
              <w:rPr>
                <w:rFonts w:ascii="宋体" w:hAnsi="宋体" w:cs="宋体"/>
                <w:bCs/>
                <w:iCs/>
                <w:color w:val="000000"/>
                <w:sz w:val="24"/>
                <w:szCs w:val="24"/>
              </w:rPr>
            </w:pPr>
            <w:r>
              <w:rPr>
                <w:rFonts w:hint="eastAsia" w:ascii="宋体" w:hAnsi="宋体" w:cs="宋体"/>
                <w:bCs/>
                <w:iCs/>
                <w:color w:val="000000"/>
                <w:sz w:val="24"/>
                <w:szCs w:val="24"/>
              </w:rPr>
              <w:t>4、公司核酸类专利是否全球同步申报？ BD合作是否有进展？未来在BD方面的考虑？</w:t>
            </w:r>
          </w:p>
          <w:p w14:paraId="5C7B852D">
            <w:pPr>
              <w:rPr>
                <w:rFonts w:ascii="宋体" w:hAnsi="宋体" w:cs="宋体"/>
                <w:bCs/>
                <w:iCs/>
                <w:color w:val="000000"/>
                <w:sz w:val="24"/>
                <w:szCs w:val="24"/>
              </w:rPr>
            </w:pPr>
            <w:r>
              <w:rPr>
                <w:rFonts w:hint="eastAsia" w:ascii="宋体" w:hAnsi="宋体" w:cs="宋体"/>
                <w:bCs/>
                <w:iCs/>
                <w:color w:val="000000"/>
                <w:sz w:val="24"/>
                <w:szCs w:val="24"/>
              </w:rPr>
              <w:t>回答：公司拥有专门的知识产权团队，根据公司创新药项目进展和技术创新点，进行科学严密的专利布局，并完成较大数量的专利申请，以实现对公司技术创新的全方位保护。BD方面，公司在持续关注行业相关动态，对于合作我们持开放态度。</w:t>
            </w:r>
          </w:p>
          <w:p w14:paraId="522FE9EA">
            <w:pPr>
              <w:rPr>
                <w:rFonts w:ascii="宋体" w:hAnsi="宋体" w:cs="宋体"/>
                <w:bCs/>
                <w:iCs/>
                <w:color w:val="000000"/>
                <w:sz w:val="24"/>
                <w:szCs w:val="24"/>
              </w:rPr>
            </w:pPr>
          </w:p>
          <w:p w14:paraId="17360875">
            <w:pPr>
              <w:rPr>
                <w:rFonts w:ascii="宋体" w:hAnsi="宋体" w:cs="宋体"/>
                <w:bCs/>
                <w:iCs/>
                <w:color w:val="000000"/>
                <w:sz w:val="24"/>
                <w:szCs w:val="24"/>
              </w:rPr>
            </w:pPr>
            <w:r>
              <w:rPr>
                <w:rFonts w:hint="eastAsia" w:ascii="宋体" w:hAnsi="宋体" w:cs="宋体"/>
                <w:bCs/>
                <w:iCs/>
                <w:color w:val="000000"/>
                <w:sz w:val="24"/>
                <w:szCs w:val="24"/>
              </w:rPr>
              <w:t>5、主业受集采影响预计什么时间稳定？全年业绩如何展望？</w:t>
            </w:r>
          </w:p>
          <w:p w14:paraId="07A021B9">
            <w:pPr>
              <w:rPr>
                <w:rFonts w:ascii="宋体" w:hAnsi="宋体" w:cs="宋体"/>
                <w:bCs/>
                <w:iCs/>
                <w:color w:val="000000"/>
                <w:sz w:val="24"/>
                <w:szCs w:val="24"/>
              </w:rPr>
            </w:pPr>
            <w:r>
              <w:rPr>
                <w:rFonts w:hint="eastAsia" w:ascii="宋体" w:hAnsi="宋体" w:cs="宋体"/>
                <w:bCs/>
                <w:iCs/>
                <w:color w:val="000000"/>
                <w:sz w:val="24"/>
                <w:szCs w:val="24"/>
              </w:rPr>
              <w:t>回答：</w:t>
            </w:r>
            <w:bookmarkStart w:id="1" w:name="OLE_LINK1"/>
            <w:r>
              <w:rPr>
                <w:rFonts w:hint="eastAsia" w:ascii="宋体" w:hAnsi="宋体" w:cs="宋体"/>
                <w:bCs/>
                <w:iCs/>
                <w:color w:val="000000"/>
                <w:sz w:val="24"/>
                <w:szCs w:val="24"/>
              </w:rPr>
              <w:t>第十批集采复方α酮酸未中标对公司上半年业绩产生了一定的影响，但不会对公司生产经营产生重大影响。公司积极响应第十一批集采，后续进展可以关注公司相关公告。</w:t>
            </w:r>
            <w:bookmarkStart w:id="2" w:name="OLE_LINK2"/>
            <w:r>
              <w:rPr>
                <w:rFonts w:hint="eastAsia" w:ascii="宋体" w:hAnsi="宋体" w:cs="宋体"/>
                <w:bCs/>
                <w:iCs/>
                <w:color w:val="000000"/>
                <w:sz w:val="24"/>
                <w:szCs w:val="24"/>
              </w:rPr>
              <w:t>2025年度公司生产经营目标为全年实现营业收入38.53亿元，实现利润总额4.80亿元。本预算为公司202</w:t>
            </w:r>
            <w:r>
              <w:rPr>
                <w:rFonts w:ascii="宋体" w:hAnsi="宋体" w:cs="宋体"/>
                <w:bCs/>
                <w:iCs/>
                <w:color w:val="000000"/>
                <w:sz w:val="24"/>
                <w:szCs w:val="24"/>
              </w:rPr>
              <w:t>5</w:t>
            </w:r>
            <w:r>
              <w:rPr>
                <w:rFonts w:hint="eastAsia" w:ascii="宋体" w:hAnsi="宋体" w:cs="宋体"/>
                <w:bCs/>
                <w:iCs/>
                <w:color w:val="000000"/>
                <w:sz w:val="24"/>
                <w:szCs w:val="24"/>
              </w:rPr>
              <w:t>年度经营计划的内部管理控制考核指标,不代表公司202</w:t>
            </w:r>
            <w:r>
              <w:rPr>
                <w:rFonts w:ascii="宋体" w:hAnsi="宋体" w:cs="宋体"/>
                <w:bCs/>
                <w:iCs/>
                <w:color w:val="000000"/>
                <w:sz w:val="24"/>
                <w:szCs w:val="24"/>
              </w:rPr>
              <w:t>5</w:t>
            </w:r>
            <w:r>
              <w:rPr>
                <w:rFonts w:hint="eastAsia" w:ascii="宋体" w:hAnsi="宋体" w:cs="宋体"/>
                <w:bCs/>
                <w:iCs/>
                <w:color w:val="000000"/>
                <w:sz w:val="24"/>
                <w:szCs w:val="24"/>
              </w:rPr>
              <w:t>年盈利预测,仅为公司生产经营计划,能否实现取决于宏观经济环境、行业发展状况、市场需求、公司管理团队的努力等诸多因素,具有不确定性。</w:t>
            </w:r>
            <w:bookmarkEnd w:id="2"/>
          </w:p>
          <w:bookmarkEnd w:id="1"/>
          <w:p w14:paraId="4A3895AB">
            <w:pPr>
              <w:rPr>
                <w:rFonts w:ascii="宋体" w:hAnsi="宋体" w:cs="宋体"/>
                <w:bCs/>
                <w:iCs/>
                <w:color w:val="000000"/>
                <w:sz w:val="24"/>
                <w:szCs w:val="24"/>
              </w:rPr>
            </w:pPr>
          </w:p>
          <w:p w14:paraId="4F865613">
            <w:pPr>
              <w:rPr>
                <w:rFonts w:ascii="宋体" w:hAnsi="宋体" w:cs="宋体"/>
                <w:bCs/>
                <w:iCs/>
                <w:color w:val="000000"/>
                <w:sz w:val="24"/>
                <w:szCs w:val="24"/>
              </w:rPr>
            </w:pPr>
            <w:r>
              <w:rPr>
                <w:rFonts w:hint="eastAsia" w:ascii="宋体" w:hAnsi="宋体" w:cs="宋体"/>
                <w:bCs/>
                <w:iCs/>
                <w:color w:val="000000"/>
                <w:sz w:val="24"/>
                <w:szCs w:val="24"/>
              </w:rPr>
              <w:t>6、对现有业务和创新药的定位？创新药未来几年拟投入力度？</w:t>
            </w:r>
          </w:p>
          <w:p w14:paraId="0F2EB8F2">
            <w:pPr>
              <w:rPr>
                <w:rFonts w:ascii="宋体" w:hAnsi="宋体" w:cs="宋体"/>
                <w:bCs/>
                <w:iCs/>
                <w:color w:val="000000"/>
                <w:sz w:val="24"/>
                <w:szCs w:val="24"/>
              </w:rPr>
            </w:pPr>
            <w:r>
              <w:rPr>
                <w:rFonts w:hint="eastAsia" w:ascii="宋体" w:hAnsi="宋体" w:cs="宋体"/>
                <w:bCs/>
                <w:iCs/>
                <w:color w:val="000000"/>
                <w:sz w:val="24"/>
                <w:szCs w:val="24"/>
              </w:rPr>
              <w:t>回答：公司研发体系坚持“临床急需、仿创结合”的策略，巩固仿制药研发优势，持续推进多品种研发战略，加快创新药研究布局。未来的研发投入将根据公司经营和研发项目进展情况，持续做好资金规划，确保项目稳步推进。</w:t>
            </w:r>
          </w:p>
          <w:p w14:paraId="4B658331">
            <w:pPr>
              <w:rPr>
                <w:rFonts w:ascii="宋体" w:hAnsi="宋体" w:cs="宋体"/>
                <w:bCs/>
                <w:iCs/>
                <w:color w:val="000000"/>
                <w:sz w:val="24"/>
                <w:szCs w:val="24"/>
              </w:rPr>
            </w:pPr>
          </w:p>
          <w:p w14:paraId="1B4FD20E">
            <w:pPr>
              <w:rPr>
                <w:rFonts w:ascii="宋体" w:hAnsi="宋体" w:cs="宋体"/>
                <w:bCs/>
                <w:iCs/>
                <w:color w:val="000000"/>
                <w:sz w:val="24"/>
                <w:szCs w:val="24"/>
              </w:rPr>
            </w:pPr>
            <w:r>
              <w:rPr>
                <w:rFonts w:hint="eastAsia" w:ascii="宋体" w:hAnsi="宋体" w:cs="宋体"/>
                <w:bCs/>
                <w:iCs/>
                <w:color w:val="000000"/>
                <w:sz w:val="24"/>
                <w:szCs w:val="24"/>
              </w:rPr>
              <w:t>7、未来是否考虑股权激励计划，是否覆盖核心研发人员？考核维度？</w:t>
            </w:r>
          </w:p>
          <w:p w14:paraId="28EEB9D3">
            <w:pPr>
              <w:rPr>
                <w:rFonts w:ascii="宋体" w:hAnsi="宋体" w:cs="宋体"/>
                <w:bCs/>
                <w:iCs/>
                <w:color w:val="000000"/>
                <w:sz w:val="24"/>
                <w:szCs w:val="24"/>
              </w:rPr>
            </w:pPr>
            <w:r>
              <w:rPr>
                <w:rFonts w:hint="eastAsia" w:ascii="宋体" w:hAnsi="宋体" w:cs="宋体"/>
                <w:bCs/>
                <w:iCs/>
                <w:color w:val="000000"/>
                <w:sz w:val="24"/>
                <w:szCs w:val="24"/>
              </w:rPr>
              <w:t>回答：公司去年实施股份回购，于2025年2月4日完成，累计回购股份12,000,000股，占公司总股本的比例约为2.50%。公司将结合发展战略和人才规划，适时推进股权激励计划，请届时关注公司公告。</w:t>
            </w:r>
          </w:p>
          <w:p w14:paraId="7AD7050B">
            <w:pPr>
              <w:rPr>
                <w:rFonts w:ascii="宋体" w:hAnsi="宋体" w:cs="宋体"/>
                <w:bCs/>
                <w:iCs/>
                <w:color w:val="000000"/>
                <w:sz w:val="24"/>
                <w:szCs w:val="24"/>
              </w:rPr>
            </w:pPr>
          </w:p>
          <w:p w14:paraId="6A4DAE80">
            <w:pPr>
              <w:rPr>
                <w:rFonts w:ascii="宋体" w:hAnsi="宋体" w:cs="宋体"/>
                <w:bCs/>
                <w:iCs/>
                <w:color w:val="000000"/>
                <w:sz w:val="24"/>
                <w:szCs w:val="24"/>
              </w:rPr>
            </w:pPr>
            <w:r>
              <w:rPr>
                <w:rFonts w:hint="eastAsia" w:ascii="宋体" w:hAnsi="宋体" w:cs="宋体"/>
                <w:bCs/>
                <w:iCs/>
                <w:color w:val="000000"/>
                <w:sz w:val="24"/>
                <w:szCs w:val="24"/>
              </w:rPr>
              <w:t>公司与参会投资人进行了充分的交流与沟通，并严格按照公司《信息披露管理制度》等规定，保证信息披露的真实、准确、完整、及时、公平。</w:t>
            </w:r>
          </w:p>
        </w:tc>
      </w:tr>
      <w:tr w14:paraId="2153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69B0A95C">
            <w:pPr>
              <w:rPr>
                <w:rFonts w:ascii="宋体" w:hAnsi="宋体" w:cs="宋体"/>
                <w:bCs/>
                <w:iCs/>
                <w:color w:val="000000"/>
                <w:sz w:val="24"/>
                <w:szCs w:val="24"/>
              </w:rPr>
            </w:pPr>
            <w:r>
              <w:rPr>
                <w:rFonts w:hint="eastAsia" w:ascii="宋体" w:hAnsi="宋体" w:cs="宋体"/>
                <w:bCs/>
                <w:iCs/>
                <w:color w:val="000000"/>
                <w:sz w:val="24"/>
                <w:szCs w:val="24"/>
              </w:rPr>
              <w:t>附件清单（如有）</w:t>
            </w:r>
          </w:p>
        </w:tc>
        <w:tc>
          <w:tcPr>
            <w:tcW w:w="6782" w:type="dxa"/>
            <w:tcBorders>
              <w:top w:val="single" w:color="auto" w:sz="4" w:space="0"/>
              <w:left w:val="single" w:color="auto" w:sz="4" w:space="0"/>
              <w:bottom w:val="single" w:color="auto" w:sz="4" w:space="0"/>
              <w:right w:val="single" w:color="auto" w:sz="4" w:space="0"/>
            </w:tcBorders>
            <w:vAlign w:val="center"/>
          </w:tcPr>
          <w:p w14:paraId="6D4C4080">
            <w:pPr>
              <w:rPr>
                <w:rFonts w:ascii="宋体" w:hAnsi="宋体" w:cs="宋体"/>
                <w:bCs/>
                <w:iCs/>
                <w:color w:val="000000"/>
                <w:sz w:val="24"/>
                <w:szCs w:val="24"/>
              </w:rPr>
            </w:pPr>
          </w:p>
        </w:tc>
      </w:tr>
      <w:tr w14:paraId="36CF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84C46D5">
            <w:pPr>
              <w:rPr>
                <w:rFonts w:ascii="宋体" w:hAnsi="宋体" w:cs="宋体"/>
                <w:bCs/>
                <w:iCs/>
                <w:color w:val="000000"/>
                <w:sz w:val="24"/>
                <w:szCs w:val="24"/>
              </w:rPr>
            </w:pPr>
            <w:r>
              <w:rPr>
                <w:rFonts w:hint="eastAsia" w:ascii="宋体" w:hAnsi="宋体" w:cs="宋体"/>
                <w:bCs/>
                <w:iCs/>
                <w:color w:val="000000"/>
                <w:sz w:val="24"/>
                <w:szCs w:val="24"/>
              </w:rPr>
              <w:t>日期</w:t>
            </w:r>
          </w:p>
        </w:tc>
        <w:tc>
          <w:tcPr>
            <w:tcW w:w="6782" w:type="dxa"/>
            <w:tcBorders>
              <w:top w:val="single" w:color="auto" w:sz="4" w:space="0"/>
              <w:left w:val="single" w:color="auto" w:sz="4" w:space="0"/>
              <w:bottom w:val="single" w:color="auto" w:sz="4" w:space="0"/>
              <w:right w:val="single" w:color="auto" w:sz="4" w:space="0"/>
            </w:tcBorders>
            <w:vAlign w:val="center"/>
          </w:tcPr>
          <w:p w14:paraId="414608E2">
            <w:pPr>
              <w:rPr>
                <w:rFonts w:ascii="宋体" w:hAnsi="宋体" w:cs="宋体"/>
                <w:bCs/>
                <w:iCs/>
                <w:color w:val="000000"/>
                <w:sz w:val="24"/>
                <w:szCs w:val="24"/>
              </w:rPr>
            </w:pPr>
            <w:r>
              <w:rPr>
                <w:rFonts w:hint="eastAsia" w:ascii="宋体" w:hAnsi="宋体" w:cs="宋体"/>
                <w:bCs/>
                <w:iCs/>
                <w:color w:val="000000"/>
                <w:sz w:val="24"/>
                <w:szCs w:val="24"/>
              </w:rPr>
              <w:t>202</w:t>
            </w:r>
            <w:r>
              <w:rPr>
                <w:rFonts w:ascii="宋体" w:hAnsi="宋体" w:cs="宋体"/>
                <w:bCs/>
                <w:iCs/>
                <w:color w:val="000000"/>
                <w:sz w:val="24"/>
                <w:szCs w:val="24"/>
              </w:rPr>
              <w:t>5</w:t>
            </w:r>
            <w:r>
              <w:rPr>
                <w:rFonts w:hint="eastAsia" w:ascii="宋体" w:hAnsi="宋体" w:cs="宋体"/>
                <w:bCs/>
                <w:iCs/>
                <w:color w:val="000000"/>
                <w:sz w:val="24"/>
                <w:szCs w:val="24"/>
              </w:rPr>
              <w:t>年8月2</w:t>
            </w:r>
            <w:r>
              <w:rPr>
                <w:rFonts w:ascii="宋体" w:hAnsi="宋体" w:cs="宋体"/>
                <w:bCs/>
                <w:iCs/>
                <w:color w:val="000000"/>
                <w:sz w:val="24"/>
                <w:szCs w:val="24"/>
              </w:rPr>
              <w:t>8</w:t>
            </w:r>
            <w:r>
              <w:rPr>
                <w:rFonts w:hint="eastAsia" w:ascii="宋体" w:hAnsi="宋体" w:cs="宋体"/>
                <w:bCs/>
                <w:iCs/>
                <w:color w:val="000000"/>
                <w:sz w:val="24"/>
                <w:szCs w:val="24"/>
              </w:rPr>
              <w:t>日</w:t>
            </w:r>
          </w:p>
        </w:tc>
      </w:tr>
    </w:tbl>
    <w:p w14:paraId="5723679E">
      <w:pPr>
        <w:rPr>
          <w:rFonts w:ascii="宋体" w:hAnsi="宋体" w:cs="宋体"/>
          <w:sz w:val="28"/>
          <w:szCs w:val="28"/>
        </w:rPr>
      </w:pPr>
    </w:p>
    <w:p w14:paraId="73B1688B">
      <w:pPr>
        <w:rPr>
          <w:rFonts w:ascii="宋体" w:hAns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1NjM2ZmQ3M2EyYTUxNDQ5MjNjODJhNjYwNmNjNTMifQ=="/>
  </w:docVars>
  <w:rsids>
    <w:rsidRoot w:val="05442F5E"/>
    <w:rsid w:val="00002847"/>
    <w:rsid w:val="00004ABE"/>
    <w:rsid w:val="00016E42"/>
    <w:rsid w:val="000173DD"/>
    <w:rsid w:val="0002038B"/>
    <w:rsid w:val="00024F3D"/>
    <w:rsid w:val="00026E9B"/>
    <w:rsid w:val="0003103E"/>
    <w:rsid w:val="000338C7"/>
    <w:rsid w:val="00040511"/>
    <w:rsid w:val="00044FFE"/>
    <w:rsid w:val="00046268"/>
    <w:rsid w:val="000566E1"/>
    <w:rsid w:val="000633BA"/>
    <w:rsid w:val="00065FD3"/>
    <w:rsid w:val="0007353E"/>
    <w:rsid w:val="00077220"/>
    <w:rsid w:val="000805C4"/>
    <w:rsid w:val="00094542"/>
    <w:rsid w:val="00094C80"/>
    <w:rsid w:val="000A2DEE"/>
    <w:rsid w:val="000A4710"/>
    <w:rsid w:val="000A69A7"/>
    <w:rsid w:val="000A7FDD"/>
    <w:rsid w:val="000B10FC"/>
    <w:rsid w:val="000B1ED7"/>
    <w:rsid w:val="000B77DC"/>
    <w:rsid w:val="000C0D53"/>
    <w:rsid w:val="000C434B"/>
    <w:rsid w:val="000D32F6"/>
    <w:rsid w:val="000D45CE"/>
    <w:rsid w:val="000D5DC1"/>
    <w:rsid w:val="000D72E3"/>
    <w:rsid w:val="000E06D1"/>
    <w:rsid w:val="000E68F6"/>
    <w:rsid w:val="000F4710"/>
    <w:rsid w:val="000F5EE2"/>
    <w:rsid w:val="00110A81"/>
    <w:rsid w:val="00115CF8"/>
    <w:rsid w:val="00124BA3"/>
    <w:rsid w:val="0012508C"/>
    <w:rsid w:val="0012733C"/>
    <w:rsid w:val="001344FE"/>
    <w:rsid w:val="00134FD6"/>
    <w:rsid w:val="001376D1"/>
    <w:rsid w:val="0014311B"/>
    <w:rsid w:val="00143F14"/>
    <w:rsid w:val="00146FD5"/>
    <w:rsid w:val="00151CD4"/>
    <w:rsid w:val="00151D74"/>
    <w:rsid w:val="00154931"/>
    <w:rsid w:val="00162069"/>
    <w:rsid w:val="00162415"/>
    <w:rsid w:val="00165B32"/>
    <w:rsid w:val="0017173B"/>
    <w:rsid w:val="00171789"/>
    <w:rsid w:val="001720C0"/>
    <w:rsid w:val="001737E9"/>
    <w:rsid w:val="0018173C"/>
    <w:rsid w:val="00181C4C"/>
    <w:rsid w:val="00183536"/>
    <w:rsid w:val="00191EE7"/>
    <w:rsid w:val="0019584E"/>
    <w:rsid w:val="001A0DEC"/>
    <w:rsid w:val="001A421A"/>
    <w:rsid w:val="001A7362"/>
    <w:rsid w:val="001B0E82"/>
    <w:rsid w:val="001B0FC6"/>
    <w:rsid w:val="001B5CAB"/>
    <w:rsid w:val="001C3535"/>
    <w:rsid w:val="001D4084"/>
    <w:rsid w:val="001D6BF7"/>
    <w:rsid w:val="001E0D09"/>
    <w:rsid w:val="001E1C9B"/>
    <w:rsid w:val="001E2998"/>
    <w:rsid w:val="001E32C1"/>
    <w:rsid w:val="001F1C45"/>
    <w:rsid w:val="001F64E8"/>
    <w:rsid w:val="00214BDC"/>
    <w:rsid w:val="00215348"/>
    <w:rsid w:val="002162AA"/>
    <w:rsid w:val="002219FC"/>
    <w:rsid w:val="00223C46"/>
    <w:rsid w:val="0022433B"/>
    <w:rsid w:val="00231345"/>
    <w:rsid w:val="00237CC5"/>
    <w:rsid w:val="00240557"/>
    <w:rsid w:val="00254EA5"/>
    <w:rsid w:val="00270576"/>
    <w:rsid w:val="0027764A"/>
    <w:rsid w:val="0027793F"/>
    <w:rsid w:val="00290AB9"/>
    <w:rsid w:val="00291FE6"/>
    <w:rsid w:val="002A5D89"/>
    <w:rsid w:val="002B43A7"/>
    <w:rsid w:val="002C3DC0"/>
    <w:rsid w:val="002D3275"/>
    <w:rsid w:val="002E06F0"/>
    <w:rsid w:val="002E119C"/>
    <w:rsid w:val="002E6F86"/>
    <w:rsid w:val="00300CE2"/>
    <w:rsid w:val="003130C1"/>
    <w:rsid w:val="0031342C"/>
    <w:rsid w:val="003210F3"/>
    <w:rsid w:val="00327FB9"/>
    <w:rsid w:val="00342FA6"/>
    <w:rsid w:val="00345598"/>
    <w:rsid w:val="00350153"/>
    <w:rsid w:val="0035615B"/>
    <w:rsid w:val="00356486"/>
    <w:rsid w:val="0037686F"/>
    <w:rsid w:val="00377CBD"/>
    <w:rsid w:val="003905C9"/>
    <w:rsid w:val="00397088"/>
    <w:rsid w:val="003A1669"/>
    <w:rsid w:val="003A5666"/>
    <w:rsid w:val="003A5B02"/>
    <w:rsid w:val="003A61BA"/>
    <w:rsid w:val="003B0F4A"/>
    <w:rsid w:val="003B3153"/>
    <w:rsid w:val="003D411D"/>
    <w:rsid w:val="003D4498"/>
    <w:rsid w:val="003E38AE"/>
    <w:rsid w:val="003E5FB3"/>
    <w:rsid w:val="003E6587"/>
    <w:rsid w:val="00400A8C"/>
    <w:rsid w:val="004040CB"/>
    <w:rsid w:val="004049C2"/>
    <w:rsid w:val="00412595"/>
    <w:rsid w:val="00431CFA"/>
    <w:rsid w:val="00432B1E"/>
    <w:rsid w:val="0043436B"/>
    <w:rsid w:val="00437C1F"/>
    <w:rsid w:val="00452FE4"/>
    <w:rsid w:val="00466066"/>
    <w:rsid w:val="00472AA0"/>
    <w:rsid w:val="00476AC6"/>
    <w:rsid w:val="00483638"/>
    <w:rsid w:val="0048632A"/>
    <w:rsid w:val="004922AD"/>
    <w:rsid w:val="004B05A7"/>
    <w:rsid w:val="004B0D41"/>
    <w:rsid w:val="004B5735"/>
    <w:rsid w:val="004C0BE1"/>
    <w:rsid w:val="004D0651"/>
    <w:rsid w:val="004D1693"/>
    <w:rsid w:val="004D20C5"/>
    <w:rsid w:val="004D7176"/>
    <w:rsid w:val="004E2238"/>
    <w:rsid w:val="004E7471"/>
    <w:rsid w:val="00500349"/>
    <w:rsid w:val="005016B8"/>
    <w:rsid w:val="0050452C"/>
    <w:rsid w:val="00510E66"/>
    <w:rsid w:val="00514C1A"/>
    <w:rsid w:val="00533220"/>
    <w:rsid w:val="005343FC"/>
    <w:rsid w:val="005377DD"/>
    <w:rsid w:val="0054319E"/>
    <w:rsid w:val="005523DA"/>
    <w:rsid w:val="00552987"/>
    <w:rsid w:val="00552A29"/>
    <w:rsid w:val="0056395F"/>
    <w:rsid w:val="00563BB4"/>
    <w:rsid w:val="00574AD6"/>
    <w:rsid w:val="005839AF"/>
    <w:rsid w:val="00591929"/>
    <w:rsid w:val="00593B56"/>
    <w:rsid w:val="0059633C"/>
    <w:rsid w:val="005972F8"/>
    <w:rsid w:val="005A1592"/>
    <w:rsid w:val="005A25EB"/>
    <w:rsid w:val="005A32A5"/>
    <w:rsid w:val="005A602E"/>
    <w:rsid w:val="005B2C8D"/>
    <w:rsid w:val="005B5039"/>
    <w:rsid w:val="005C22E0"/>
    <w:rsid w:val="005D015D"/>
    <w:rsid w:val="005D4C51"/>
    <w:rsid w:val="005D670D"/>
    <w:rsid w:val="005E05C3"/>
    <w:rsid w:val="005E3465"/>
    <w:rsid w:val="005E71AF"/>
    <w:rsid w:val="005F0E0C"/>
    <w:rsid w:val="005F259A"/>
    <w:rsid w:val="00607DD2"/>
    <w:rsid w:val="0061735E"/>
    <w:rsid w:val="00630453"/>
    <w:rsid w:val="00631466"/>
    <w:rsid w:val="00633D78"/>
    <w:rsid w:val="006353FB"/>
    <w:rsid w:val="00637397"/>
    <w:rsid w:val="0064462C"/>
    <w:rsid w:val="00646A8C"/>
    <w:rsid w:val="00647081"/>
    <w:rsid w:val="00647D4E"/>
    <w:rsid w:val="00660A9C"/>
    <w:rsid w:val="006677A1"/>
    <w:rsid w:val="00673DE8"/>
    <w:rsid w:val="00675727"/>
    <w:rsid w:val="00676558"/>
    <w:rsid w:val="00677C72"/>
    <w:rsid w:val="0068354D"/>
    <w:rsid w:val="0068404E"/>
    <w:rsid w:val="006847A6"/>
    <w:rsid w:val="00685B6A"/>
    <w:rsid w:val="0068770A"/>
    <w:rsid w:val="006903AB"/>
    <w:rsid w:val="006A4E68"/>
    <w:rsid w:val="006A5030"/>
    <w:rsid w:val="006B090F"/>
    <w:rsid w:val="006B6F0A"/>
    <w:rsid w:val="006B78CF"/>
    <w:rsid w:val="006C0563"/>
    <w:rsid w:val="006C2977"/>
    <w:rsid w:val="006C4247"/>
    <w:rsid w:val="006C7D8B"/>
    <w:rsid w:val="006D1448"/>
    <w:rsid w:val="006D48A9"/>
    <w:rsid w:val="006D6972"/>
    <w:rsid w:val="006F7F51"/>
    <w:rsid w:val="00705239"/>
    <w:rsid w:val="00707059"/>
    <w:rsid w:val="00714A38"/>
    <w:rsid w:val="007223E5"/>
    <w:rsid w:val="007232B4"/>
    <w:rsid w:val="00732229"/>
    <w:rsid w:val="007356FA"/>
    <w:rsid w:val="007379CD"/>
    <w:rsid w:val="00740E2D"/>
    <w:rsid w:val="00767A05"/>
    <w:rsid w:val="00772A67"/>
    <w:rsid w:val="00773857"/>
    <w:rsid w:val="00774744"/>
    <w:rsid w:val="00777752"/>
    <w:rsid w:val="00780A85"/>
    <w:rsid w:val="00782727"/>
    <w:rsid w:val="0078643F"/>
    <w:rsid w:val="007953D4"/>
    <w:rsid w:val="007A53C4"/>
    <w:rsid w:val="007B206B"/>
    <w:rsid w:val="007B463C"/>
    <w:rsid w:val="007C32BD"/>
    <w:rsid w:val="007C611F"/>
    <w:rsid w:val="007D7D37"/>
    <w:rsid w:val="007E097C"/>
    <w:rsid w:val="007E2F62"/>
    <w:rsid w:val="008070EF"/>
    <w:rsid w:val="008166C9"/>
    <w:rsid w:val="00823E63"/>
    <w:rsid w:val="00824DC3"/>
    <w:rsid w:val="00841BDA"/>
    <w:rsid w:val="008461BE"/>
    <w:rsid w:val="008655A6"/>
    <w:rsid w:val="00867675"/>
    <w:rsid w:val="00873264"/>
    <w:rsid w:val="00876479"/>
    <w:rsid w:val="00884215"/>
    <w:rsid w:val="008863B7"/>
    <w:rsid w:val="00893B6B"/>
    <w:rsid w:val="00893DD7"/>
    <w:rsid w:val="008A2044"/>
    <w:rsid w:val="008A355D"/>
    <w:rsid w:val="008A443E"/>
    <w:rsid w:val="008A6A71"/>
    <w:rsid w:val="008A7C65"/>
    <w:rsid w:val="008B0868"/>
    <w:rsid w:val="008B0C2F"/>
    <w:rsid w:val="008C0FA2"/>
    <w:rsid w:val="008D6212"/>
    <w:rsid w:val="008D7B5A"/>
    <w:rsid w:val="008E0983"/>
    <w:rsid w:val="008E628C"/>
    <w:rsid w:val="008E7296"/>
    <w:rsid w:val="008F7052"/>
    <w:rsid w:val="00900E24"/>
    <w:rsid w:val="0091173A"/>
    <w:rsid w:val="009139CE"/>
    <w:rsid w:val="00917A2D"/>
    <w:rsid w:val="00921498"/>
    <w:rsid w:val="0092157C"/>
    <w:rsid w:val="00924D90"/>
    <w:rsid w:val="0092599C"/>
    <w:rsid w:val="00927FD2"/>
    <w:rsid w:val="00930D80"/>
    <w:rsid w:val="0094560A"/>
    <w:rsid w:val="00946AA8"/>
    <w:rsid w:val="00956E33"/>
    <w:rsid w:val="00956FF0"/>
    <w:rsid w:val="00957182"/>
    <w:rsid w:val="00957CA1"/>
    <w:rsid w:val="00960ABF"/>
    <w:rsid w:val="009611B0"/>
    <w:rsid w:val="00961EA3"/>
    <w:rsid w:val="009634A6"/>
    <w:rsid w:val="009674FA"/>
    <w:rsid w:val="00970132"/>
    <w:rsid w:val="009760C9"/>
    <w:rsid w:val="00990BAF"/>
    <w:rsid w:val="00993D7D"/>
    <w:rsid w:val="0099414C"/>
    <w:rsid w:val="009A62D5"/>
    <w:rsid w:val="009B3800"/>
    <w:rsid w:val="009C079A"/>
    <w:rsid w:val="009C15BA"/>
    <w:rsid w:val="009C5296"/>
    <w:rsid w:val="009D0A0C"/>
    <w:rsid w:val="009D3BE8"/>
    <w:rsid w:val="009D5D79"/>
    <w:rsid w:val="009E062A"/>
    <w:rsid w:val="009E0D2A"/>
    <w:rsid w:val="009E6FA7"/>
    <w:rsid w:val="009E7B97"/>
    <w:rsid w:val="009F369D"/>
    <w:rsid w:val="00A00211"/>
    <w:rsid w:val="00A0027E"/>
    <w:rsid w:val="00A157A7"/>
    <w:rsid w:val="00A16634"/>
    <w:rsid w:val="00A24755"/>
    <w:rsid w:val="00A309A4"/>
    <w:rsid w:val="00A33054"/>
    <w:rsid w:val="00A33C7B"/>
    <w:rsid w:val="00A510B2"/>
    <w:rsid w:val="00A62919"/>
    <w:rsid w:val="00A66107"/>
    <w:rsid w:val="00A7542F"/>
    <w:rsid w:val="00A77204"/>
    <w:rsid w:val="00A779C1"/>
    <w:rsid w:val="00A81172"/>
    <w:rsid w:val="00A91AF0"/>
    <w:rsid w:val="00AA4E63"/>
    <w:rsid w:val="00AA7734"/>
    <w:rsid w:val="00AB0C0B"/>
    <w:rsid w:val="00AB56B5"/>
    <w:rsid w:val="00AB6BFD"/>
    <w:rsid w:val="00AC18C1"/>
    <w:rsid w:val="00AD0344"/>
    <w:rsid w:val="00AD0EDE"/>
    <w:rsid w:val="00AD6B40"/>
    <w:rsid w:val="00AE0B46"/>
    <w:rsid w:val="00AE4C20"/>
    <w:rsid w:val="00AF2383"/>
    <w:rsid w:val="00AF3514"/>
    <w:rsid w:val="00AF46FB"/>
    <w:rsid w:val="00AF49F9"/>
    <w:rsid w:val="00B007B8"/>
    <w:rsid w:val="00B203CA"/>
    <w:rsid w:val="00B236F9"/>
    <w:rsid w:val="00B243F5"/>
    <w:rsid w:val="00B24552"/>
    <w:rsid w:val="00B254AE"/>
    <w:rsid w:val="00B37669"/>
    <w:rsid w:val="00B53076"/>
    <w:rsid w:val="00B65AB8"/>
    <w:rsid w:val="00B810F3"/>
    <w:rsid w:val="00B95136"/>
    <w:rsid w:val="00B97758"/>
    <w:rsid w:val="00BA3A87"/>
    <w:rsid w:val="00BA5025"/>
    <w:rsid w:val="00BA6CC3"/>
    <w:rsid w:val="00BC07D8"/>
    <w:rsid w:val="00BC0F3D"/>
    <w:rsid w:val="00BD1D59"/>
    <w:rsid w:val="00BD5053"/>
    <w:rsid w:val="00BF0BA4"/>
    <w:rsid w:val="00BF5443"/>
    <w:rsid w:val="00BF594C"/>
    <w:rsid w:val="00C00051"/>
    <w:rsid w:val="00C15E30"/>
    <w:rsid w:val="00C16DA8"/>
    <w:rsid w:val="00C23CFA"/>
    <w:rsid w:val="00C26E11"/>
    <w:rsid w:val="00C30884"/>
    <w:rsid w:val="00C32D13"/>
    <w:rsid w:val="00C35612"/>
    <w:rsid w:val="00C46B80"/>
    <w:rsid w:val="00C746A7"/>
    <w:rsid w:val="00C80E27"/>
    <w:rsid w:val="00C82D3C"/>
    <w:rsid w:val="00C845DF"/>
    <w:rsid w:val="00C874C9"/>
    <w:rsid w:val="00C87F53"/>
    <w:rsid w:val="00CA0DAE"/>
    <w:rsid w:val="00CA1FC0"/>
    <w:rsid w:val="00CA7D25"/>
    <w:rsid w:val="00CB4E43"/>
    <w:rsid w:val="00CB5A84"/>
    <w:rsid w:val="00CB62C8"/>
    <w:rsid w:val="00CC3060"/>
    <w:rsid w:val="00CC7663"/>
    <w:rsid w:val="00CD0CD9"/>
    <w:rsid w:val="00CD1972"/>
    <w:rsid w:val="00CD2F78"/>
    <w:rsid w:val="00CD3A06"/>
    <w:rsid w:val="00CD429C"/>
    <w:rsid w:val="00CD53E0"/>
    <w:rsid w:val="00CD7ED7"/>
    <w:rsid w:val="00CE5C0C"/>
    <w:rsid w:val="00CF18B2"/>
    <w:rsid w:val="00CF50B2"/>
    <w:rsid w:val="00D00E24"/>
    <w:rsid w:val="00D016BF"/>
    <w:rsid w:val="00D07375"/>
    <w:rsid w:val="00D11B72"/>
    <w:rsid w:val="00D201AB"/>
    <w:rsid w:val="00D23395"/>
    <w:rsid w:val="00D236C3"/>
    <w:rsid w:val="00D30C55"/>
    <w:rsid w:val="00D56DE0"/>
    <w:rsid w:val="00D6542F"/>
    <w:rsid w:val="00D70646"/>
    <w:rsid w:val="00D721A2"/>
    <w:rsid w:val="00D73955"/>
    <w:rsid w:val="00D83BAF"/>
    <w:rsid w:val="00D8794D"/>
    <w:rsid w:val="00D954D4"/>
    <w:rsid w:val="00DA2B83"/>
    <w:rsid w:val="00DB0C9E"/>
    <w:rsid w:val="00DC05F8"/>
    <w:rsid w:val="00DC1607"/>
    <w:rsid w:val="00DC218C"/>
    <w:rsid w:val="00DC236D"/>
    <w:rsid w:val="00DC30FB"/>
    <w:rsid w:val="00DC3BCD"/>
    <w:rsid w:val="00DC4B94"/>
    <w:rsid w:val="00DD0459"/>
    <w:rsid w:val="00DE2FD2"/>
    <w:rsid w:val="00DE3A6C"/>
    <w:rsid w:val="00DE55EF"/>
    <w:rsid w:val="00DE679E"/>
    <w:rsid w:val="00DE68C3"/>
    <w:rsid w:val="00DE6A9E"/>
    <w:rsid w:val="00DF289C"/>
    <w:rsid w:val="00DF4DB1"/>
    <w:rsid w:val="00DF5E80"/>
    <w:rsid w:val="00DF667F"/>
    <w:rsid w:val="00E00078"/>
    <w:rsid w:val="00E0600B"/>
    <w:rsid w:val="00E11C36"/>
    <w:rsid w:val="00E14B7F"/>
    <w:rsid w:val="00E14CF3"/>
    <w:rsid w:val="00E171CF"/>
    <w:rsid w:val="00E230F0"/>
    <w:rsid w:val="00E26E92"/>
    <w:rsid w:val="00E50DEE"/>
    <w:rsid w:val="00E5395F"/>
    <w:rsid w:val="00E53C6C"/>
    <w:rsid w:val="00E543DE"/>
    <w:rsid w:val="00E54F47"/>
    <w:rsid w:val="00E74BD5"/>
    <w:rsid w:val="00E83899"/>
    <w:rsid w:val="00E947A3"/>
    <w:rsid w:val="00EC1C07"/>
    <w:rsid w:val="00EC7447"/>
    <w:rsid w:val="00ED6EE8"/>
    <w:rsid w:val="00EE0408"/>
    <w:rsid w:val="00EE72BB"/>
    <w:rsid w:val="00EF2A8D"/>
    <w:rsid w:val="00EF487D"/>
    <w:rsid w:val="00F11E64"/>
    <w:rsid w:val="00F20430"/>
    <w:rsid w:val="00F2488F"/>
    <w:rsid w:val="00F35F7A"/>
    <w:rsid w:val="00F50965"/>
    <w:rsid w:val="00F513BF"/>
    <w:rsid w:val="00F51F99"/>
    <w:rsid w:val="00F52B90"/>
    <w:rsid w:val="00F5501D"/>
    <w:rsid w:val="00F558A4"/>
    <w:rsid w:val="00F76D8A"/>
    <w:rsid w:val="00F7725E"/>
    <w:rsid w:val="00F81324"/>
    <w:rsid w:val="00F90AD5"/>
    <w:rsid w:val="00F94183"/>
    <w:rsid w:val="00FA1757"/>
    <w:rsid w:val="00FA424C"/>
    <w:rsid w:val="00FA5A80"/>
    <w:rsid w:val="00FA72FE"/>
    <w:rsid w:val="00FB0E34"/>
    <w:rsid w:val="00FB6636"/>
    <w:rsid w:val="00FB752B"/>
    <w:rsid w:val="00FC2456"/>
    <w:rsid w:val="00FC678C"/>
    <w:rsid w:val="00FC781D"/>
    <w:rsid w:val="00FD3B54"/>
    <w:rsid w:val="00FF0A37"/>
    <w:rsid w:val="05442F5E"/>
    <w:rsid w:val="121F3DCB"/>
    <w:rsid w:val="15382F31"/>
    <w:rsid w:val="15501684"/>
    <w:rsid w:val="1F14047D"/>
    <w:rsid w:val="20595821"/>
    <w:rsid w:val="2FD1167A"/>
    <w:rsid w:val="3E3B5595"/>
    <w:rsid w:val="4AF73077"/>
    <w:rsid w:val="4EC81B2B"/>
    <w:rsid w:val="597C39F6"/>
    <w:rsid w:val="5A697FC3"/>
    <w:rsid w:val="62893EF8"/>
    <w:rsid w:val="6AAE2FD3"/>
    <w:rsid w:val="6F8E4795"/>
    <w:rsid w:val="70F159D9"/>
    <w:rsid w:val="79DD1A52"/>
    <w:rsid w:val="7D67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rFonts w:asciiTheme="minorHAnsi" w:hAnsiTheme="minorHAnsi"/>
      <w:b/>
      <w:kern w:val="44"/>
      <w:sz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4"/>
    <w:uiPriority w:val="0"/>
    <w:rPr>
      <w:b/>
      <w:bCs/>
    </w:rPr>
  </w:style>
  <w:style w:type="character" w:styleId="9">
    <w:name w:val="annotation reference"/>
    <w:basedOn w:val="8"/>
    <w:uiPriority w:val="0"/>
    <w:rPr>
      <w:sz w:val="21"/>
      <w:szCs w:val="21"/>
    </w:rPr>
  </w:style>
  <w:style w:type="character" w:customStyle="1" w:styleId="10">
    <w:name w:val="页眉 字符"/>
    <w:basedOn w:val="8"/>
    <w:link w:val="5"/>
    <w:autoRedefine/>
    <w:qFormat/>
    <w:uiPriority w:val="0"/>
    <w:rPr>
      <w:kern w:val="2"/>
      <w:sz w:val="18"/>
      <w:szCs w:val="18"/>
    </w:rPr>
  </w:style>
  <w:style w:type="character" w:customStyle="1" w:styleId="11">
    <w:name w:val="页脚 字符"/>
    <w:basedOn w:val="8"/>
    <w:link w:val="4"/>
    <w:autoRedefine/>
    <w:qFormat/>
    <w:uiPriority w:val="0"/>
    <w:rPr>
      <w:kern w:val="2"/>
      <w:sz w:val="18"/>
      <w:szCs w:val="18"/>
    </w:rPr>
  </w:style>
  <w:style w:type="paragraph" w:styleId="12">
    <w:name w:val="List Paragraph"/>
    <w:basedOn w:val="1"/>
    <w:qFormat/>
    <w:uiPriority w:val="99"/>
    <w:pPr>
      <w:ind w:firstLine="420" w:firstLineChars="200"/>
    </w:pPr>
  </w:style>
  <w:style w:type="character" w:customStyle="1" w:styleId="13">
    <w:name w:val="批注文字 字符"/>
    <w:basedOn w:val="8"/>
    <w:link w:val="3"/>
    <w:uiPriority w:val="0"/>
    <w:rPr>
      <w:kern w:val="2"/>
      <w:sz w:val="21"/>
      <w:szCs w:val="22"/>
    </w:rPr>
  </w:style>
  <w:style w:type="character" w:customStyle="1" w:styleId="14">
    <w:name w:val="批注主题 字符"/>
    <w:basedOn w:val="13"/>
    <w:link w:val="6"/>
    <w:qFormat/>
    <w:uiPriority w:val="0"/>
    <w:rPr>
      <w:b/>
      <w:bCs/>
      <w:kern w:val="2"/>
      <w:sz w:val="21"/>
      <w:szCs w:val="22"/>
    </w:rPr>
  </w:style>
  <w:style w:type="paragraph" w:customStyle="1" w:styleId="15">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5F2D-DEE1-4A57-890D-9FAFC77F48E4}">
  <ds:schemaRefs/>
</ds:datastoreItem>
</file>

<file path=docProps/app.xml><?xml version="1.0" encoding="utf-8"?>
<Properties xmlns="http://schemas.openxmlformats.org/officeDocument/2006/extended-properties" xmlns:vt="http://schemas.openxmlformats.org/officeDocument/2006/docPropsVTypes">
  <Template>Normal</Template>
  <Pages>3</Pages>
  <Words>2015</Words>
  <Characters>2108</Characters>
  <Lines>15</Lines>
  <Paragraphs>4</Paragraphs>
  <TotalTime>400</TotalTime>
  <ScaleCrop>false</ScaleCrop>
  <LinksUpToDate>false</LinksUpToDate>
  <CharactersWithSpaces>2181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2025-08-28T07:10:00Z</dcterms:created>
  <dc:creator>guoyi.chen</dc:creator>
  <cp:lastModifiedBy>User</cp:lastModifiedBy>
  <cp:lastPrinted>2025-06-03T06:19:00Z</cp:lastPrinted>
  <dcterms:modified xsi:type="dcterms:W3CDTF">2025-08-29T05:33:35Z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33FB9DA5C2D84C888CDB28CAA1ED6A9D_13</vt:lpwstr>
  </property>
  <property fmtid="{D5CDD505-2E9C-101B-9397-08002B2CF9AE}" pid="4" name="KSOTemplateDocerSaveRecord">
    <vt:lpwstr>eyJoZGlkIjoiYThmNzkzZjFmYzkxNTE1OWEyM2Y5YjE5NmZjOGYyNmQiLCJ1c2VySWQiOiIyMjA5MDU1NTUifQ==</vt:lpwstr>
  </property>
</Properties>
</file>