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C1BA">
      <w:pPr>
        <w:spacing w:before="156" w:beforeLines="50" w:after="156" w:afterLines="50" w:line="400" w:lineRule="exact"/>
        <w:rPr>
          <w:rFonts w:ascii="宋体" w:hAnsi="宋体"/>
          <w:b/>
          <w:iCs/>
          <w:color w:val="000000"/>
          <w:sz w:val="24"/>
        </w:rPr>
      </w:pPr>
      <w:r>
        <w:rPr>
          <w:rFonts w:hint="eastAsia" w:ascii="宋体" w:hAnsi="宋体"/>
          <w:b/>
          <w:iCs/>
          <w:color w:val="000000"/>
          <w:sz w:val="24"/>
        </w:rPr>
        <w:t>证券代码：6</w:t>
      </w:r>
      <w:r>
        <w:rPr>
          <w:rFonts w:ascii="宋体" w:hAnsi="宋体"/>
          <w:b/>
          <w:iCs/>
          <w:color w:val="000000"/>
          <w:sz w:val="24"/>
        </w:rPr>
        <w:t xml:space="preserve">88268                                   </w:t>
      </w:r>
      <w:r>
        <w:rPr>
          <w:rFonts w:hint="eastAsia" w:ascii="宋体" w:hAnsi="宋体"/>
          <w:b/>
          <w:iCs/>
          <w:color w:val="000000"/>
          <w:sz w:val="24"/>
        </w:rPr>
        <w:t>证券简称：华特气体</w:t>
      </w:r>
    </w:p>
    <w:p w14:paraId="042D792A">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广东华特气体股份有限公司</w:t>
      </w:r>
    </w:p>
    <w:p w14:paraId="195F9CE9">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2722814F">
      <w:pPr>
        <w:spacing w:line="400" w:lineRule="exact"/>
        <w:jc w:val="right"/>
        <w:rPr>
          <w:rFonts w:hint="eastAsia" w:ascii="宋体" w:hAnsi="宋体" w:eastAsia="宋体"/>
          <w:bCs/>
          <w:iCs/>
          <w:color w:val="000000"/>
          <w:sz w:val="24"/>
          <w:lang w:val="en-US" w:eastAsia="zh-CN"/>
        </w:rPr>
      </w:pPr>
      <w:r>
        <w:rPr>
          <w:rFonts w:hint="eastAsia" w:ascii="宋体" w:hAnsi="宋体"/>
          <w:bCs/>
          <w:iCs/>
          <w:color w:val="000000"/>
          <w:sz w:val="24"/>
        </w:rPr>
        <w:t>编号：202</w:t>
      </w:r>
      <w:r>
        <w:rPr>
          <w:rFonts w:hint="eastAsia" w:ascii="宋体" w:hAnsi="宋体"/>
          <w:bCs/>
          <w:iCs/>
          <w:color w:val="000000"/>
          <w:sz w:val="24"/>
          <w:lang w:val="en-US" w:eastAsia="zh-CN"/>
        </w:rPr>
        <w:t>5</w:t>
      </w:r>
      <w:r>
        <w:rPr>
          <w:rFonts w:ascii="宋体" w:hAnsi="宋体"/>
          <w:bCs/>
          <w:iCs/>
          <w:color w:val="000000"/>
          <w:sz w:val="24"/>
        </w:rPr>
        <w:t>-00</w:t>
      </w:r>
      <w:r>
        <w:rPr>
          <w:rFonts w:hint="eastAsia" w:ascii="宋体" w:hAnsi="宋体"/>
          <w:bCs/>
          <w:iCs/>
          <w:color w:val="000000"/>
          <w:sz w:val="24"/>
          <w:lang w:val="en-US" w:eastAsia="zh-CN"/>
        </w:rPr>
        <w:t>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4D23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14:paraId="4187BF49">
            <w:pPr>
              <w:spacing w:line="480" w:lineRule="atLeast"/>
              <w:rPr>
                <w:rFonts w:ascii="宋体" w:hAnsi="宋体"/>
                <w:bCs/>
                <w:iCs/>
                <w:color w:val="000000"/>
                <w:sz w:val="24"/>
              </w:rPr>
            </w:pPr>
            <w:r>
              <w:rPr>
                <w:rFonts w:hint="eastAsia" w:ascii="宋体" w:hAnsi="宋体"/>
                <w:bCs/>
                <w:iCs/>
                <w:color w:val="000000"/>
                <w:sz w:val="24"/>
              </w:rPr>
              <w:t>投资者关系活动类别</w:t>
            </w:r>
          </w:p>
          <w:p w14:paraId="26FC046D">
            <w:pPr>
              <w:spacing w:line="480" w:lineRule="atLeast"/>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0BE7F5E6">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特定对象调研 </w:t>
            </w:r>
            <w:r>
              <w:rPr>
                <w:rFonts w:ascii="宋体" w:hAnsi="宋体"/>
                <w:sz w:val="24"/>
              </w:rPr>
              <w:t xml:space="preserve">   </w:t>
            </w:r>
            <w:r>
              <w:rPr>
                <w:rFonts w:hint="eastAsia" w:ascii="宋体" w:hAnsi="宋体"/>
                <w:bCs/>
                <w:iCs/>
                <w:color w:val="000000"/>
                <w:sz w:val="24"/>
              </w:rPr>
              <w:t>□</w:t>
            </w:r>
            <w:r>
              <w:rPr>
                <w:rFonts w:hint="eastAsia" w:ascii="宋体" w:hAnsi="宋体"/>
                <w:sz w:val="24"/>
              </w:rPr>
              <w:t>分析师会议</w:t>
            </w:r>
          </w:p>
          <w:p w14:paraId="154B6F74">
            <w:pPr>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 xml:space="preserve">媒体采访 </w:t>
            </w:r>
            <w:r>
              <w:rPr>
                <w:rFonts w:ascii="宋体" w:hAnsi="宋体"/>
                <w:sz w:val="24"/>
              </w:rPr>
              <w:t xml:space="preserve">       </w:t>
            </w:r>
            <w:r>
              <w:rPr>
                <w:rFonts w:hint="eastAsia" w:ascii="宋体" w:hAnsi="宋体"/>
                <w:bCs/>
                <w:iCs/>
                <w:color w:val="000000"/>
                <w:sz w:val="24"/>
              </w:rPr>
              <w:t>□</w:t>
            </w:r>
            <w:r>
              <w:rPr>
                <w:rFonts w:hint="eastAsia" w:ascii="宋体" w:hAnsi="宋体"/>
                <w:sz w:val="24"/>
              </w:rPr>
              <w:t>业绩说明会</w:t>
            </w:r>
          </w:p>
          <w:p w14:paraId="20E38853">
            <w:pPr>
              <w:spacing w:line="480" w:lineRule="atLeas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sz w:val="24"/>
              </w:rPr>
              <w:t xml:space="preserve">新闻发布会 </w:t>
            </w:r>
            <w:r>
              <w:rPr>
                <w:rFonts w:ascii="宋体" w:hAnsi="宋体"/>
                <w:sz w:val="24"/>
              </w:rPr>
              <w:t xml:space="preserve">     </w:t>
            </w:r>
            <w:r>
              <w:rPr>
                <w:rFonts w:hint="eastAsia" w:ascii="宋体" w:hAnsi="宋体"/>
                <w:bCs/>
                <w:iCs/>
                <w:color w:val="000000"/>
                <w:sz w:val="24"/>
              </w:rPr>
              <w:t>□</w:t>
            </w:r>
            <w:r>
              <w:rPr>
                <w:rFonts w:hint="eastAsia" w:ascii="宋体" w:hAnsi="宋体"/>
                <w:sz w:val="24"/>
              </w:rPr>
              <w:t>路演活动</w:t>
            </w:r>
          </w:p>
          <w:p w14:paraId="28BDA984">
            <w:pPr>
              <w:tabs>
                <w:tab w:val="left" w:pos="3045"/>
                <w:tab w:val="center" w:pos="3199"/>
              </w:tabs>
              <w:spacing w:line="480" w:lineRule="atLeast"/>
              <w:rPr>
                <w:rFonts w:ascii="宋体" w:hAnsi="宋体"/>
                <w:bCs/>
                <w:iCs/>
                <w:color w:val="000000"/>
                <w:sz w:val="24"/>
              </w:rPr>
            </w:pPr>
            <w:r>
              <w:rPr>
                <w:rFonts w:hint="eastAsia" w:ascii="宋体" w:hAnsi="宋体"/>
                <w:bCs/>
                <w:iCs/>
                <w:color w:val="000000"/>
                <w:sz w:val="24"/>
              </w:rPr>
              <w:t>□</w:t>
            </w:r>
            <w:r>
              <w:rPr>
                <w:rFonts w:hint="eastAsia" w:ascii="宋体" w:hAnsi="宋体"/>
                <w:sz w:val="24"/>
              </w:rPr>
              <w:t>现场参观</w:t>
            </w:r>
            <w:r>
              <w:rPr>
                <w:rFonts w:hint="eastAsia" w:ascii="宋体" w:hAnsi="宋体"/>
                <w:bCs/>
                <w:iCs/>
                <w:color w:val="000000"/>
                <w:sz w:val="24"/>
              </w:rPr>
              <w:tab/>
            </w:r>
          </w:p>
          <w:p w14:paraId="7364D65B">
            <w:pPr>
              <w:rPr>
                <w:rFonts w:ascii="宋体" w:hAnsi="宋体"/>
                <w:sz w:val="28"/>
                <w:szCs w:val="28"/>
              </w:rPr>
            </w:pPr>
            <w:r>
              <w:rPr>
                <w:rFonts w:hint="eastAsia" w:ascii="宋体" w:hAnsi="宋体"/>
                <w:bCs/>
                <w:iCs/>
                <w:color w:val="000000"/>
                <w:sz w:val="24"/>
              </w:rPr>
              <w:t>□</w:t>
            </w:r>
            <w:r>
              <w:rPr>
                <w:rFonts w:hint="eastAsia" w:ascii="宋体" w:hAnsi="宋体"/>
                <w:sz w:val="24"/>
              </w:rPr>
              <w:t>其他</w:t>
            </w:r>
          </w:p>
        </w:tc>
      </w:tr>
      <w:tr w14:paraId="6A54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8" w:type="dxa"/>
            <w:tcBorders>
              <w:top w:val="single" w:color="auto" w:sz="4" w:space="0"/>
              <w:left w:val="single" w:color="auto" w:sz="4" w:space="0"/>
              <w:bottom w:val="single" w:color="auto" w:sz="4" w:space="0"/>
              <w:right w:val="single" w:color="auto" w:sz="4" w:space="0"/>
            </w:tcBorders>
            <w:shd w:val="clear" w:color="auto" w:fill="auto"/>
          </w:tcPr>
          <w:p w14:paraId="48FC938B">
            <w:pPr>
              <w:spacing w:line="480" w:lineRule="atLeast"/>
              <w:rPr>
                <w:rFonts w:ascii="宋体" w:hAnsi="宋体"/>
                <w:bCs/>
                <w:iCs/>
                <w:color w:val="000000"/>
                <w:sz w:val="24"/>
              </w:rPr>
            </w:pPr>
            <w:r>
              <w:rPr>
                <w:rFonts w:hint="eastAsia" w:ascii="宋体" w:hAnsi="宋体"/>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47CC6ABB">
            <w:pPr>
              <w:spacing w:line="360" w:lineRule="auto"/>
              <w:jc w:val="both"/>
              <w:rPr>
                <w:rFonts w:hint="default" w:ascii="宋体" w:hAnsi="宋体" w:eastAsia="宋体"/>
                <w:sz w:val="24"/>
                <w:lang w:val="en-US" w:eastAsia="zh-CN"/>
              </w:rPr>
            </w:pPr>
            <w:r>
              <w:rPr>
                <w:rFonts w:hint="default" w:ascii="宋体" w:hAnsi="宋体" w:eastAsia="宋体"/>
                <w:sz w:val="24"/>
                <w:szCs w:val="24"/>
                <w:lang w:val="en-US" w:eastAsia="zh-CN"/>
              </w:rPr>
              <w:t>安信基金</w:t>
            </w:r>
            <w:r>
              <w:rPr>
                <w:rFonts w:hint="eastAsia" w:ascii="宋体" w:hAnsi="宋体"/>
                <w:sz w:val="24"/>
                <w:szCs w:val="24"/>
                <w:lang w:val="en-US" w:eastAsia="zh-CN"/>
              </w:rPr>
              <w:t>、</w:t>
            </w:r>
            <w:r>
              <w:rPr>
                <w:rFonts w:hint="default" w:ascii="宋体" w:hAnsi="宋体" w:eastAsia="宋体"/>
                <w:sz w:val="24"/>
                <w:szCs w:val="24"/>
                <w:lang w:val="en-US" w:eastAsia="zh-CN"/>
              </w:rPr>
              <w:t>邦政资产</w:t>
            </w:r>
            <w:r>
              <w:rPr>
                <w:rFonts w:hint="eastAsia" w:ascii="宋体" w:hAnsi="宋体"/>
                <w:sz w:val="24"/>
                <w:szCs w:val="24"/>
                <w:lang w:val="en-US" w:eastAsia="zh-CN"/>
              </w:rPr>
              <w:t>、</w:t>
            </w:r>
            <w:r>
              <w:rPr>
                <w:rFonts w:hint="default" w:ascii="宋体" w:hAnsi="宋体" w:eastAsia="宋体"/>
                <w:sz w:val="24"/>
                <w:szCs w:val="24"/>
                <w:lang w:val="en-US" w:eastAsia="zh-CN"/>
              </w:rPr>
              <w:t>博星股权投资</w:t>
            </w:r>
            <w:r>
              <w:rPr>
                <w:rFonts w:hint="eastAsia" w:ascii="宋体" w:hAnsi="宋体"/>
                <w:sz w:val="24"/>
                <w:szCs w:val="24"/>
                <w:lang w:val="en-US" w:eastAsia="zh-CN"/>
              </w:rPr>
              <w:t>、</w:t>
            </w:r>
            <w:r>
              <w:rPr>
                <w:rFonts w:hint="default" w:ascii="宋体" w:hAnsi="宋体" w:eastAsia="宋体"/>
                <w:sz w:val="24"/>
                <w:szCs w:val="24"/>
                <w:lang w:val="en-US" w:eastAsia="zh-CN"/>
              </w:rPr>
              <w:t>财信证券</w:t>
            </w:r>
            <w:r>
              <w:rPr>
                <w:rFonts w:hint="eastAsia" w:ascii="宋体" w:hAnsi="宋体"/>
                <w:sz w:val="24"/>
                <w:szCs w:val="24"/>
                <w:lang w:val="en-US" w:eastAsia="zh-CN"/>
              </w:rPr>
              <w:t>、</w:t>
            </w:r>
            <w:r>
              <w:rPr>
                <w:rFonts w:hint="default" w:ascii="宋体" w:hAnsi="宋体" w:eastAsia="宋体"/>
                <w:sz w:val="24"/>
                <w:szCs w:val="24"/>
                <w:lang w:val="en-US" w:eastAsia="zh-CN"/>
              </w:rPr>
              <w:t>禅龙资产</w:t>
            </w:r>
            <w:r>
              <w:rPr>
                <w:rFonts w:hint="eastAsia" w:ascii="宋体" w:hAnsi="宋体"/>
                <w:sz w:val="24"/>
                <w:szCs w:val="24"/>
                <w:lang w:val="en-US" w:eastAsia="zh-CN"/>
              </w:rPr>
              <w:t>、</w:t>
            </w:r>
            <w:r>
              <w:rPr>
                <w:rFonts w:hint="default" w:ascii="宋体" w:hAnsi="宋体" w:eastAsia="宋体"/>
                <w:sz w:val="24"/>
                <w:szCs w:val="24"/>
                <w:lang w:val="en-US" w:eastAsia="zh-CN"/>
              </w:rPr>
              <w:t>大家资产</w:t>
            </w:r>
            <w:r>
              <w:rPr>
                <w:rFonts w:hint="eastAsia" w:ascii="宋体" w:hAnsi="宋体"/>
                <w:sz w:val="24"/>
                <w:szCs w:val="24"/>
                <w:lang w:val="en-US" w:eastAsia="zh-CN"/>
              </w:rPr>
              <w:t>、</w:t>
            </w:r>
            <w:r>
              <w:rPr>
                <w:rFonts w:hint="default" w:ascii="宋体" w:hAnsi="宋体" w:eastAsia="宋体"/>
                <w:sz w:val="24"/>
                <w:szCs w:val="24"/>
                <w:lang w:val="en-US" w:eastAsia="zh-CN"/>
              </w:rPr>
              <w:t>第一创业证券</w:t>
            </w:r>
            <w:r>
              <w:rPr>
                <w:rFonts w:hint="eastAsia" w:ascii="宋体" w:hAnsi="宋体"/>
                <w:sz w:val="24"/>
                <w:szCs w:val="24"/>
                <w:lang w:val="en-US" w:eastAsia="zh-CN"/>
              </w:rPr>
              <w:t>、</w:t>
            </w:r>
            <w:r>
              <w:rPr>
                <w:rFonts w:hint="default" w:ascii="宋体" w:hAnsi="宋体" w:eastAsia="宋体"/>
                <w:sz w:val="24"/>
                <w:szCs w:val="24"/>
                <w:lang w:val="en-US" w:eastAsia="zh-CN"/>
              </w:rPr>
              <w:t>东方财富证券</w:t>
            </w:r>
            <w:r>
              <w:rPr>
                <w:rFonts w:hint="eastAsia" w:ascii="宋体" w:hAnsi="宋体"/>
                <w:sz w:val="24"/>
                <w:szCs w:val="24"/>
                <w:lang w:val="en-US" w:eastAsia="zh-CN"/>
              </w:rPr>
              <w:t>、</w:t>
            </w:r>
            <w:r>
              <w:rPr>
                <w:rFonts w:hint="default" w:ascii="宋体" w:hAnsi="宋体" w:eastAsia="宋体"/>
                <w:sz w:val="24"/>
                <w:szCs w:val="24"/>
                <w:lang w:val="en-US" w:eastAsia="zh-CN"/>
              </w:rPr>
              <w:t>东莞证券</w:t>
            </w:r>
            <w:r>
              <w:rPr>
                <w:rFonts w:hint="eastAsia" w:ascii="宋体" w:hAnsi="宋体"/>
                <w:sz w:val="24"/>
                <w:szCs w:val="24"/>
                <w:lang w:val="en-US" w:eastAsia="zh-CN"/>
              </w:rPr>
              <w:t>、</w:t>
            </w:r>
            <w:r>
              <w:rPr>
                <w:rFonts w:hint="default" w:ascii="宋体" w:hAnsi="宋体" w:eastAsia="宋体"/>
                <w:sz w:val="24"/>
                <w:szCs w:val="24"/>
                <w:lang w:val="en-US" w:eastAsia="zh-CN"/>
              </w:rPr>
              <w:t>东兴证券</w:t>
            </w:r>
            <w:r>
              <w:rPr>
                <w:rFonts w:hint="eastAsia" w:ascii="宋体" w:hAnsi="宋体"/>
                <w:sz w:val="24"/>
                <w:szCs w:val="24"/>
                <w:lang w:val="en-US" w:eastAsia="zh-CN"/>
              </w:rPr>
              <w:t>、</w:t>
            </w:r>
            <w:r>
              <w:rPr>
                <w:rFonts w:hint="default" w:ascii="宋体" w:hAnsi="宋体" w:eastAsia="宋体"/>
                <w:sz w:val="24"/>
                <w:szCs w:val="24"/>
                <w:lang w:val="en-US" w:eastAsia="zh-CN"/>
              </w:rPr>
              <w:t>方物私募基金</w:t>
            </w:r>
            <w:r>
              <w:rPr>
                <w:rFonts w:hint="eastAsia" w:ascii="宋体" w:hAnsi="宋体"/>
                <w:sz w:val="24"/>
                <w:szCs w:val="24"/>
                <w:lang w:val="en-US" w:eastAsia="zh-CN"/>
              </w:rPr>
              <w:t>、</w:t>
            </w:r>
            <w:r>
              <w:rPr>
                <w:rFonts w:hint="default" w:ascii="宋体" w:hAnsi="宋体" w:eastAsia="宋体"/>
                <w:sz w:val="24"/>
                <w:szCs w:val="24"/>
                <w:lang w:val="en-US" w:eastAsia="zh-CN"/>
              </w:rPr>
              <w:t>耕霁投资</w:t>
            </w:r>
            <w:r>
              <w:rPr>
                <w:rFonts w:hint="eastAsia" w:ascii="宋体" w:hAnsi="宋体"/>
                <w:sz w:val="24"/>
                <w:szCs w:val="24"/>
                <w:lang w:val="en-US" w:eastAsia="zh-CN"/>
              </w:rPr>
              <w:t>、</w:t>
            </w:r>
            <w:r>
              <w:rPr>
                <w:rFonts w:hint="default" w:ascii="宋体" w:hAnsi="宋体" w:eastAsia="宋体"/>
                <w:sz w:val="24"/>
                <w:szCs w:val="24"/>
                <w:lang w:val="en-US" w:eastAsia="zh-CN"/>
              </w:rPr>
              <w:t>光大证券</w:t>
            </w:r>
            <w:r>
              <w:rPr>
                <w:rFonts w:hint="eastAsia" w:ascii="宋体" w:hAnsi="宋体"/>
                <w:sz w:val="24"/>
                <w:szCs w:val="24"/>
                <w:lang w:val="en-US" w:eastAsia="zh-CN"/>
              </w:rPr>
              <w:t>、</w:t>
            </w:r>
            <w:r>
              <w:rPr>
                <w:rFonts w:hint="default" w:ascii="宋体" w:hAnsi="宋体" w:eastAsia="宋体"/>
                <w:sz w:val="24"/>
                <w:szCs w:val="24"/>
                <w:lang w:val="en-US" w:eastAsia="zh-CN"/>
              </w:rPr>
              <w:t>贵源投资</w:t>
            </w:r>
            <w:r>
              <w:rPr>
                <w:rFonts w:hint="eastAsia" w:ascii="宋体" w:hAnsi="宋体"/>
                <w:sz w:val="24"/>
                <w:szCs w:val="24"/>
                <w:lang w:val="en-US" w:eastAsia="zh-CN"/>
              </w:rPr>
              <w:t>、</w:t>
            </w:r>
            <w:r>
              <w:rPr>
                <w:rFonts w:hint="default" w:ascii="宋体" w:hAnsi="宋体" w:eastAsia="宋体"/>
                <w:sz w:val="24"/>
                <w:szCs w:val="24"/>
                <w:lang w:val="en-US" w:eastAsia="zh-CN"/>
              </w:rPr>
              <w:t>国都证券</w:t>
            </w:r>
            <w:r>
              <w:rPr>
                <w:rFonts w:hint="eastAsia" w:ascii="宋体" w:hAnsi="宋体"/>
                <w:sz w:val="24"/>
                <w:szCs w:val="24"/>
                <w:lang w:val="en-US" w:eastAsia="zh-CN"/>
              </w:rPr>
              <w:t>、</w:t>
            </w:r>
            <w:r>
              <w:rPr>
                <w:rFonts w:hint="default" w:ascii="宋体" w:hAnsi="宋体" w:eastAsia="宋体"/>
                <w:sz w:val="24"/>
                <w:szCs w:val="24"/>
                <w:lang w:val="en-US" w:eastAsia="zh-CN"/>
              </w:rPr>
              <w:t>国晖投资</w:t>
            </w:r>
            <w:r>
              <w:rPr>
                <w:rFonts w:hint="eastAsia" w:ascii="宋体" w:hAnsi="宋体"/>
                <w:sz w:val="24"/>
                <w:szCs w:val="24"/>
                <w:lang w:val="en-US" w:eastAsia="zh-CN"/>
              </w:rPr>
              <w:t>、</w:t>
            </w:r>
            <w:r>
              <w:rPr>
                <w:rFonts w:hint="default" w:ascii="宋体" w:hAnsi="宋体" w:eastAsia="宋体"/>
                <w:sz w:val="24"/>
                <w:szCs w:val="24"/>
                <w:lang w:val="en-US" w:eastAsia="zh-CN"/>
              </w:rPr>
              <w:t>国盛证券</w:t>
            </w:r>
            <w:r>
              <w:rPr>
                <w:rFonts w:hint="eastAsia" w:ascii="宋体" w:hAnsi="宋体"/>
                <w:sz w:val="24"/>
                <w:szCs w:val="24"/>
                <w:lang w:val="en-US" w:eastAsia="zh-CN"/>
              </w:rPr>
              <w:t>、</w:t>
            </w:r>
            <w:r>
              <w:rPr>
                <w:rFonts w:hint="default" w:ascii="宋体" w:hAnsi="宋体" w:eastAsia="宋体"/>
                <w:sz w:val="24"/>
                <w:szCs w:val="24"/>
                <w:lang w:val="en-US" w:eastAsia="zh-CN"/>
              </w:rPr>
              <w:t>国投证券资产</w:t>
            </w:r>
            <w:r>
              <w:rPr>
                <w:rFonts w:hint="eastAsia" w:ascii="宋体" w:hAnsi="宋体"/>
                <w:sz w:val="24"/>
                <w:szCs w:val="24"/>
                <w:lang w:val="en-US" w:eastAsia="zh-CN"/>
              </w:rPr>
              <w:t>、</w:t>
            </w:r>
            <w:r>
              <w:rPr>
                <w:rFonts w:hint="default" w:ascii="宋体" w:hAnsi="宋体" w:eastAsia="宋体"/>
                <w:sz w:val="24"/>
                <w:szCs w:val="24"/>
                <w:lang w:val="en-US" w:eastAsia="zh-CN"/>
              </w:rPr>
              <w:t>国信证券</w:t>
            </w:r>
            <w:r>
              <w:rPr>
                <w:rFonts w:hint="eastAsia" w:ascii="宋体" w:hAnsi="宋体"/>
                <w:sz w:val="24"/>
                <w:szCs w:val="24"/>
                <w:lang w:val="en-US" w:eastAsia="zh-CN"/>
              </w:rPr>
              <w:t>、</w:t>
            </w:r>
            <w:r>
              <w:rPr>
                <w:rFonts w:hint="default" w:ascii="宋体" w:hAnsi="宋体" w:eastAsia="宋体"/>
                <w:sz w:val="24"/>
                <w:szCs w:val="24"/>
                <w:lang w:val="en-US" w:eastAsia="zh-CN"/>
              </w:rPr>
              <w:t>果实私募基金</w:t>
            </w:r>
            <w:r>
              <w:rPr>
                <w:rFonts w:hint="eastAsia" w:ascii="宋体" w:hAnsi="宋体"/>
                <w:sz w:val="24"/>
                <w:szCs w:val="24"/>
                <w:lang w:val="en-US" w:eastAsia="zh-CN"/>
              </w:rPr>
              <w:t>、</w:t>
            </w:r>
            <w:r>
              <w:rPr>
                <w:rFonts w:hint="default" w:ascii="宋体" w:hAnsi="宋体" w:eastAsia="宋体"/>
                <w:sz w:val="24"/>
                <w:szCs w:val="24"/>
                <w:lang w:val="en-US" w:eastAsia="zh-CN"/>
              </w:rPr>
              <w:t>谦信私募基金</w:t>
            </w:r>
            <w:r>
              <w:rPr>
                <w:rFonts w:hint="eastAsia" w:ascii="宋体" w:hAnsi="宋体"/>
                <w:sz w:val="24"/>
                <w:szCs w:val="24"/>
                <w:lang w:val="en-US" w:eastAsia="zh-CN"/>
              </w:rPr>
              <w:t>、</w:t>
            </w:r>
            <w:r>
              <w:rPr>
                <w:rFonts w:hint="default" w:ascii="宋体" w:hAnsi="宋体" w:eastAsia="宋体"/>
                <w:sz w:val="24"/>
                <w:szCs w:val="24"/>
                <w:lang w:val="en-US" w:eastAsia="zh-CN"/>
              </w:rPr>
              <w:t>颢升私募基金</w:t>
            </w:r>
            <w:r>
              <w:rPr>
                <w:rFonts w:hint="eastAsia" w:ascii="宋体" w:hAnsi="宋体"/>
                <w:sz w:val="24"/>
                <w:szCs w:val="24"/>
                <w:lang w:val="en-US" w:eastAsia="zh-CN"/>
              </w:rPr>
              <w:t>、</w:t>
            </w:r>
            <w:r>
              <w:rPr>
                <w:rFonts w:hint="default" w:ascii="宋体" w:hAnsi="宋体" w:eastAsia="宋体"/>
                <w:sz w:val="24"/>
                <w:szCs w:val="24"/>
                <w:lang w:val="en-US" w:eastAsia="zh-CN"/>
              </w:rPr>
              <w:t>合众资产</w:t>
            </w:r>
            <w:r>
              <w:rPr>
                <w:rFonts w:hint="eastAsia" w:ascii="宋体" w:hAnsi="宋体"/>
                <w:sz w:val="24"/>
                <w:szCs w:val="24"/>
                <w:lang w:val="en-US" w:eastAsia="zh-CN"/>
              </w:rPr>
              <w:t>、</w:t>
            </w:r>
            <w:r>
              <w:rPr>
                <w:rFonts w:hint="default" w:ascii="宋体" w:hAnsi="宋体" w:eastAsia="宋体"/>
                <w:sz w:val="24"/>
                <w:szCs w:val="24"/>
                <w:lang w:val="en-US" w:eastAsia="zh-CN"/>
              </w:rPr>
              <w:t>宏道投资</w:t>
            </w:r>
            <w:r>
              <w:rPr>
                <w:rFonts w:hint="eastAsia" w:ascii="宋体" w:hAnsi="宋体"/>
                <w:sz w:val="24"/>
                <w:szCs w:val="24"/>
                <w:lang w:val="en-US" w:eastAsia="zh-CN"/>
              </w:rPr>
              <w:t>、</w:t>
            </w:r>
            <w:r>
              <w:rPr>
                <w:rFonts w:hint="default" w:ascii="宋体" w:hAnsi="宋体" w:eastAsia="宋体"/>
                <w:sz w:val="24"/>
                <w:szCs w:val="24"/>
                <w:lang w:val="en-US" w:eastAsia="zh-CN"/>
              </w:rPr>
              <w:t>厚坡私募基金</w:t>
            </w:r>
            <w:r>
              <w:rPr>
                <w:rFonts w:hint="eastAsia" w:ascii="宋体" w:hAnsi="宋体"/>
                <w:sz w:val="24"/>
                <w:szCs w:val="24"/>
                <w:lang w:val="en-US" w:eastAsia="zh-CN"/>
              </w:rPr>
              <w:t>、</w:t>
            </w:r>
            <w:r>
              <w:rPr>
                <w:rFonts w:hint="default" w:ascii="宋体" w:hAnsi="宋体" w:eastAsia="宋体"/>
                <w:sz w:val="24"/>
                <w:szCs w:val="24"/>
                <w:lang w:val="en-US" w:eastAsia="zh-CN"/>
              </w:rPr>
              <w:t>华创证券</w:t>
            </w:r>
            <w:r>
              <w:rPr>
                <w:rFonts w:hint="eastAsia" w:ascii="宋体" w:hAnsi="宋体"/>
                <w:sz w:val="24"/>
                <w:szCs w:val="24"/>
                <w:lang w:val="en-US" w:eastAsia="zh-CN"/>
              </w:rPr>
              <w:t>、</w:t>
            </w:r>
            <w:r>
              <w:rPr>
                <w:rFonts w:hint="default" w:ascii="宋体" w:hAnsi="宋体" w:eastAsia="宋体"/>
                <w:sz w:val="24"/>
                <w:szCs w:val="24"/>
                <w:lang w:val="en-US" w:eastAsia="zh-CN"/>
              </w:rPr>
              <w:t>华福证券</w:t>
            </w:r>
            <w:r>
              <w:rPr>
                <w:rFonts w:hint="eastAsia" w:ascii="宋体" w:hAnsi="宋体"/>
                <w:sz w:val="24"/>
                <w:szCs w:val="24"/>
                <w:lang w:val="en-US" w:eastAsia="zh-CN"/>
              </w:rPr>
              <w:t>、</w:t>
            </w:r>
            <w:r>
              <w:rPr>
                <w:rFonts w:hint="default" w:ascii="宋体" w:hAnsi="宋体" w:eastAsia="宋体"/>
                <w:sz w:val="24"/>
                <w:szCs w:val="24"/>
                <w:lang w:val="en-US" w:eastAsia="zh-CN"/>
              </w:rPr>
              <w:t>华龙证券</w:t>
            </w:r>
            <w:r>
              <w:rPr>
                <w:rFonts w:hint="eastAsia" w:ascii="宋体" w:hAnsi="宋体"/>
                <w:sz w:val="24"/>
                <w:szCs w:val="24"/>
                <w:lang w:val="en-US" w:eastAsia="zh-CN"/>
              </w:rPr>
              <w:t>、</w:t>
            </w:r>
            <w:r>
              <w:rPr>
                <w:rFonts w:hint="default" w:ascii="宋体" w:hAnsi="宋体" w:eastAsia="宋体"/>
                <w:sz w:val="24"/>
                <w:szCs w:val="24"/>
                <w:lang w:val="en-US" w:eastAsia="zh-CN"/>
              </w:rPr>
              <w:t>华泰证券</w:t>
            </w:r>
            <w:r>
              <w:rPr>
                <w:rFonts w:hint="eastAsia" w:ascii="宋体" w:hAnsi="宋体"/>
                <w:sz w:val="24"/>
                <w:szCs w:val="24"/>
                <w:lang w:val="en-US" w:eastAsia="zh-CN"/>
              </w:rPr>
              <w:t>、</w:t>
            </w:r>
            <w:r>
              <w:rPr>
                <w:rFonts w:hint="default" w:ascii="宋体" w:hAnsi="宋体" w:eastAsia="宋体"/>
                <w:sz w:val="24"/>
                <w:szCs w:val="24"/>
                <w:lang w:val="en-US" w:eastAsia="zh-CN"/>
              </w:rPr>
              <w:t>华西证券</w:t>
            </w:r>
            <w:r>
              <w:rPr>
                <w:rFonts w:hint="eastAsia" w:ascii="宋体" w:hAnsi="宋体"/>
                <w:sz w:val="24"/>
                <w:szCs w:val="24"/>
                <w:lang w:val="en-US" w:eastAsia="zh-CN"/>
              </w:rPr>
              <w:t>、</w:t>
            </w:r>
            <w:r>
              <w:rPr>
                <w:rFonts w:hint="default" w:ascii="宋体" w:hAnsi="宋体" w:eastAsia="宋体"/>
                <w:sz w:val="24"/>
                <w:szCs w:val="24"/>
                <w:lang w:val="en-US" w:eastAsia="zh-CN"/>
              </w:rPr>
              <w:t>华鑫证券</w:t>
            </w:r>
            <w:r>
              <w:rPr>
                <w:rFonts w:hint="eastAsia" w:ascii="宋体" w:hAnsi="宋体"/>
                <w:sz w:val="24"/>
                <w:szCs w:val="24"/>
                <w:lang w:val="en-US" w:eastAsia="zh-CN"/>
              </w:rPr>
              <w:t>、</w:t>
            </w:r>
            <w:r>
              <w:rPr>
                <w:rFonts w:hint="default" w:ascii="宋体" w:hAnsi="宋体" w:eastAsia="宋体"/>
                <w:sz w:val="24"/>
                <w:szCs w:val="24"/>
                <w:lang w:val="en-US" w:eastAsia="zh-CN"/>
              </w:rPr>
              <w:t>环球富盛理财</w:t>
            </w:r>
            <w:r>
              <w:rPr>
                <w:rFonts w:hint="eastAsia" w:ascii="宋体" w:hAnsi="宋体"/>
                <w:sz w:val="24"/>
                <w:szCs w:val="24"/>
                <w:lang w:val="en-US" w:eastAsia="zh-CN"/>
              </w:rPr>
              <w:t>、</w:t>
            </w:r>
            <w:r>
              <w:rPr>
                <w:rFonts w:hint="default" w:ascii="宋体" w:hAnsi="宋体" w:eastAsia="宋体"/>
                <w:sz w:val="24"/>
                <w:szCs w:val="24"/>
                <w:lang w:val="en-US" w:eastAsia="zh-CN"/>
              </w:rPr>
              <w:t>汇丰晋信基金</w:t>
            </w:r>
            <w:r>
              <w:rPr>
                <w:rFonts w:hint="eastAsia" w:ascii="宋体" w:hAnsi="宋体"/>
                <w:sz w:val="24"/>
                <w:szCs w:val="24"/>
                <w:lang w:val="en-US" w:eastAsia="zh-CN"/>
              </w:rPr>
              <w:t>、</w:t>
            </w:r>
            <w:r>
              <w:rPr>
                <w:rFonts w:hint="default" w:ascii="宋体" w:hAnsi="宋体" w:eastAsia="宋体"/>
                <w:sz w:val="24"/>
                <w:szCs w:val="24"/>
                <w:lang w:val="en-US" w:eastAsia="zh-CN"/>
              </w:rPr>
              <w:t>嘉世私募基金</w:t>
            </w:r>
            <w:r>
              <w:rPr>
                <w:rFonts w:hint="eastAsia" w:ascii="宋体" w:hAnsi="宋体"/>
                <w:sz w:val="24"/>
                <w:szCs w:val="24"/>
                <w:lang w:val="en-US" w:eastAsia="zh-CN"/>
              </w:rPr>
              <w:t>、</w:t>
            </w:r>
            <w:r>
              <w:rPr>
                <w:rFonts w:hint="default" w:ascii="宋体" w:hAnsi="宋体" w:eastAsia="宋体"/>
                <w:sz w:val="24"/>
                <w:szCs w:val="24"/>
                <w:lang w:val="en-US" w:eastAsia="zh-CN"/>
              </w:rPr>
              <w:t>嘉泽私募基金</w:t>
            </w:r>
            <w:r>
              <w:rPr>
                <w:rFonts w:hint="eastAsia" w:ascii="宋体" w:hAnsi="宋体"/>
                <w:sz w:val="24"/>
                <w:szCs w:val="24"/>
                <w:lang w:val="en-US" w:eastAsia="zh-CN"/>
              </w:rPr>
              <w:t>、</w:t>
            </w:r>
            <w:r>
              <w:rPr>
                <w:rFonts w:hint="default" w:ascii="宋体" w:hAnsi="宋体" w:eastAsia="宋体"/>
                <w:sz w:val="24"/>
                <w:szCs w:val="24"/>
                <w:lang w:val="en-US" w:eastAsia="zh-CN"/>
              </w:rPr>
              <w:t>建信金融资产投资</w:t>
            </w:r>
            <w:r>
              <w:rPr>
                <w:rFonts w:hint="eastAsia" w:ascii="宋体" w:hAnsi="宋体"/>
                <w:sz w:val="24"/>
                <w:szCs w:val="24"/>
                <w:lang w:val="en-US" w:eastAsia="zh-CN"/>
              </w:rPr>
              <w:t>、</w:t>
            </w:r>
            <w:r>
              <w:rPr>
                <w:rFonts w:hint="default" w:ascii="宋体" w:hAnsi="宋体" w:eastAsia="宋体"/>
                <w:sz w:val="24"/>
                <w:szCs w:val="24"/>
                <w:lang w:val="en-US" w:eastAsia="zh-CN"/>
              </w:rPr>
              <w:t>金新私募基金</w:t>
            </w:r>
            <w:r>
              <w:rPr>
                <w:rFonts w:hint="eastAsia" w:ascii="宋体" w:hAnsi="宋体"/>
                <w:sz w:val="24"/>
                <w:szCs w:val="24"/>
                <w:lang w:val="en-US" w:eastAsia="zh-CN"/>
              </w:rPr>
              <w:t>、</w:t>
            </w:r>
            <w:r>
              <w:rPr>
                <w:rFonts w:hint="default" w:ascii="宋体" w:hAnsi="宋体" w:eastAsia="宋体"/>
                <w:sz w:val="24"/>
                <w:szCs w:val="24"/>
                <w:lang w:val="en-US" w:eastAsia="zh-CN"/>
              </w:rPr>
              <w:t>金之灏基金</w:t>
            </w:r>
            <w:r>
              <w:rPr>
                <w:rFonts w:hint="eastAsia" w:ascii="宋体" w:hAnsi="宋体"/>
                <w:sz w:val="24"/>
                <w:szCs w:val="24"/>
                <w:lang w:val="en-US" w:eastAsia="zh-CN"/>
              </w:rPr>
              <w:t>、</w:t>
            </w:r>
            <w:r>
              <w:rPr>
                <w:rFonts w:hint="default" w:ascii="宋体" w:hAnsi="宋体" w:eastAsia="宋体"/>
                <w:sz w:val="24"/>
                <w:szCs w:val="24"/>
                <w:lang w:val="en-US" w:eastAsia="zh-CN"/>
              </w:rPr>
              <w:t>君心盈泰投资</w:t>
            </w:r>
            <w:r>
              <w:rPr>
                <w:rFonts w:hint="eastAsia" w:ascii="宋体" w:hAnsi="宋体"/>
                <w:sz w:val="24"/>
                <w:szCs w:val="24"/>
                <w:lang w:val="en-US" w:eastAsia="zh-CN"/>
              </w:rPr>
              <w:t>、</w:t>
            </w:r>
            <w:r>
              <w:rPr>
                <w:rFonts w:hint="default" w:ascii="宋体" w:hAnsi="宋体" w:eastAsia="宋体"/>
                <w:sz w:val="24"/>
                <w:szCs w:val="24"/>
                <w:lang w:val="en-US" w:eastAsia="zh-CN"/>
              </w:rPr>
              <w:t>开源证券</w:t>
            </w:r>
            <w:r>
              <w:rPr>
                <w:rFonts w:hint="eastAsia" w:ascii="宋体" w:hAnsi="宋体"/>
                <w:sz w:val="24"/>
                <w:szCs w:val="24"/>
                <w:lang w:val="en-US" w:eastAsia="zh-CN"/>
              </w:rPr>
              <w:t>、</w:t>
            </w:r>
            <w:r>
              <w:rPr>
                <w:rFonts w:hint="default" w:ascii="宋体" w:hAnsi="宋体" w:eastAsia="宋体"/>
                <w:sz w:val="24"/>
                <w:szCs w:val="24"/>
                <w:lang w:val="en-US" w:eastAsia="zh-CN"/>
              </w:rPr>
              <w:t>凯丰投资</w:t>
            </w:r>
            <w:r>
              <w:rPr>
                <w:rFonts w:hint="eastAsia" w:ascii="宋体" w:hAnsi="宋体"/>
                <w:sz w:val="24"/>
                <w:szCs w:val="24"/>
                <w:lang w:val="en-US" w:eastAsia="zh-CN"/>
              </w:rPr>
              <w:t>、</w:t>
            </w:r>
            <w:r>
              <w:rPr>
                <w:rFonts w:hint="default" w:ascii="宋体" w:hAnsi="宋体" w:eastAsia="宋体"/>
                <w:sz w:val="24"/>
                <w:szCs w:val="24"/>
                <w:lang w:val="en-US" w:eastAsia="zh-CN"/>
              </w:rPr>
              <w:t>理成资产</w:t>
            </w:r>
            <w:r>
              <w:rPr>
                <w:rFonts w:hint="eastAsia" w:ascii="宋体" w:hAnsi="宋体"/>
                <w:sz w:val="24"/>
                <w:szCs w:val="24"/>
                <w:lang w:val="en-US" w:eastAsia="zh-CN"/>
              </w:rPr>
              <w:t>、</w:t>
            </w:r>
            <w:r>
              <w:rPr>
                <w:rFonts w:hint="default" w:ascii="宋体" w:hAnsi="宋体" w:eastAsia="宋体"/>
                <w:sz w:val="24"/>
                <w:szCs w:val="24"/>
                <w:lang w:val="en-US" w:eastAsia="zh-CN"/>
              </w:rPr>
              <w:t>六禾致谦私募基金</w:t>
            </w:r>
            <w:r>
              <w:rPr>
                <w:rFonts w:hint="eastAsia" w:ascii="宋体" w:hAnsi="宋体"/>
                <w:sz w:val="24"/>
                <w:szCs w:val="24"/>
                <w:lang w:val="en-US" w:eastAsia="zh-CN"/>
              </w:rPr>
              <w:t>、</w:t>
            </w:r>
            <w:r>
              <w:rPr>
                <w:rFonts w:hint="default" w:ascii="宋体" w:hAnsi="宋体" w:eastAsia="宋体"/>
                <w:sz w:val="24"/>
                <w:szCs w:val="24"/>
                <w:lang w:val="en-US" w:eastAsia="zh-CN"/>
              </w:rPr>
              <w:t>米牛投资</w:t>
            </w:r>
            <w:r>
              <w:rPr>
                <w:rFonts w:hint="eastAsia" w:ascii="宋体" w:hAnsi="宋体"/>
                <w:sz w:val="24"/>
                <w:szCs w:val="24"/>
                <w:lang w:val="en-US" w:eastAsia="zh-CN"/>
              </w:rPr>
              <w:t>、</w:t>
            </w:r>
            <w:r>
              <w:rPr>
                <w:rFonts w:hint="default" w:ascii="宋体" w:hAnsi="宋体" w:eastAsia="宋体"/>
                <w:sz w:val="24"/>
                <w:szCs w:val="24"/>
                <w:lang w:val="en-US" w:eastAsia="zh-CN"/>
              </w:rPr>
              <w:t>民生证券</w:t>
            </w:r>
            <w:r>
              <w:rPr>
                <w:rFonts w:hint="eastAsia" w:ascii="宋体" w:hAnsi="宋体"/>
                <w:sz w:val="24"/>
                <w:szCs w:val="24"/>
                <w:lang w:val="en-US" w:eastAsia="zh-CN"/>
              </w:rPr>
              <w:t>、</w:t>
            </w:r>
            <w:r>
              <w:rPr>
                <w:rFonts w:hint="default" w:ascii="宋体" w:hAnsi="宋体" w:eastAsia="宋体"/>
                <w:sz w:val="24"/>
                <w:szCs w:val="24"/>
                <w:lang w:val="en-US" w:eastAsia="zh-CN"/>
              </w:rPr>
              <w:t>南方工业资产</w:t>
            </w:r>
            <w:r>
              <w:rPr>
                <w:rFonts w:hint="eastAsia" w:ascii="宋体" w:hAnsi="宋体"/>
                <w:sz w:val="24"/>
                <w:szCs w:val="24"/>
                <w:lang w:val="en-US" w:eastAsia="zh-CN"/>
              </w:rPr>
              <w:t>、</w:t>
            </w:r>
            <w:r>
              <w:rPr>
                <w:rFonts w:hint="default" w:ascii="宋体" w:hAnsi="宋体" w:eastAsia="宋体"/>
                <w:sz w:val="24"/>
                <w:szCs w:val="24"/>
                <w:lang w:val="en-US" w:eastAsia="zh-CN"/>
              </w:rPr>
              <w:t>平安证券</w:t>
            </w:r>
            <w:r>
              <w:rPr>
                <w:rFonts w:hint="eastAsia" w:ascii="宋体" w:hAnsi="宋体"/>
                <w:sz w:val="24"/>
                <w:szCs w:val="24"/>
                <w:lang w:val="en-US" w:eastAsia="zh-CN"/>
              </w:rPr>
              <w:t>、</w:t>
            </w:r>
            <w:r>
              <w:rPr>
                <w:rFonts w:hint="default" w:ascii="宋体" w:hAnsi="宋体" w:eastAsia="宋体"/>
                <w:sz w:val="24"/>
                <w:szCs w:val="24"/>
                <w:lang w:val="en-US" w:eastAsia="zh-CN"/>
              </w:rPr>
              <w:t>前海汇杰达理资本</w:t>
            </w:r>
            <w:r>
              <w:rPr>
                <w:rFonts w:hint="eastAsia" w:ascii="宋体" w:hAnsi="宋体"/>
                <w:sz w:val="24"/>
                <w:szCs w:val="24"/>
                <w:lang w:val="en-US" w:eastAsia="zh-CN"/>
              </w:rPr>
              <w:t>、</w:t>
            </w:r>
            <w:r>
              <w:rPr>
                <w:rFonts w:hint="default" w:ascii="宋体" w:hAnsi="宋体" w:eastAsia="宋体"/>
                <w:sz w:val="24"/>
                <w:szCs w:val="24"/>
                <w:lang w:val="en-US" w:eastAsia="zh-CN"/>
              </w:rPr>
              <w:t>泉果基金</w:t>
            </w:r>
            <w:r>
              <w:rPr>
                <w:rFonts w:hint="eastAsia" w:ascii="宋体" w:hAnsi="宋体"/>
                <w:sz w:val="24"/>
                <w:szCs w:val="24"/>
                <w:lang w:val="en-US" w:eastAsia="zh-CN"/>
              </w:rPr>
              <w:t>、</w:t>
            </w:r>
            <w:r>
              <w:rPr>
                <w:rFonts w:hint="default" w:ascii="宋体" w:hAnsi="宋体" w:eastAsia="宋体"/>
                <w:sz w:val="24"/>
                <w:szCs w:val="24"/>
                <w:lang w:val="en-US" w:eastAsia="zh-CN"/>
              </w:rPr>
              <w:t>荣晟私募基金</w:t>
            </w:r>
            <w:r>
              <w:rPr>
                <w:rFonts w:hint="eastAsia" w:ascii="宋体" w:hAnsi="宋体"/>
                <w:sz w:val="24"/>
                <w:szCs w:val="24"/>
                <w:lang w:val="en-US" w:eastAsia="zh-CN"/>
              </w:rPr>
              <w:t>、</w:t>
            </w:r>
            <w:r>
              <w:rPr>
                <w:rFonts w:hint="default" w:ascii="宋体" w:hAnsi="宋体" w:eastAsia="宋体"/>
                <w:sz w:val="24"/>
                <w:szCs w:val="24"/>
                <w:lang w:val="en-US" w:eastAsia="zh-CN"/>
              </w:rPr>
              <w:t>融通基金</w:t>
            </w:r>
            <w:r>
              <w:rPr>
                <w:rFonts w:hint="eastAsia" w:ascii="宋体" w:hAnsi="宋体"/>
                <w:sz w:val="24"/>
                <w:szCs w:val="24"/>
                <w:lang w:val="en-US" w:eastAsia="zh-CN"/>
              </w:rPr>
              <w:t>、</w:t>
            </w:r>
            <w:r>
              <w:rPr>
                <w:rFonts w:hint="default" w:ascii="宋体" w:hAnsi="宋体" w:eastAsia="宋体"/>
                <w:sz w:val="24"/>
                <w:szCs w:val="24"/>
                <w:lang w:val="en-US" w:eastAsia="zh-CN"/>
              </w:rPr>
              <w:t>瑞民私募</w:t>
            </w:r>
            <w:r>
              <w:rPr>
                <w:rFonts w:hint="eastAsia" w:ascii="宋体" w:hAnsi="宋体"/>
                <w:sz w:val="24"/>
                <w:szCs w:val="24"/>
                <w:lang w:val="en-US" w:eastAsia="zh-CN"/>
              </w:rPr>
              <w:t>、</w:t>
            </w:r>
            <w:r>
              <w:rPr>
                <w:rFonts w:hint="default" w:ascii="宋体" w:hAnsi="宋体" w:eastAsia="宋体"/>
                <w:sz w:val="24"/>
                <w:szCs w:val="24"/>
                <w:lang w:val="en-US" w:eastAsia="zh-CN"/>
              </w:rPr>
              <w:t>瑞生私募</w:t>
            </w:r>
            <w:r>
              <w:rPr>
                <w:rFonts w:hint="eastAsia" w:ascii="宋体" w:hAnsi="宋体"/>
                <w:sz w:val="24"/>
                <w:szCs w:val="24"/>
                <w:lang w:val="en-US" w:eastAsia="zh-CN"/>
              </w:rPr>
              <w:t>、</w:t>
            </w:r>
            <w:r>
              <w:rPr>
                <w:rFonts w:hint="default" w:ascii="宋体" w:hAnsi="宋体" w:eastAsia="宋体"/>
                <w:sz w:val="24"/>
                <w:szCs w:val="24"/>
                <w:lang w:val="en-US" w:eastAsia="zh-CN"/>
              </w:rPr>
              <w:t>瑞银集团</w:t>
            </w:r>
            <w:r>
              <w:rPr>
                <w:rFonts w:hint="eastAsia" w:ascii="宋体" w:hAnsi="宋体"/>
                <w:sz w:val="24"/>
                <w:szCs w:val="24"/>
                <w:lang w:val="en-US" w:eastAsia="zh-CN"/>
              </w:rPr>
              <w:t>、</w:t>
            </w:r>
            <w:r>
              <w:rPr>
                <w:rFonts w:hint="default" w:ascii="宋体" w:hAnsi="宋体" w:eastAsia="宋体"/>
                <w:sz w:val="24"/>
                <w:szCs w:val="24"/>
                <w:lang w:val="en-US" w:eastAsia="zh-CN"/>
              </w:rPr>
              <w:t>睿德信投资集团</w:t>
            </w:r>
            <w:r>
              <w:rPr>
                <w:rFonts w:hint="eastAsia" w:ascii="宋体" w:hAnsi="宋体"/>
                <w:sz w:val="24"/>
                <w:szCs w:val="24"/>
                <w:lang w:val="en-US" w:eastAsia="zh-CN"/>
              </w:rPr>
              <w:t>、</w:t>
            </w:r>
            <w:r>
              <w:rPr>
                <w:rFonts w:hint="default" w:ascii="宋体" w:hAnsi="宋体" w:eastAsia="宋体"/>
                <w:sz w:val="24"/>
                <w:szCs w:val="24"/>
                <w:lang w:val="en-US" w:eastAsia="zh-CN"/>
              </w:rPr>
              <w:t>三商资产</w:t>
            </w:r>
            <w:r>
              <w:rPr>
                <w:rFonts w:hint="eastAsia" w:ascii="宋体" w:hAnsi="宋体"/>
                <w:sz w:val="24"/>
                <w:szCs w:val="24"/>
                <w:lang w:val="en-US" w:eastAsia="zh-CN"/>
              </w:rPr>
              <w:t>、</w:t>
            </w:r>
            <w:r>
              <w:rPr>
                <w:rFonts w:hint="default" w:ascii="宋体" w:hAnsi="宋体" w:eastAsia="宋体"/>
                <w:sz w:val="24"/>
                <w:szCs w:val="24"/>
                <w:lang w:val="en-US" w:eastAsia="zh-CN"/>
              </w:rPr>
              <w:t>盛曦投资</w:t>
            </w:r>
            <w:r>
              <w:rPr>
                <w:rFonts w:hint="eastAsia" w:ascii="宋体" w:hAnsi="宋体"/>
                <w:sz w:val="24"/>
                <w:szCs w:val="24"/>
                <w:lang w:val="en-US" w:eastAsia="zh-CN"/>
              </w:rPr>
              <w:t>、</w:t>
            </w:r>
            <w:r>
              <w:rPr>
                <w:rFonts w:hint="default" w:ascii="宋体" w:hAnsi="宋体" w:eastAsia="宋体"/>
                <w:sz w:val="24"/>
                <w:szCs w:val="24"/>
                <w:lang w:val="en-US" w:eastAsia="zh-CN"/>
              </w:rPr>
              <w:t>盛宇股权投资</w:t>
            </w:r>
            <w:r>
              <w:rPr>
                <w:rFonts w:hint="eastAsia" w:ascii="宋体" w:hAnsi="宋体"/>
                <w:sz w:val="24"/>
                <w:szCs w:val="24"/>
                <w:lang w:val="en-US" w:eastAsia="zh-CN"/>
              </w:rPr>
              <w:t>、</w:t>
            </w:r>
            <w:r>
              <w:rPr>
                <w:rFonts w:hint="default" w:ascii="宋体" w:hAnsi="宋体" w:eastAsia="宋体"/>
                <w:sz w:val="24"/>
                <w:szCs w:val="24"/>
                <w:lang w:val="en-US" w:eastAsia="zh-CN"/>
              </w:rPr>
              <w:t>世嘉控股</w:t>
            </w:r>
            <w:r>
              <w:rPr>
                <w:rFonts w:hint="eastAsia" w:ascii="宋体" w:hAnsi="宋体"/>
                <w:sz w:val="24"/>
                <w:szCs w:val="24"/>
                <w:lang w:val="en-US" w:eastAsia="zh-CN"/>
              </w:rPr>
              <w:t>、</w:t>
            </w:r>
            <w:r>
              <w:rPr>
                <w:rFonts w:hint="default" w:ascii="宋体" w:hAnsi="宋体" w:eastAsia="宋体"/>
                <w:sz w:val="24"/>
                <w:szCs w:val="24"/>
                <w:lang w:val="en-US" w:eastAsia="zh-CN"/>
              </w:rPr>
              <w:t>苏州龙远投资</w:t>
            </w:r>
            <w:r>
              <w:rPr>
                <w:rFonts w:hint="eastAsia" w:ascii="宋体" w:hAnsi="宋体"/>
                <w:sz w:val="24"/>
                <w:szCs w:val="24"/>
                <w:lang w:val="en-US" w:eastAsia="zh-CN"/>
              </w:rPr>
              <w:t>、</w:t>
            </w:r>
            <w:r>
              <w:rPr>
                <w:rFonts w:hint="default" w:ascii="宋体" w:hAnsi="宋体" w:eastAsia="宋体"/>
                <w:sz w:val="24"/>
                <w:szCs w:val="24"/>
                <w:lang w:val="en-US" w:eastAsia="zh-CN"/>
              </w:rPr>
              <w:t>素本投资</w:t>
            </w:r>
            <w:r>
              <w:rPr>
                <w:rFonts w:hint="eastAsia" w:ascii="宋体" w:hAnsi="宋体"/>
                <w:sz w:val="24"/>
                <w:szCs w:val="24"/>
                <w:lang w:val="en-US" w:eastAsia="zh-CN"/>
              </w:rPr>
              <w:t>、</w:t>
            </w:r>
            <w:r>
              <w:rPr>
                <w:rFonts w:hint="default" w:ascii="宋体" w:hAnsi="宋体" w:eastAsia="宋体"/>
                <w:sz w:val="24"/>
                <w:szCs w:val="24"/>
                <w:lang w:val="en-US" w:eastAsia="zh-CN"/>
              </w:rPr>
              <w:t>太平国发</w:t>
            </w:r>
            <w:r>
              <w:rPr>
                <w:rFonts w:hint="eastAsia" w:ascii="宋体" w:hAnsi="宋体"/>
                <w:sz w:val="24"/>
                <w:szCs w:val="24"/>
                <w:lang w:val="en-US" w:eastAsia="zh-CN"/>
              </w:rPr>
              <w:t>、</w:t>
            </w:r>
            <w:r>
              <w:rPr>
                <w:rFonts w:hint="default" w:ascii="宋体" w:hAnsi="宋体" w:eastAsia="宋体"/>
                <w:sz w:val="24"/>
                <w:szCs w:val="24"/>
                <w:lang w:val="en-US" w:eastAsia="zh-CN"/>
              </w:rPr>
              <w:t>太平洋证券</w:t>
            </w:r>
            <w:r>
              <w:rPr>
                <w:rFonts w:hint="eastAsia" w:ascii="宋体" w:hAnsi="宋体"/>
                <w:sz w:val="24"/>
                <w:szCs w:val="24"/>
                <w:lang w:val="en-US" w:eastAsia="zh-CN"/>
              </w:rPr>
              <w:t>、</w:t>
            </w:r>
            <w:r>
              <w:rPr>
                <w:rFonts w:hint="default" w:ascii="宋体" w:hAnsi="宋体" w:eastAsia="宋体"/>
                <w:sz w:val="24"/>
                <w:szCs w:val="24"/>
                <w:lang w:val="en-US" w:eastAsia="zh-CN"/>
              </w:rPr>
              <w:t>天风证券</w:t>
            </w:r>
            <w:r>
              <w:rPr>
                <w:rFonts w:hint="eastAsia" w:ascii="宋体" w:hAnsi="宋体"/>
                <w:sz w:val="24"/>
                <w:szCs w:val="24"/>
                <w:lang w:val="en-US" w:eastAsia="zh-CN"/>
              </w:rPr>
              <w:t>、</w:t>
            </w:r>
            <w:r>
              <w:rPr>
                <w:rFonts w:hint="default" w:ascii="宋体" w:hAnsi="宋体" w:eastAsia="宋体"/>
                <w:sz w:val="24"/>
                <w:szCs w:val="24"/>
                <w:lang w:val="en-US" w:eastAsia="zh-CN"/>
              </w:rPr>
              <w:t>统一证券</w:t>
            </w:r>
            <w:r>
              <w:rPr>
                <w:rFonts w:hint="eastAsia" w:ascii="宋体" w:hAnsi="宋体"/>
                <w:sz w:val="24"/>
                <w:szCs w:val="24"/>
                <w:lang w:val="en-US" w:eastAsia="zh-CN"/>
              </w:rPr>
              <w:t>、</w:t>
            </w:r>
            <w:r>
              <w:rPr>
                <w:rFonts w:hint="default" w:ascii="宋体" w:hAnsi="宋体" w:eastAsia="宋体"/>
                <w:sz w:val="24"/>
                <w:szCs w:val="24"/>
                <w:lang w:val="en-US" w:eastAsia="zh-CN"/>
              </w:rPr>
              <w:t>万家基金</w:t>
            </w:r>
            <w:r>
              <w:rPr>
                <w:rFonts w:hint="eastAsia" w:ascii="宋体" w:hAnsi="宋体"/>
                <w:sz w:val="24"/>
                <w:szCs w:val="24"/>
                <w:lang w:val="en-US" w:eastAsia="zh-CN"/>
              </w:rPr>
              <w:t>、</w:t>
            </w:r>
            <w:r>
              <w:rPr>
                <w:rFonts w:hint="default" w:ascii="宋体" w:hAnsi="宋体" w:eastAsia="宋体"/>
                <w:sz w:val="24"/>
                <w:szCs w:val="24"/>
                <w:lang w:val="en-US" w:eastAsia="zh-CN"/>
              </w:rPr>
              <w:t>西部证券</w:t>
            </w:r>
            <w:r>
              <w:rPr>
                <w:rFonts w:hint="eastAsia" w:ascii="宋体" w:hAnsi="宋体"/>
                <w:sz w:val="24"/>
                <w:szCs w:val="24"/>
                <w:lang w:val="en-US" w:eastAsia="zh-CN"/>
              </w:rPr>
              <w:t>、</w:t>
            </w:r>
            <w:r>
              <w:rPr>
                <w:rFonts w:hint="default" w:ascii="宋体" w:hAnsi="宋体" w:eastAsia="宋体"/>
                <w:sz w:val="24"/>
                <w:szCs w:val="24"/>
                <w:lang w:val="en-US" w:eastAsia="zh-CN"/>
              </w:rPr>
              <w:t>西藏信托</w:t>
            </w:r>
            <w:r>
              <w:rPr>
                <w:rFonts w:hint="eastAsia" w:ascii="宋体" w:hAnsi="宋体"/>
                <w:sz w:val="24"/>
                <w:szCs w:val="24"/>
                <w:lang w:val="en-US" w:eastAsia="zh-CN"/>
              </w:rPr>
              <w:t>、</w:t>
            </w:r>
            <w:r>
              <w:rPr>
                <w:rFonts w:hint="default" w:ascii="宋体" w:hAnsi="宋体" w:eastAsia="宋体"/>
                <w:sz w:val="24"/>
                <w:szCs w:val="24"/>
                <w:lang w:val="en-US" w:eastAsia="zh-CN"/>
              </w:rPr>
              <w:t>西南证券</w:t>
            </w:r>
            <w:r>
              <w:rPr>
                <w:rFonts w:hint="eastAsia" w:ascii="宋体" w:hAnsi="宋体"/>
                <w:sz w:val="24"/>
                <w:szCs w:val="24"/>
                <w:lang w:val="en-US" w:eastAsia="zh-CN"/>
              </w:rPr>
              <w:t>、</w:t>
            </w:r>
            <w:r>
              <w:rPr>
                <w:rFonts w:hint="default" w:ascii="宋体" w:hAnsi="宋体" w:eastAsia="宋体"/>
                <w:sz w:val="24"/>
                <w:szCs w:val="24"/>
                <w:lang w:val="en-US" w:eastAsia="zh-CN"/>
              </w:rPr>
              <w:t>湘财证券</w:t>
            </w:r>
            <w:r>
              <w:rPr>
                <w:rFonts w:hint="eastAsia" w:ascii="宋体" w:hAnsi="宋体"/>
                <w:sz w:val="24"/>
                <w:szCs w:val="24"/>
                <w:lang w:val="en-US" w:eastAsia="zh-CN"/>
              </w:rPr>
              <w:t>、</w:t>
            </w:r>
            <w:r>
              <w:rPr>
                <w:rFonts w:hint="default" w:ascii="宋体" w:hAnsi="宋体" w:eastAsia="宋体"/>
                <w:sz w:val="24"/>
                <w:szCs w:val="24"/>
                <w:lang w:val="en-US" w:eastAsia="zh-CN"/>
              </w:rPr>
              <w:t>新华资产</w:t>
            </w:r>
            <w:r>
              <w:rPr>
                <w:rFonts w:hint="eastAsia" w:ascii="宋体" w:hAnsi="宋体"/>
                <w:sz w:val="24"/>
                <w:szCs w:val="24"/>
                <w:lang w:val="en-US" w:eastAsia="zh-CN"/>
              </w:rPr>
              <w:t>、</w:t>
            </w:r>
            <w:r>
              <w:rPr>
                <w:rFonts w:hint="default" w:ascii="宋体" w:hAnsi="宋体" w:eastAsia="宋体"/>
                <w:sz w:val="24"/>
                <w:szCs w:val="24"/>
                <w:lang w:val="en-US" w:eastAsia="zh-CN"/>
              </w:rPr>
              <w:t>新活力资本</w:t>
            </w:r>
            <w:r>
              <w:rPr>
                <w:rFonts w:hint="eastAsia" w:ascii="宋体" w:hAnsi="宋体"/>
                <w:sz w:val="24"/>
                <w:szCs w:val="24"/>
                <w:lang w:val="en-US" w:eastAsia="zh-CN"/>
              </w:rPr>
              <w:t>、</w:t>
            </w:r>
            <w:r>
              <w:rPr>
                <w:rFonts w:hint="default" w:ascii="宋体" w:hAnsi="宋体" w:eastAsia="宋体"/>
                <w:sz w:val="24"/>
                <w:szCs w:val="24"/>
                <w:lang w:val="en-US" w:eastAsia="zh-CN"/>
              </w:rPr>
              <w:t>兴业证券</w:t>
            </w:r>
            <w:r>
              <w:rPr>
                <w:rFonts w:hint="eastAsia" w:ascii="宋体" w:hAnsi="宋体"/>
                <w:sz w:val="24"/>
                <w:szCs w:val="24"/>
                <w:lang w:val="en-US" w:eastAsia="zh-CN"/>
              </w:rPr>
              <w:t>、</w:t>
            </w:r>
            <w:r>
              <w:rPr>
                <w:rFonts w:hint="default" w:ascii="宋体" w:hAnsi="宋体" w:eastAsia="宋体"/>
                <w:sz w:val="24"/>
                <w:szCs w:val="24"/>
                <w:lang w:val="en-US" w:eastAsia="zh-CN"/>
              </w:rPr>
              <w:t>永赢基金</w:t>
            </w:r>
            <w:r>
              <w:rPr>
                <w:rFonts w:hint="eastAsia" w:ascii="宋体" w:hAnsi="宋体"/>
                <w:sz w:val="24"/>
                <w:szCs w:val="24"/>
                <w:lang w:val="en-US" w:eastAsia="zh-CN"/>
              </w:rPr>
              <w:t>、</w:t>
            </w:r>
            <w:r>
              <w:rPr>
                <w:rFonts w:hint="default" w:ascii="宋体" w:hAnsi="宋体" w:eastAsia="宋体"/>
                <w:sz w:val="24"/>
                <w:szCs w:val="24"/>
                <w:lang w:val="en-US" w:eastAsia="zh-CN"/>
              </w:rPr>
              <w:t>甬兴证券</w:t>
            </w:r>
            <w:r>
              <w:rPr>
                <w:rFonts w:hint="eastAsia" w:ascii="宋体" w:hAnsi="宋体"/>
                <w:sz w:val="24"/>
                <w:szCs w:val="24"/>
                <w:lang w:val="en-US" w:eastAsia="zh-CN"/>
              </w:rPr>
              <w:t>、</w:t>
            </w:r>
            <w:r>
              <w:rPr>
                <w:rFonts w:hint="default" w:ascii="宋体" w:hAnsi="宋体" w:eastAsia="宋体"/>
                <w:sz w:val="24"/>
                <w:szCs w:val="24"/>
                <w:lang w:val="en-US" w:eastAsia="zh-CN"/>
              </w:rPr>
              <w:t>长城证券</w:t>
            </w:r>
            <w:r>
              <w:rPr>
                <w:rFonts w:hint="eastAsia" w:ascii="宋体" w:hAnsi="宋体"/>
                <w:sz w:val="24"/>
                <w:szCs w:val="24"/>
                <w:lang w:val="en-US" w:eastAsia="zh-CN"/>
              </w:rPr>
              <w:t>、</w:t>
            </w:r>
            <w:r>
              <w:rPr>
                <w:rFonts w:hint="default" w:ascii="宋体" w:hAnsi="宋体" w:eastAsia="宋体"/>
                <w:sz w:val="24"/>
                <w:szCs w:val="24"/>
                <w:lang w:val="en-US" w:eastAsia="zh-CN"/>
              </w:rPr>
              <w:t>长江证券</w:t>
            </w:r>
            <w:r>
              <w:rPr>
                <w:rFonts w:hint="eastAsia" w:ascii="宋体" w:hAnsi="宋体"/>
                <w:sz w:val="24"/>
                <w:szCs w:val="24"/>
                <w:lang w:val="en-US" w:eastAsia="zh-CN"/>
              </w:rPr>
              <w:t>、</w:t>
            </w:r>
            <w:r>
              <w:rPr>
                <w:rFonts w:hint="default" w:ascii="宋体" w:hAnsi="宋体" w:eastAsia="宋体"/>
                <w:sz w:val="24"/>
                <w:szCs w:val="24"/>
                <w:lang w:val="en-US" w:eastAsia="zh-CN"/>
              </w:rPr>
              <w:t>招商基金</w:t>
            </w:r>
            <w:r>
              <w:rPr>
                <w:rFonts w:hint="eastAsia" w:ascii="宋体" w:hAnsi="宋体"/>
                <w:sz w:val="24"/>
                <w:szCs w:val="24"/>
                <w:lang w:val="en-US" w:eastAsia="zh-CN"/>
              </w:rPr>
              <w:t>、</w:t>
            </w:r>
            <w:r>
              <w:rPr>
                <w:rFonts w:hint="default" w:ascii="宋体" w:hAnsi="宋体" w:eastAsia="宋体"/>
                <w:sz w:val="24"/>
                <w:szCs w:val="24"/>
                <w:lang w:val="en-US" w:eastAsia="zh-CN"/>
              </w:rPr>
              <w:t>招商证券</w:t>
            </w:r>
            <w:r>
              <w:rPr>
                <w:rFonts w:hint="eastAsia" w:ascii="宋体" w:hAnsi="宋体"/>
                <w:sz w:val="24"/>
                <w:szCs w:val="24"/>
                <w:lang w:val="en-US" w:eastAsia="zh-CN"/>
              </w:rPr>
              <w:t>、</w:t>
            </w:r>
            <w:r>
              <w:rPr>
                <w:rFonts w:hint="default" w:ascii="宋体" w:hAnsi="宋体" w:eastAsia="宋体"/>
                <w:sz w:val="24"/>
                <w:szCs w:val="24"/>
                <w:lang w:val="en-US" w:eastAsia="zh-CN"/>
              </w:rPr>
              <w:t>至璞资产</w:t>
            </w:r>
            <w:r>
              <w:rPr>
                <w:rFonts w:hint="eastAsia" w:ascii="宋体" w:hAnsi="宋体"/>
                <w:sz w:val="24"/>
                <w:szCs w:val="24"/>
                <w:lang w:val="en-US" w:eastAsia="zh-CN"/>
              </w:rPr>
              <w:t>、</w:t>
            </w:r>
            <w:r>
              <w:rPr>
                <w:rFonts w:hint="default" w:ascii="宋体" w:hAnsi="宋体" w:eastAsia="宋体"/>
                <w:sz w:val="24"/>
                <w:szCs w:val="24"/>
                <w:lang w:val="en-US" w:eastAsia="zh-CN"/>
              </w:rPr>
              <w:t>中国电子科技集团</w:t>
            </w:r>
            <w:r>
              <w:rPr>
                <w:rFonts w:hint="eastAsia" w:ascii="宋体" w:hAnsi="宋体"/>
                <w:sz w:val="24"/>
                <w:szCs w:val="24"/>
                <w:lang w:val="en-US" w:eastAsia="zh-CN"/>
              </w:rPr>
              <w:t>、</w:t>
            </w:r>
            <w:r>
              <w:rPr>
                <w:rFonts w:hint="default" w:ascii="宋体" w:hAnsi="宋体" w:eastAsia="宋体"/>
                <w:sz w:val="24"/>
                <w:szCs w:val="24"/>
                <w:lang w:val="en-US" w:eastAsia="zh-CN"/>
              </w:rPr>
              <w:t>中泓汇富资产</w:t>
            </w:r>
            <w:r>
              <w:rPr>
                <w:rFonts w:hint="eastAsia" w:ascii="宋体" w:hAnsi="宋体"/>
                <w:sz w:val="24"/>
                <w:szCs w:val="24"/>
                <w:lang w:val="en-US" w:eastAsia="zh-CN"/>
              </w:rPr>
              <w:t>、</w:t>
            </w:r>
            <w:r>
              <w:rPr>
                <w:rFonts w:hint="default" w:ascii="宋体" w:hAnsi="宋体" w:eastAsia="宋体"/>
                <w:sz w:val="24"/>
                <w:szCs w:val="24"/>
                <w:lang w:val="en-US" w:eastAsia="zh-CN"/>
              </w:rPr>
              <w:t>中金基金</w:t>
            </w:r>
            <w:r>
              <w:rPr>
                <w:rFonts w:hint="eastAsia" w:ascii="宋体" w:hAnsi="宋体"/>
                <w:sz w:val="24"/>
                <w:szCs w:val="24"/>
                <w:lang w:val="en-US" w:eastAsia="zh-CN"/>
              </w:rPr>
              <w:t>、</w:t>
            </w:r>
            <w:r>
              <w:rPr>
                <w:rFonts w:hint="default" w:ascii="宋体" w:hAnsi="宋体" w:eastAsia="宋体"/>
                <w:sz w:val="24"/>
                <w:szCs w:val="24"/>
                <w:lang w:val="en-US" w:eastAsia="zh-CN"/>
              </w:rPr>
              <w:t>中泰证券</w:t>
            </w:r>
            <w:r>
              <w:rPr>
                <w:rFonts w:hint="eastAsia" w:ascii="宋体" w:hAnsi="宋体"/>
                <w:sz w:val="24"/>
                <w:szCs w:val="24"/>
                <w:lang w:val="en-US" w:eastAsia="zh-CN"/>
              </w:rPr>
              <w:t>、</w:t>
            </w:r>
            <w:r>
              <w:rPr>
                <w:rFonts w:hint="default" w:ascii="宋体" w:hAnsi="宋体" w:eastAsia="宋体"/>
                <w:sz w:val="24"/>
                <w:szCs w:val="24"/>
                <w:lang w:val="en-US" w:eastAsia="zh-CN"/>
              </w:rPr>
              <w:t>中天汇富基金</w:t>
            </w:r>
            <w:r>
              <w:rPr>
                <w:rFonts w:hint="eastAsia" w:ascii="宋体" w:hAnsi="宋体"/>
                <w:sz w:val="24"/>
                <w:szCs w:val="24"/>
                <w:lang w:val="en-US" w:eastAsia="zh-CN"/>
              </w:rPr>
              <w:t>、</w:t>
            </w:r>
            <w:r>
              <w:rPr>
                <w:rFonts w:hint="default" w:ascii="宋体" w:hAnsi="宋体" w:eastAsia="宋体"/>
                <w:sz w:val="24"/>
                <w:szCs w:val="24"/>
                <w:lang w:val="en-US" w:eastAsia="zh-CN"/>
              </w:rPr>
              <w:t>中信建投证券</w:t>
            </w:r>
            <w:r>
              <w:rPr>
                <w:rFonts w:hint="eastAsia" w:ascii="宋体" w:hAnsi="宋体"/>
                <w:sz w:val="24"/>
                <w:szCs w:val="24"/>
                <w:lang w:val="en-US" w:eastAsia="zh-CN"/>
              </w:rPr>
              <w:t>、</w:t>
            </w:r>
            <w:r>
              <w:rPr>
                <w:rFonts w:hint="default" w:ascii="宋体" w:hAnsi="宋体" w:eastAsia="宋体"/>
                <w:sz w:val="24"/>
                <w:szCs w:val="24"/>
                <w:lang w:val="en-US" w:eastAsia="zh-CN"/>
              </w:rPr>
              <w:t>中信期货</w:t>
            </w:r>
            <w:r>
              <w:rPr>
                <w:rFonts w:hint="eastAsia" w:ascii="宋体" w:hAnsi="宋体"/>
                <w:sz w:val="24"/>
                <w:szCs w:val="24"/>
                <w:lang w:val="en-US" w:eastAsia="zh-CN"/>
              </w:rPr>
              <w:t>、</w:t>
            </w:r>
            <w:r>
              <w:rPr>
                <w:rFonts w:hint="default" w:ascii="宋体" w:hAnsi="宋体" w:eastAsia="宋体"/>
                <w:sz w:val="24"/>
                <w:szCs w:val="24"/>
                <w:lang w:val="en-US" w:eastAsia="zh-CN"/>
              </w:rPr>
              <w:t>中信证券</w:t>
            </w:r>
            <w:r>
              <w:rPr>
                <w:rFonts w:hint="eastAsia" w:ascii="宋体" w:hAnsi="宋体"/>
                <w:sz w:val="24"/>
                <w:szCs w:val="24"/>
                <w:lang w:val="en-US" w:eastAsia="zh-CN"/>
              </w:rPr>
              <w:t>、</w:t>
            </w:r>
            <w:r>
              <w:rPr>
                <w:rFonts w:hint="default" w:ascii="宋体" w:hAnsi="宋体" w:eastAsia="宋体"/>
                <w:sz w:val="24"/>
                <w:szCs w:val="24"/>
                <w:lang w:val="en-US" w:eastAsia="zh-CN"/>
              </w:rPr>
              <w:t>中意资产</w:t>
            </w:r>
            <w:r>
              <w:rPr>
                <w:rFonts w:hint="eastAsia" w:ascii="宋体" w:hAnsi="宋体"/>
                <w:sz w:val="24"/>
                <w:szCs w:val="24"/>
                <w:lang w:val="en-US" w:eastAsia="zh-CN"/>
              </w:rPr>
              <w:t>、</w:t>
            </w:r>
            <w:r>
              <w:rPr>
                <w:rFonts w:hint="default" w:ascii="宋体" w:hAnsi="宋体" w:eastAsia="宋体"/>
                <w:sz w:val="24"/>
                <w:szCs w:val="24"/>
                <w:lang w:val="en-US" w:eastAsia="zh-CN"/>
              </w:rPr>
              <w:t>中银国际证券</w:t>
            </w:r>
            <w:r>
              <w:rPr>
                <w:rFonts w:hint="eastAsia" w:ascii="宋体" w:hAnsi="宋体"/>
                <w:sz w:val="24"/>
                <w:szCs w:val="24"/>
                <w:lang w:val="en-US" w:eastAsia="zh-CN"/>
              </w:rPr>
              <w:t>、</w:t>
            </w:r>
            <w:r>
              <w:rPr>
                <w:rFonts w:hint="default" w:ascii="宋体" w:hAnsi="宋体" w:eastAsia="宋体"/>
                <w:sz w:val="24"/>
                <w:szCs w:val="24"/>
                <w:lang w:val="en-US" w:eastAsia="zh-CN"/>
              </w:rPr>
              <w:t>中邮创业基金</w:t>
            </w:r>
            <w:r>
              <w:rPr>
                <w:rFonts w:hint="eastAsia" w:ascii="宋体" w:hAnsi="宋体"/>
                <w:sz w:val="24"/>
                <w:szCs w:val="24"/>
                <w:lang w:val="en-US" w:eastAsia="zh-CN"/>
              </w:rPr>
              <w:t>、</w:t>
            </w:r>
            <w:r>
              <w:rPr>
                <w:rFonts w:hint="default" w:ascii="宋体" w:hAnsi="宋体" w:eastAsia="宋体"/>
                <w:sz w:val="24"/>
                <w:szCs w:val="24"/>
                <w:lang w:val="en-US" w:eastAsia="zh-CN"/>
              </w:rPr>
              <w:t>中邮证券</w:t>
            </w:r>
            <w:r>
              <w:rPr>
                <w:rFonts w:hint="eastAsia" w:ascii="宋体" w:hAnsi="宋体"/>
                <w:sz w:val="24"/>
                <w:szCs w:val="24"/>
                <w:lang w:val="en-US" w:eastAsia="zh-CN"/>
              </w:rPr>
              <w:t>、</w:t>
            </w:r>
            <w:r>
              <w:rPr>
                <w:rFonts w:hint="default" w:ascii="宋体" w:hAnsi="宋体" w:eastAsia="宋体"/>
                <w:sz w:val="24"/>
                <w:szCs w:val="24"/>
                <w:lang w:val="en-US" w:eastAsia="zh-CN"/>
              </w:rPr>
              <w:t>中再资产</w:t>
            </w:r>
            <w:r>
              <w:rPr>
                <w:rFonts w:hint="eastAsia" w:ascii="宋体" w:hAnsi="宋体"/>
                <w:sz w:val="24"/>
                <w:szCs w:val="24"/>
                <w:lang w:val="en-US" w:eastAsia="zh-CN"/>
              </w:rPr>
              <w:t>、</w:t>
            </w:r>
            <w:r>
              <w:rPr>
                <w:rFonts w:hint="default" w:ascii="宋体" w:hAnsi="宋体" w:eastAsia="宋体"/>
                <w:sz w:val="24"/>
                <w:szCs w:val="24"/>
                <w:lang w:val="en-US" w:eastAsia="zh-CN"/>
              </w:rPr>
              <w:t>中泽控股集团</w:t>
            </w:r>
          </w:p>
        </w:tc>
      </w:tr>
      <w:tr w14:paraId="7AF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14:paraId="6CB50FA0">
            <w:pPr>
              <w:spacing w:line="480" w:lineRule="atLeast"/>
              <w:rPr>
                <w:rFonts w:ascii="宋体" w:hAnsi="宋体"/>
                <w:bCs/>
                <w:iCs/>
                <w:color w:val="000000"/>
                <w:sz w:val="24"/>
              </w:rPr>
            </w:pPr>
            <w:r>
              <w:rPr>
                <w:rFonts w:hint="eastAsia" w:ascii="宋体" w:hAnsi="宋体"/>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2A352414">
            <w:pPr>
              <w:spacing w:line="480" w:lineRule="atLeast"/>
              <w:rPr>
                <w:rFonts w:ascii="宋体" w:hAnsi="宋体"/>
                <w:bCs/>
                <w:iCs/>
                <w:color w:val="000000"/>
                <w:sz w:val="24"/>
                <w:highlight w:val="yellow"/>
              </w:rPr>
            </w:pPr>
            <w:r>
              <w:rPr>
                <w:rFonts w:hint="eastAsia" w:ascii="宋体" w:hAnsi="宋体"/>
                <w:sz w:val="24"/>
              </w:rPr>
              <w:t>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p>
        </w:tc>
      </w:tr>
      <w:tr w14:paraId="7708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14:paraId="3C0DAB9C">
            <w:pPr>
              <w:spacing w:line="480" w:lineRule="atLeast"/>
              <w:rPr>
                <w:rFonts w:ascii="宋体" w:hAnsi="宋体"/>
                <w:bCs/>
                <w:iCs/>
                <w:color w:val="000000"/>
                <w:sz w:val="24"/>
              </w:rPr>
            </w:pPr>
            <w:r>
              <w:rPr>
                <w:rFonts w:hint="eastAsia" w:ascii="宋体" w:hAnsi="宋体"/>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6F9F8B90">
            <w:pPr>
              <w:spacing w:line="480" w:lineRule="atLeast"/>
              <w:rPr>
                <w:rFonts w:hint="default" w:ascii="宋体" w:hAnsi="宋体" w:eastAsia="宋体"/>
                <w:bCs/>
                <w:iCs/>
                <w:color w:val="000000"/>
                <w:sz w:val="24"/>
                <w:lang w:val="en-US" w:eastAsia="zh-CN"/>
              </w:rPr>
            </w:pPr>
            <w:r>
              <w:rPr>
                <w:rFonts w:hint="eastAsia" w:ascii="宋体" w:hAnsi="宋体"/>
                <w:bCs/>
                <w:iCs/>
                <w:color w:val="000000"/>
                <w:sz w:val="24"/>
              </w:rPr>
              <w:t>远程音频、线上电话会</w:t>
            </w:r>
          </w:p>
        </w:tc>
      </w:tr>
      <w:tr w14:paraId="21A5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14:paraId="53E1B855">
            <w:pPr>
              <w:spacing w:line="480" w:lineRule="atLeast"/>
              <w:rPr>
                <w:rFonts w:ascii="宋体" w:hAnsi="宋体"/>
                <w:bCs/>
                <w:iCs/>
                <w:color w:val="000000"/>
                <w:sz w:val="24"/>
              </w:rPr>
            </w:pPr>
            <w:r>
              <w:rPr>
                <w:rFonts w:hint="eastAsia" w:ascii="宋体" w:hAnsi="宋体"/>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585840CA">
            <w:pPr>
              <w:spacing w:line="480" w:lineRule="atLeast"/>
              <w:rPr>
                <w:rFonts w:hint="default" w:ascii="宋体" w:hAnsi="宋体" w:eastAsia="宋体"/>
                <w:bCs/>
                <w:iCs/>
                <w:color w:val="000000"/>
                <w:sz w:val="24"/>
                <w:lang w:val="en-US" w:eastAsia="zh-CN"/>
              </w:rPr>
            </w:pPr>
            <w:r>
              <w:rPr>
                <w:rFonts w:hint="eastAsia" w:ascii="宋体" w:hAnsi="宋体"/>
                <w:bCs/>
                <w:iCs/>
                <w:color w:val="000000"/>
                <w:sz w:val="24"/>
                <w:lang w:val="en-US" w:eastAsia="zh-CN"/>
              </w:rPr>
              <w:t>董事、副总经理：张穗华</w:t>
            </w:r>
          </w:p>
          <w:p w14:paraId="2BE05E40">
            <w:pPr>
              <w:spacing w:line="480" w:lineRule="atLeast"/>
              <w:rPr>
                <w:rFonts w:ascii="宋体" w:hAnsi="宋体"/>
                <w:bCs/>
                <w:iCs/>
                <w:color w:val="000000"/>
                <w:sz w:val="24"/>
              </w:rPr>
            </w:pPr>
            <w:r>
              <w:rPr>
                <w:rFonts w:hint="eastAsia" w:ascii="宋体" w:hAnsi="宋体"/>
                <w:bCs/>
                <w:iCs/>
                <w:color w:val="000000"/>
                <w:sz w:val="24"/>
              </w:rPr>
              <w:t>董事会秘书：万灵芝</w:t>
            </w:r>
          </w:p>
        </w:tc>
      </w:tr>
      <w:tr w14:paraId="4761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5FDAAFE">
            <w:pPr>
              <w:spacing w:line="480" w:lineRule="atLeast"/>
              <w:rPr>
                <w:rFonts w:ascii="宋体" w:hAnsi="宋体"/>
                <w:bCs/>
                <w:iCs/>
                <w:color w:val="000000"/>
                <w:sz w:val="24"/>
              </w:rPr>
            </w:pPr>
            <w:r>
              <w:rPr>
                <w:rFonts w:hint="eastAsia" w:ascii="宋体" w:hAnsi="宋体"/>
                <w:bCs/>
                <w:iCs/>
                <w:color w:val="000000"/>
                <w:sz w:val="24"/>
              </w:rPr>
              <w:t>投资者关系活动主要内容介绍</w:t>
            </w:r>
          </w:p>
          <w:p w14:paraId="333EBAD1">
            <w:pPr>
              <w:spacing w:line="480" w:lineRule="atLeast"/>
              <w:rPr>
                <w:rFonts w:ascii="宋体" w:hAnsi="宋体"/>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1012448E">
            <w:pPr>
              <w:pStyle w:val="12"/>
              <w:spacing w:before="100" w:beforeLines="50" w:beforeAutospacing="1" w:after="100" w:afterLines="50" w:afterAutospacing="1" w:line="360" w:lineRule="auto"/>
              <w:rPr>
                <w:rStyle w:val="15"/>
                <w:rFonts w:hint="default"/>
              </w:rPr>
            </w:pPr>
            <w:r>
              <w:rPr>
                <w:rStyle w:val="15"/>
                <w:rFonts w:hint="default"/>
              </w:rPr>
              <w:t>一</w:t>
            </w:r>
            <w:r>
              <w:rPr>
                <w:rStyle w:val="15"/>
                <w:rFonts w:hint="default"/>
                <w:b/>
              </w:rPr>
              <w:t>、公司的基本情况介绍及最近主要变化。</w:t>
            </w:r>
          </w:p>
          <w:p w14:paraId="574FB24E">
            <w:pPr>
              <w:pStyle w:val="12"/>
              <w:spacing w:before="100" w:beforeAutospacing="1" w:after="100" w:afterAutospacing="1" w:line="360" w:lineRule="auto"/>
              <w:rPr>
                <w:rStyle w:val="15"/>
                <w:rFonts w:hint="default"/>
              </w:rPr>
            </w:pPr>
            <w:r>
              <w:rPr>
                <w:rStyle w:val="15"/>
                <w:rFonts w:hint="default"/>
              </w:rPr>
              <w:t>广东华特气体股份有限公司（以下简称</w:t>
            </w:r>
            <w:r>
              <w:rPr>
                <w:rStyle w:val="15"/>
                <w:rFonts w:hint="eastAsia"/>
                <w:lang w:eastAsia="zh-CN"/>
              </w:rPr>
              <w:t>“</w:t>
            </w:r>
            <w:r>
              <w:rPr>
                <w:rStyle w:val="15"/>
                <w:rFonts w:hint="eastAsia"/>
                <w:lang w:val="en-US" w:eastAsia="zh-CN"/>
              </w:rPr>
              <w:t>华特气体”或</w:t>
            </w:r>
            <w:r>
              <w:rPr>
                <w:rStyle w:val="15"/>
                <w:rFonts w:hint="default"/>
              </w:rPr>
              <w:t>“公司”），成立于1999年，于2019年12月在上交所科创板上市，股票代码：688268。华特气体是一家专注于特种气体国产化，聚焦主营业务发展的公司；长期以来，公司坚持自主可控、创新发展，是率先打破极大规模集成电路、新型显示面板、高端装备制造、新能源等尖端领域气体材料进口制约的气体厂商。</w:t>
            </w:r>
          </w:p>
          <w:p w14:paraId="33DD9BA7">
            <w:pPr>
              <w:pStyle w:val="12"/>
              <w:spacing w:before="100" w:beforeAutospacing="1" w:after="100" w:afterAutospacing="1" w:line="360" w:lineRule="auto"/>
              <w:rPr>
                <w:rStyle w:val="15"/>
                <w:rFonts w:hint="eastAsia"/>
                <w:lang w:eastAsia="zh-CN"/>
              </w:rPr>
            </w:pPr>
            <w:r>
              <w:rPr>
                <w:rStyle w:val="15"/>
                <w:rFonts w:hint="default"/>
              </w:rPr>
              <w:t>公司主营业务以特种气体的研发、生产及销售为核心，辅以普通工业气体和相关气体设备与工程业务，提供气体一站式综合应用解决方案。公司的特种气体主要面向集成电路、显示面板、光伏新能源、光纤光缆等新兴产业。随着信息化、智能化技术的快速发展，半导体芯片及器件产品在半导体照明、新一代移动通信、智能电网、新能源汽车、智能驾驶、数据中心、消费类电子等领域得到广泛应用。公司的电子特种气体产品在电子领域实现了包括高纯四氟化碳、高纯六氟乙烷、光刻气、高纯二氧化碳、高纯一氧化碳、高纯氨、高纯一氧化氮、高纯三氟甲烷、高纯八氟丙烷、锗烷、高纯乙烯、高纯甲烷、</w:t>
            </w:r>
            <w:r>
              <w:rPr>
                <w:rStyle w:val="15"/>
              </w:rPr>
              <w:t>高纯六</w:t>
            </w:r>
            <w:r>
              <w:rPr>
                <w:rStyle w:val="15"/>
                <w:rFonts w:hint="default"/>
              </w:rPr>
              <w:t>氟丁二烯等众多产品的进口替代。公司自主研发的氟碳类、光刻稀混气类、氢化物、氮氧化合物等产品主要应用在芯片制程工艺中的刻蚀、清洗、光刻、外延、沉积/成膜、离子注入等环节</w:t>
            </w:r>
            <w:r>
              <w:rPr>
                <w:rStyle w:val="15"/>
                <w:rFonts w:hint="eastAsia"/>
                <w:lang w:eastAsia="zh-CN"/>
              </w:rPr>
              <w:t>。</w:t>
            </w:r>
          </w:p>
          <w:p w14:paraId="6E007321">
            <w:pPr>
              <w:pStyle w:val="12"/>
              <w:spacing w:before="100" w:beforeAutospacing="1" w:after="100" w:afterAutospacing="1" w:line="360" w:lineRule="auto"/>
              <w:ind w:firstLine="480"/>
              <w:rPr>
                <w:rFonts w:hint="eastAsia" w:ascii="宋体" w:hAnsi="宋体"/>
                <w:color w:val="000000"/>
                <w:sz w:val="24"/>
              </w:rPr>
            </w:pPr>
            <w:r>
              <w:rPr>
                <w:rStyle w:val="15"/>
                <w:rFonts w:hint="eastAsia"/>
              </w:rPr>
              <w:t>公司掌握了特种气体从生产、存储、检测到应用服务全流程涉及的关键技术，包括气体合成、纯化、混配、气瓶处理、分析检测以及供气系统的设计、安装、日常维护等环节。公司精益求精，在原有核心技术基础上不断深入研究，持续提升各节点技术水平，追求更高的纯度、更低的杂质含量、更稳定的质量、更高的检测精度。公司经过多年行业沉淀</w:t>
            </w:r>
            <w:r>
              <w:rPr>
                <w:rStyle w:val="15"/>
                <w:rFonts w:hint="eastAsia"/>
                <w:lang w:eastAsia="zh-CN"/>
              </w:rPr>
              <w:t>，</w:t>
            </w:r>
            <w:r>
              <w:rPr>
                <w:rStyle w:val="15"/>
                <w:rFonts w:hint="eastAsia"/>
              </w:rPr>
              <w:t>在高端市场领域</w:t>
            </w:r>
            <w:r>
              <w:rPr>
                <w:rStyle w:val="15"/>
                <w:rFonts w:hint="eastAsia"/>
                <w:lang w:val="en-US" w:eastAsia="zh-CN"/>
              </w:rPr>
              <w:t>实现</w:t>
            </w:r>
            <w:r>
              <w:rPr>
                <w:rStyle w:val="15"/>
                <w:rFonts w:hint="eastAsia"/>
              </w:rPr>
              <w:t>了突破，积累了</w:t>
            </w:r>
            <w:r>
              <w:rPr>
                <w:rStyle w:val="15"/>
                <w:rFonts w:hint="eastAsia"/>
                <w:lang w:val="en-US" w:eastAsia="zh-CN"/>
              </w:rPr>
              <w:t>国内外</w:t>
            </w:r>
            <w:r>
              <w:rPr>
                <w:rStyle w:val="15"/>
                <w:rFonts w:hint="eastAsia"/>
              </w:rPr>
              <w:t>众多优质客户，尤其在集成电路领域，对国内8-12寸芯片厂商的覆盖率处于行业领先地位。</w:t>
            </w:r>
            <w:r>
              <w:rPr>
                <w:rStyle w:val="15"/>
                <w:rFonts w:hint="eastAsia"/>
                <w:lang w:val="en-US" w:eastAsia="zh-CN"/>
              </w:rPr>
              <w:t>公司有</w:t>
            </w:r>
            <w:r>
              <w:rPr>
                <w:rStyle w:val="15"/>
                <w:rFonts w:hint="eastAsia"/>
              </w:rPr>
              <w:t>超过20个产品已经批量供应14纳米先进工艺，超过13个产品供应到7纳米先进工艺，2个产品进入到5纳米先进工艺。第三代功率器件半导体方面，公司产品满足碳化硅（SiC）与氮化镓（GaN）等生产需</w:t>
            </w:r>
            <w:bookmarkStart w:id="0" w:name="_GoBack"/>
            <w:bookmarkEnd w:id="0"/>
            <w:r>
              <w:rPr>
                <w:rStyle w:val="15"/>
                <w:rFonts w:hint="eastAsia"/>
              </w:rPr>
              <w:t>求。公司也已进入到全国最大的氮化镓厂和碳化硅厂供应链。</w:t>
            </w:r>
          </w:p>
          <w:p w14:paraId="2FBC7DC3">
            <w:pPr>
              <w:pStyle w:val="12"/>
              <w:spacing w:before="100" w:beforeAutospacing="1" w:after="100" w:afterLines="50" w:afterAutospacing="1" w:line="360" w:lineRule="auto"/>
              <w:ind w:firstLine="480"/>
              <w:rPr>
                <w:rFonts w:hint="eastAsia" w:ascii="宋体" w:hAnsi="宋体" w:cs="宋体"/>
                <w:b/>
                <w:sz w:val="24"/>
              </w:rPr>
            </w:pPr>
            <w:r>
              <w:rPr>
                <w:rFonts w:hint="eastAsia" w:ascii="宋体" w:hAnsi="宋体"/>
                <w:color w:val="000000"/>
                <w:sz w:val="24"/>
              </w:rPr>
              <w:t>经过三十多年的发展，公司的技术积累日益深厚。截至报告期末，公司累计取得259项专利，其中40项发明专利、216项实用新型专利及3项外观设计专利。公司主持或参与制定包括多项电子工业用气体国家标准在内的67项标准，6项行业标准，1项国际标准和11项团体标准。公司承担了国家重大科技专项（02专项）中的《高纯三氟甲烷的研发与中试》课题等重点科研项目，还承担了广东省战略性新兴产业区域集聚发展试点（新一代显示技术）项目中的“平板显示器用特种气体”研发，公司于2017年、2019年、2021年、2023年作为唯一的气体公司连续四届入选“中国电子化工材料专业十强”。2023年公司荣获中国集成电路创新联盟第六届“IC创新奖”成果产业化奖（集成电路用稀混光刻气的研发与产业化）、公司入选国家级第五批专精特新“小巨人”企业、荣获“广东省专精特新中小企业”、“广东省创新型中小企业”、“广东省专利奖优秀奖”、“广东省制造业单项冠军”、“2023年度佛山市科技领军企业（创新效能）”、“2023年度全国气体标准化先进单位”、“2023年度梅州扶贫济困奖铜奖”、“2024年佛山市南海区政府质量奖”、“2024上市公司口碑榜（新材料最具成长上市公司）”、“TOP20大湾区上市公司-公司治理”等荣誉称号。</w:t>
            </w:r>
          </w:p>
          <w:p w14:paraId="290F741A">
            <w:pPr>
              <w:pStyle w:val="12"/>
              <w:spacing w:before="100" w:beforeAutospacing="1" w:after="100" w:afterLines="50" w:afterAutospacing="1" w:line="360" w:lineRule="auto"/>
              <w:ind w:firstLine="480"/>
              <w:rPr>
                <w:rFonts w:ascii="宋体" w:hAnsi="宋体" w:cs="宋体"/>
                <w:b/>
                <w:sz w:val="24"/>
              </w:rPr>
            </w:pPr>
            <w:r>
              <w:rPr>
                <w:rFonts w:hint="eastAsia" w:ascii="宋体" w:hAnsi="宋体" w:cs="宋体"/>
                <w:b/>
                <w:sz w:val="24"/>
              </w:rPr>
              <w:t>二、问答环节</w:t>
            </w:r>
          </w:p>
          <w:p w14:paraId="4117723D">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hint="default" w:cs="宋体"/>
                <w:b/>
                <w:bCs/>
              </w:rPr>
            </w:pPr>
            <w:r>
              <w:rPr>
                <w:rStyle w:val="15"/>
                <w:rFonts w:hint="default" w:cs="宋体"/>
                <w:b/>
                <w:bCs/>
              </w:rPr>
              <w:t>1、</w:t>
            </w:r>
            <w:r>
              <w:rPr>
                <w:rStyle w:val="15"/>
                <w:rFonts w:hint="eastAsia" w:cs="宋体"/>
                <w:b/>
                <w:bCs/>
                <w:lang w:eastAsia="zh-CN"/>
              </w:rPr>
              <w:t>2</w:t>
            </w:r>
            <w:r>
              <w:rPr>
                <w:rStyle w:val="15"/>
                <w:rFonts w:hint="eastAsia" w:cs="宋体"/>
                <w:b/>
                <w:bCs/>
                <w:lang w:val="en-US" w:eastAsia="zh-CN"/>
              </w:rPr>
              <w:t>025</w:t>
            </w:r>
            <w:r>
              <w:rPr>
                <w:rStyle w:val="15"/>
                <w:rFonts w:hint="default" w:cs="宋体"/>
                <w:b/>
                <w:bCs/>
              </w:rPr>
              <w:t>年</w:t>
            </w:r>
            <w:r>
              <w:rPr>
                <w:rStyle w:val="15"/>
                <w:rFonts w:hint="eastAsia" w:cs="宋体"/>
                <w:b/>
                <w:bCs/>
                <w:lang w:val="en-US" w:eastAsia="zh-CN"/>
              </w:rPr>
              <w:t>半</w:t>
            </w:r>
            <w:r>
              <w:rPr>
                <w:rStyle w:val="15"/>
                <w:rFonts w:hint="default" w:cs="宋体"/>
                <w:b/>
                <w:bCs/>
              </w:rPr>
              <w:t>年度报告业绩解读？</w:t>
            </w:r>
          </w:p>
          <w:p w14:paraId="053AC44F">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cs="宋体"/>
                <w:b w:val="0"/>
                <w:bCs w:val="0"/>
              </w:rPr>
            </w:pPr>
            <w:r>
              <w:rPr>
                <w:rStyle w:val="15"/>
                <w:rFonts w:hint="eastAsia" w:cs="宋体"/>
                <w:b w:val="0"/>
                <w:bCs w:val="0"/>
                <w:lang w:val="en-US" w:eastAsia="zh-CN"/>
              </w:rPr>
              <w:t>答：报告期内，</w:t>
            </w:r>
            <w:r>
              <w:rPr>
                <w:rStyle w:val="15"/>
                <w:rFonts w:cs="宋体"/>
                <w:b w:val="0"/>
                <w:bCs w:val="0"/>
              </w:rPr>
              <w:t>公司实现营业总收入67,652.88万元，同比下降5.77%，（其中，特种气体收入42,294.05万元，占主营业务收入比重约65%；普通工业气体收入14,891.02万元，占主营业务收入比重约23%；工程与设备收入8,104.84万元，占主营业务收入比重约12%）。公司上半年实现归属于母公司股东的净利润7,790.72万元，同比下降18.97%，实现归属于母公司股东的扣除非经常性损益的净利润7,540.09万元，同比下降17.97%；报告期末，公司总资产347,581.98万元，较报告期初增长5.29%，归属于上市公司股东的净资产203,358.63万元，较报告期初增长4.29%。</w:t>
            </w:r>
          </w:p>
          <w:p w14:paraId="7B987CFB">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cs="宋体"/>
                <w:b w:val="0"/>
                <w:bCs w:val="0"/>
              </w:rPr>
            </w:pPr>
            <w:r>
              <w:rPr>
                <w:rStyle w:val="15"/>
                <w:rFonts w:cs="宋体"/>
              </w:rPr>
              <w:t>上半年，行业呈现“需求端回暖、价格端承压”的显著特征，公司部分核心特气产品销量增长明显，但是由于行业价格竞争进一步加剧，产品销售价格受到影响，价格下行直接对冲了销售增长的积极效应，导致公司整体销售收入未能同步提升，反而呈现同比下滑态势。</w:t>
            </w:r>
            <w:r>
              <w:rPr>
                <w:rStyle w:val="15"/>
                <w:rFonts w:hint="eastAsia" w:cs="宋体"/>
                <w:lang w:val="en-US" w:eastAsia="zh-CN"/>
              </w:rPr>
              <w:t>由于报告期内部分费用增加以及汇兑损益的影响，</w:t>
            </w:r>
            <w:r>
              <w:rPr>
                <w:rStyle w:val="15"/>
                <w:rFonts w:hint="eastAsia" w:cs="宋体"/>
                <w:b w:val="0"/>
                <w:bCs w:val="0"/>
              </w:rPr>
              <w:t>叠加公司需按规定计提可转债利息费用形成的额外财务支出，当期利润仍受一定影响</w:t>
            </w:r>
            <w:r>
              <w:rPr>
                <w:rStyle w:val="15"/>
                <w:rFonts w:hint="eastAsia" w:cs="宋体"/>
                <w:b w:val="0"/>
                <w:bCs w:val="0"/>
                <w:lang w:eastAsia="zh-CN"/>
              </w:rPr>
              <w:t>。</w:t>
            </w:r>
          </w:p>
          <w:p w14:paraId="03DE5218">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hint="default" w:cs="宋体"/>
                <w:b/>
                <w:bCs/>
              </w:rPr>
            </w:pPr>
            <w:r>
              <w:rPr>
                <w:rStyle w:val="15"/>
                <w:rFonts w:hint="eastAsia" w:cs="宋体"/>
                <w:b/>
                <w:bCs/>
                <w:lang w:val="en-US" w:eastAsia="zh-CN"/>
              </w:rPr>
              <w:t>2、</w:t>
            </w:r>
            <w:r>
              <w:rPr>
                <w:rStyle w:val="15"/>
                <w:rFonts w:hint="eastAsia" w:cs="宋体"/>
                <w:b/>
                <w:bCs/>
              </w:rPr>
              <w:t>公司的技术壁垒主要体现在哪些方面</w:t>
            </w:r>
            <w:r>
              <w:rPr>
                <w:rStyle w:val="15"/>
                <w:rFonts w:cs="宋体"/>
                <w:b/>
                <w:bCs/>
              </w:rPr>
              <w:t>？</w:t>
            </w:r>
          </w:p>
          <w:p w14:paraId="50656AB1">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Style w:val="15"/>
                <w:rFonts w:hint="default" w:cs="宋体"/>
              </w:rPr>
            </w:pPr>
            <w:r>
              <w:rPr>
                <w:rStyle w:val="15"/>
                <w:rFonts w:hint="default" w:cs="宋体"/>
              </w:rPr>
              <w:t>答：</w:t>
            </w:r>
            <w:r>
              <w:rPr>
                <w:rStyle w:val="15"/>
                <w:rFonts w:hint="eastAsia" w:cs="宋体"/>
                <w:lang w:val="en-US" w:eastAsia="zh-CN"/>
              </w:rPr>
              <w:t>特气</w:t>
            </w:r>
            <w:r>
              <w:rPr>
                <w:rStyle w:val="15"/>
                <w:rFonts w:hint="default" w:cs="宋体"/>
              </w:rPr>
              <w:t>产品要进入到集成电路领域</w:t>
            </w:r>
            <w:r>
              <w:rPr>
                <w:rStyle w:val="15"/>
                <w:rFonts w:hint="eastAsia" w:cs="宋体"/>
                <w:lang w:eastAsia="zh-CN"/>
              </w:rPr>
              <w:t>应用</w:t>
            </w:r>
            <w:r>
              <w:rPr>
                <w:rStyle w:val="15"/>
                <w:rFonts w:hint="eastAsia" w:cs="宋体"/>
                <w:lang w:val="en-US" w:eastAsia="zh-CN"/>
              </w:rPr>
              <w:t>具</w:t>
            </w:r>
            <w:r>
              <w:rPr>
                <w:rStyle w:val="15"/>
                <w:rFonts w:hint="default" w:cs="宋体"/>
              </w:rPr>
              <w:t>有较高的技术壁垒,因为用于半导体的电子特气在其生产过程中涉及到合成、纯化、混合气配制、充装、分析检测、气瓶处理等多项工艺技术,以及客户对纯度、精度等高要求。一是气体纯度,要求超纯、超净。超纯要求气体纯度达到4.5N、5N甚至6N、7N,超净即要求严格控制粒子与金属杂质的含量,纯度每提升一个N以及粒子、金属杂质含量浓度每降低一个数量级都将带来工艺复杂度和难度的显著提升</w:t>
            </w:r>
            <w:r>
              <w:rPr>
                <w:rStyle w:val="15"/>
                <w:rFonts w:hint="eastAsia" w:cs="宋体"/>
                <w:lang w:eastAsia="zh-CN"/>
              </w:rPr>
              <w:t>；</w:t>
            </w:r>
            <w:r>
              <w:rPr>
                <w:rStyle w:val="15"/>
                <w:rFonts w:hint="default" w:cs="宋体"/>
              </w:rPr>
              <w:t>二是精度,尤其是混合气以光刻气为代表,其配制过程的难度与复杂程度很高</w:t>
            </w:r>
            <w:r>
              <w:rPr>
                <w:rStyle w:val="15"/>
                <w:rFonts w:hint="eastAsia" w:cs="宋体"/>
                <w:lang w:eastAsia="zh-CN"/>
              </w:rPr>
              <w:t>；</w:t>
            </w:r>
            <w:r>
              <w:rPr>
                <w:rStyle w:val="15"/>
                <w:rFonts w:hint="default" w:cs="宋体"/>
              </w:rPr>
              <w:t>三是包装物处理,包装物</w:t>
            </w:r>
            <w:r>
              <w:rPr>
                <w:rStyle w:val="15"/>
                <w:rFonts w:hint="eastAsia" w:cs="宋体"/>
                <w:lang w:val="en-US" w:eastAsia="zh-CN"/>
              </w:rPr>
              <w:t>是</w:t>
            </w:r>
            <w:r>
              <w:rPr>
                <w:rStyle w:val="15"/>
                <w:rFonts w:hint="default" w:cs="宋体"/>
              </w:rPr>
              <w:t>保证气体存储、运输、使用过程中不会被二次污染的关键,对气瓶内部、内壁表面等的处理涉及去离子水清洗、研磨、钝化等多项工艺,而磨料配方筛选、研磨时间设定、钝化反应控制等均依赖于长期的行业探索和研发</w:t>
            </w:r>
            <w:r>
              <w:rPr>
                <w:rStyle w:val="15"/>
                <w:rFonts w:hint="eastAsia" w:cs="宋体"/>
                <w:lang w:eastAsia="zh-CN"/>
              </w:rPr>
              <w:t>；</w:t>
            </w:r>
            <w:r>
              <w:rPr>
                <w:rStyle w:val="15"/>
                <w:rFonts w:hint="default" w:cs="宋体"/>
              </w:rPr>
              <w:t>最后是分析检测,这个环节也是很重要的,没有掌握其方法就无法判定,无法给产品杂质定性等。</w:t>
            </w:r>
          </w:p>
          <w:p w14:paraId="7A08D27B">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hint="default" w:eastAsia="宋体" w:cs="宋体"/>
                <w:lang w:val="en-US" w:eastAsia="zh-CN"/>
              </w:rPr>
            </w:pPr>
            <w:r>
              <w:rPr>
                <w:rFonts w:hint="eastAsia" w:ascii="宋体" w:hAnsi="宋体" w:cs="宋体"/>
                <w:b/>
                <w:bCs/>
                <w:color w:val="000000"/>
                <w:sz w:val="24"/>
                <w:lang w:val="en-US" w:eastAsia="zh-CN"/>
              </w:rPr>
              <w:t>3</w:t>
            </w:r>
            <w:r>
              <w:rPr>
                <w:rFonts w:hint="eastAsia" w:ascii="宋体" w:hAnsi="宋体" w:cs="宋体"/>
                <w:b/>
                <w:bCs/>
                <w:color w:val="000000"/>
                <w:sz w:val="24"/>
              </w:rPr>
              <w:t>、公司</w:t>
            </w:r>
            <w:r>
              <w:rPr>
                <w:rFonts w:hint="eastAsia" w:ascii="宋体" w:hAnsi="宋体" w:cs="宋体"/>
                <w:b/>
                <w:bCs/>
                <w:color w:val="000000"/>
                <w:sz w:val="24"/>
                <w:lang w:eastAsia="zh-CN"/>
              </w:rPr>
              <w:t>的</w:t>
            </w:r>
            <w:r>
              <w:rPr>
                <w:rFonts w:hint="eastAsia" w:ascii="宋体" w:hAnsi="宋体" w:cs="宋体"/>
                <w:b/>
                <w:bCs/>
                <w:color w:val="000000"/>
                <w:sz w:val="24"/>
                <w:lang w:val="en-US" w:eastAsia="zh-CN"/>
              </w:rPr>
              <w:t>竞争优势有哪些？</w:t>
            </w:r>
          </w:p>
          <w:p w14:paraId="597BBEEF">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Style w:val="15"/>
                <w:rFonts w:hint="default" w:cs="宋体"/>
                <w:lang w:val="en-US" w:eastAsia="zh-CN"/>
              </w:rPr>
            </w:pPr>
            <w:r>
              <w:rPr>
                <w:rStyle w:val="15"/>
                <w:rFonts w:hint="default" w:cs="宋体"/>
              </w:rPr>
              <w:t>答:公司</w:t>
            </w:r>
            <w:r>
              <w:rPr>
                <w:rStyle w:val="15"/>
                <w:rFonts w:hint="eastAsia" w:cs="宋体"/>
                <w:lang w:val="en-US" w:eastAsia="zh-CN"/>
              </w:rPr>
              <w:t>的</w:t>
            </w:r>
            <w:r>
              <w:rPr>
                <w:rStyle w:val="15"/>
                <w:rFonts w:hint="default" w:cs="宋体"/>
              </w:rPr>
              <w:t>竞争优势在于成熟制程和先进制程工艺的多品类应用、</w:t>
            </w:r>
            <w:r>
              <w:rPr>
                <w:rStyle w:val="15"/>
                <w:rFonts w:hint="eastAsia"/>
              </w:rPr>
              <w:t>对国内8-12寸芯片厂商的覆盖率处于行业领先地位</w:t>
            </w:r>
            <w:r>
              <w:rPr>
                <w:rStyle w:val="15"/>
                <w:rFonts w:hint="default" w:cs="宋体"/>
              </w:rPr>
              <w:t>、IC头部客户的认同</w:t>
            </w:r>
            <w:r>
              <w:rPr>
                <w:rStyle w:val="15"/>
                <w:rFonts w:hint="eastAsia" w:cs="宋体"/>
                <w:lang w:eastAsia="zh-CN"/>
              </w:rPr>
              <w:t>、</w:t>
            </w:r>
            <w:r>
              <w:rPr>
                <w:rStyle w:val="15"/>
                <w:rFonts w:hint="default" w:cs="宋体"/>
              </w:rPr>
              <w:t>品牌驱动力、供应链反应迅速、服务及时等</w:t>
            </w:r>
            <w:r>
              <w:rPr>
                <w:rStyle w:val="15"/>
                <w:rFonts w:hint="eastAsia" w:cs="宋体"/>
                <w:lang w:eastAsia="zh-CN"/>
              </w:rPr>
              <w:t>。</w:t>
            </w:r>
          </w:p>
          <w:p w14:paraId="4FB4056E">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Style w:val="15"/>
                <w:rFonts w:hint="default" w:eastAsia="宋体" w:cs="宋体"/>
                <w:b/>
                <w:bCs/>
                <w:lang w:val="en-US" w:eastAsia="zh-CN"/>
              </w:rPr>
            </w:pPr>
            <w:r>
              <w:rPr>
                <w:rFonts w:hint="eastAsia" w:ascii="宋体" w:hAnsi="宋体" w:cs="宋体"/>
                <w:b/>
                <w:bCs/>
                <w:color w:val="000000"/>
                <w:sz w:val="24"/>
                <w:lang w:val="en-US" w:eastAsia="zh-CN"/>
              </w:rPr>
              <w:t>4</w:t>
            </w:r>
            <w:r>
              <w:rPr>
                <w:rFonts w:ascii="宋体" w:hAnsi="宋体" w:cs="宋体"/>
                <w:b/>
                <w:bCs/>
                <w:color w:val="000000"/>
                <w:sz w:val="24"/>
              </w:rPr>
              <w:t>、</w:t>
            </w:r>
            <w:r>
              <w:rPr>
                <w:rFonts w:hint="eastAsia" w:ascii="宋体" w:hAnsi="宋体" w:cs="宋体"/>
                <w:b/>
                <w:bCs/>
                <w:color w:val="000000"/>
                <w:sz w:val="24"/>
                <w:lang w:val="en-US" w:eastAsia="zh-CN"/>
              </w:rPr>
              <w:t>公司氦气产品的竞争优势？</w:t>
            </w:r>
          </w:p>
          <w:p w14:paraId="3089DA86">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Style w:val="15"/>
                <w:rFonts w:hint="default" w:cs="宋体"/>
                <w:lang w:val="en-US" w:eastAsia="zh-CN"/>
              </w:rPr>
            </w:pPr>
            <w:r>
              <w:rPr>
                <w:rStyle w:val="15"/>
                <w:rFonts w:hint="default" w:cs="宋体"/>
              </w:rPr>
              <w:t>答：</w:t>
            </w:r>
            <w:r>
              <w:rPr>
                <w:rStyle w:val="15"/>
                <w:rFonts w:hint="eastAsia" w:cs="宋体"/>
              </w:rPr>
              <w:t>公司</w:t>
            </w:r>
            <w:r>
              <w:rPr>
                <w:rStyle w:val="15"/>
                <w:rFonts w:hint="eastAsia" w:cs="宋体"/>
                <w:lang w:eastAsia="zh-CN"/>
              </w:rPr>
              <w:t>深耕</w:t>
            </w:r>
            <w:r>
              <w:rPr>
                <w:rStyle w:val="15"/>
                <w:rFonts w:hint="eastAsia" w:cs="宋体"/>
              </w:rPr>
              <w:t>氦气产品多年,积累了多年的经验和资源,在氦源上有自己的优势。</w:t>
            </w:r>
            <w:r>
              <w:rPr>
                <w:rStyle w:val="15"/>
                <w:rFonts w:hint="eastAsia" w:cs="宋体"/>
                <w:lang w:val="en-US" w:eastAsia="zh-CN"/>
              </w:rPr>
              <w:t>公司氦气产品有液氦、高纯氦气、超高纯氦气等多款产品，同时深耕多年积累一批优质客户，产业链较为完整。</w:t>
            </w:r>
          </w:p>
          <w:p w14:paraId="5FF3C9B8">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val="en-US" w:eastAsia="zh-CN"/>
              </w:rPr>
              <w:t>公司有多少款光刻气产品？有什么优势？销售情况如何？</w:t>
            </w:r>
          </w:p>
          <w:p w14:paraId="319102AA">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cs="宋体"/>
                <w:sz w:val="24"/>
              </w:rPr>
            </w:pPr>
            <w:r>
              <w:rPr>
                <w:rFonts w:hint="eastAsia" w:ascii="宋体" w:hAnsi="宋体" w:cs="宋体"/>
                <w:sz w:val="24"/>
              </w:rPr>
              <w:t>答：公司在业内首创准分子激光气中微量氟的检测关键技术，解决了重组分、百分比浓度含氟量等行业检测难题。公司自主研发有Ar/F/Ne、Kr/Ne、Ar/Ne、Kr/F/Ne和Ar/Ne/Xe等多款稀混光刻气，公司是国内唯一一家多款稀混光刻气（其中2款含有微量氟）同时通过荷兰ASML公司和日本GIGAPHOTON株式会社认证的气体公司，产品在境内外半导体厂广泛应用，有力推动我国半导体产业自主可控进程。</w:t>
            </w:r>
          </w:p>
          <w:p w14:paraId="3C7260E2">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6、上半年，公司毛利情况？毛利率提升原因？</w:t>
            </w:r>
            <w:r>
              <w:rPr>
                <w:rFonts w:hint="eastAsia" w:ascii="宋体" w:hAnsi="宋体" w:cs="宋体"/>
                <w:b/>
                <w:bCs/>
                <w:sz w:val="24"/>
              </w:rPr>
              <w:t>公司</w:t>
            </w:r>
            <w:r>
              <w:rPr>
                <w:rFonts w:hint="eastAsia" w:ascii="宋体" w:hAnsi="宋体" w:cs="宋体"/>
                <w:b/>
                <w:bCs/>
                <w:sz w:val="24"/>
                <w:lang w:val="en-US" w:eastAsia="zh-CN"/>
              </w:rPr>
              <w:t>未来在持续优化毛利上有哪些举措</w:t>
            </w:r>
            <w:r>
              <w:rPr>
                <w:rFonts w:hint="eastAsia" w:ascii="宋体" w:hAnsi="宋体" w:cs="宋体"/>
                <w:b/>
                <w:bCs/>
                <w:sz w:val="24"/>
              </w:rPr>
              <w:t>?</w:t>
            </w:r>
          </w:p>
          <w:p w14:paraId="344EAF1A">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textAlignment w:val="auto"/>
              <w:rPr>
                <w:rFonts w:hint="eastAsia" w:ascii="宋体" w:hAnsi="宋体" w:eastAsia="宋体" w:cs="宋体"/>
                <w:b w:val="0"/>
                <w:sz w:val="24"/>
              </w:rPr>
            </w:pPr>
            <w:r>
              <w:rPr>
                <w:rFonts w:hint="eastAsia" w:ascii="宋体" w:hAnsi="宋体" w:eastAsia="宋体" w:cs="宋体"/>
                <w:b w:val="0"/>
                <w:sz w:val="24"/>
              </w:rPr>
              <w:t>答：</w:t>
            </w:r>
            <w:r>
              <w:rPr>
                <w:rFonts w:hint="eastAsia" w:ascii="宋体" w:hAnsi="宋体" w:eastAsia="宋体" w:cs="宋体"/>
                <w:b w:val="0"/>
                <w:sz w:val="24"/>
                <w:lang w:val="en-US" w:eastAsia="zh-CN"/>
              </w:rPr>
              <w:t>上半年，</w:t>
            </w:r>
            <w:r>
              <w:rPr>
                <w:rFonts w:hint="eastAsia" w:ascii="宋体" w:hAnsi="宋体" w:eastAsia="宋体" w:cs="宋体"/>
                <w:b w:val="0"/>
                <w:sz w:val="24"/>
              </w:rPr>
              <w:t>公司综合毛利率同比提升约1.8个百分点，达33.42%；特种气体毛利同比提升约2.4%，</w:t>
            </w:r>
            <w:r>
              <w:rPr>
                <w:rFonts w:hint="eastAsia" w:ascii="宋体" w:hAnsi="宋体" w:eastAsia="宋体" w:cs="宋体"/>
                <w:b w:val="0"/>
                <w:sz w:val="24"/>
                <w:lang w:val="en-US" w:eastAsia="zh-CN"/>
              </w:rPr>
              <w:t>达39.63%。</w:t>
            </w:r>
            <w:r>
              <w:rPr>
                <w:rFonts w:hint="eastAsia" w:ascii="宋体" w:hAnsi="宋体" w:eastAsia="宋体" w:cs="宋体"/>
                <w:b w:val="0"/>
                <w:sz w:val="24"/>
              </w:rPr>
              <w:t>报告期内</w:t>
            </w:r>
            <w:r>
              <w:rPr>
                <w:rFonts w:hint="eastAsia" w:ascii="宋体" w:hAnsi="宋体" w:eastAsia="宋体" w:cs="宋体"/>
                <w:b w:val="0"/>
                <w:sz w:val="24"/>
                <w:lang w:eastAsia="zh-CN"/>
              </w:rPr>
              <w:t>，</w:t>
            </w:r>
            <w:r>
              <w:rPr>
                <w:rFonts w:hint="eastAsia" w:ascii="宋体" w:hAnsi="宋体" w:eastAsia="宋体" w:cs="宋体"/>
                <w:b w:val="0"/>
                <w:sz w:val="24"/>
              </w:rPr>
              <w:t>因公司新产品逐步释放产能并顺利</w:t>
            </w:r>
            <w:r>
              <w:rPr>
                <w:rFonts w:hint="eastAsia" w:ascii="宋体" w:hAnsi="宋体" w:cs="宋体"/>
                <w:b w:val="0"/>
                <w:sz w:val="24"/>
                <w:lang w:val="en-US" w:eastAsia="zh-CN"/>
              </w:rPr>
              <w:t>实现</w:t>
            </w:r>
            <w:r>
              <w:rPr>
                <w:rFonts w:hint="eastAsia" w:ascii="宋体" w:hAnsi="宋体" w:eastAsia="宋体" w:cs="宋体"/>
                <w:b w:val="0"/>
                <w:sz w:val="24"/>
              </w:rPr>
              <w:t>成果转化</w:t>
            </w:r>
            <w:r>
              <w:rPr>
                <w:rFonts w:hint="eastAsia" w:ascii="宋体" w:hAnsi="宋体" w:cs="宋体"/>
                <w:b w:val="0"/>
                <w:sz w:val="24"/>
                <w:lang w:val="en-US" w:eastAsia="zh-CN"/>
              </w:rPr>
              <w:t>并</w:t>
            </w:r>
            <w:r>
              <w:rPr>
                <w:rFonts w:hint="eastAsia" w:ascii="宋体" w:hAnsi="宋体" w:eastAsia="宋体" w:cs="宋体"/>
                <w:b w:val="0"/>
                <w:sz w:val="24"/>
              </w:rPr>
              <w:t>推向市场，凭借新产品更优的盈利结构，推动公司主营业务毛利同比提升，展现出产品结构优化的积极成效。</w:t>
            </w:r>
          </w:p>
          <w:p w14:paraId="42E69DF5">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textAlignment w:val="auto"/>
              <w:rPr>
                <w:rFonts w:hint="eastAsia" w:ascii="宋体" w:hAnsi="宋体" w:eastAsia="宋体" w:cs="宋体"/>
                <w:b w:val="0"/>
                <w:sz w:val="24"/>
              </w:rPr>
            </w:pPr>
            <w:r>
              <w:rPr>
                <w:rFonts w:hint="eastAsia" w:ascii="宋体" w:hAnsi="宋体" w:eastAsia="宋体" w:cs="宋体"/>
                <w:b w:val="0"/>
                <w:sz w:val="24"/>
              </w:rPr>
              <w:t>公司将紧密围绕市场需求，充分发挥自身技术优势，通过积极地开发和新建全产业链项目、深化气源合作等方式向上延伸产业链、持续海外设点、优化业务模式、升级生产线、开展技术改造等方式，提升产能以及高附加值产品的自主可控能力，来实现毛利优化，进一步提升公司盈利能力和市场竞争力。</w:t>
            </w:r>
          </w:p>
          <w:p w14:paraId="0A1D2B69">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8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7</w:t>
            </w:r>
            <w:r>
              <w:rPr>
                <w:rFonts w:hint="eastAsia" w:ascii="宋体" w:hAnsi="宋体" w:cs="宋体"/>
                <w:b/>
                <w:bCs/>
                <w:sz w:val="24"/>
              </w:rPr>
              <w:t>、公司今年有扩展其他业务</w:t>
            </w:r>
            <w:r>
              <w:rPr>
                <w:rFonts w:hint="default" w:ascii="宋体" w:hAnsi="宋体" w:cs="宋体"/>
                <w:b/>
                <w:bCs/>
                <w:sz w:val="24"/>
                <w:lang w:val="en-US"/>
              </w:rPr>
              <w:t>?</w:t>
            </w:r>
          </w:p>
          <w:p w14:paraId="2E595F13">
            <w:pPr>
              <w:pStyle w:val="12"/>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textAlignment w:val="auto"/>
              <w:rPr>
                <w:rFonts w:hint="eastAsia" w:ascii="宋体" w:hAnsi="宋体" w:eastAsia="宋体" w:cs="宋体"/>
                <w:sz w:val="24"/>
                <w:lang w:eastAsia="zh-CN"/>
              </w:rPr>
            </w:pPr>
            <w:r>
              <w:rPr>
                <w:rFonts w:hint="eastAsia" w:ascii="宋体" w:hAnsi="宋体" w:cs="宋体"/>
                <w:sz w:val="24"/>
              </w:rPr>
              <w:t>答：</w:t>
            </w:r>
            <w:r>
              <w:rPr>
                <w:rFonts w:hint="eastAsia" w:ascii="宋体" w:hAnsi="宋体" w:cs="宋体"/>
                <w:sz w:val="24"/>
                <w:lang w:val="en-US" w:eastAsia="zh-CN"/>
              </w:rPr>
              <w:t>公司</w:t>
            </w:r>
            <w:r>
              <w:rPr>
                <w:rFonts w:hint="eastAsia" w:ascii="宋体" w:hAnsi="宋体" w:cs="宋体"/>
                <w:sz w:val="24"/>
              </w:rPr>
              <w:t>是一家专注于特种气体国产化，聚焦主营业务发展的公司，公司始终坚持特种气体研发为主，普气和气体设备及工程管道业务为辅的发展路径</w:t>
            </w:r>
            <w:r>
              <w:rPr>
                <w:rFonts w:hint="eastAsia" w:ascii="宋体" w:hAnsi="宋体" w:cs="宋体"/>
                <w:sz w:val="24"/>
                <w:lang w:eastAsia="zh-CN"/>
              </w:rPr>
              <w:t>。</w:t>
            </w:r>
          </w:p>
          <w:p w14:paraId="7821DADD">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8</w:t>
            </w:r>
            <w:r>
              <w:rPr>
                <w:rFonts w:ascii="宋体" w:hAnsi="宋体" w:cs="宋体"/>
                <w:b/>
                <w:bCs/>
                <w:sz w:val="24"/>
              </w:rPr>
              <w:t>、</w:t>
            </w:r>
            <w:r>
              <w:rPr>
                <w:rFonts w:hint="eastAsia" w:ascii="宋体" w:hAnsi="宋体" w:cs="宋体"/>
                <w:b/>
                <w:bCs/>
                <w:sz w:val="24"/>
              </w:rPr>
              <w:t>公司外延并购的方向</w:t>
            </w:r>
            <w:r>
              <w:rPr>
                <w:rFonts w:hint="eastAsia" w:ascii="宋体" w:hAnsi="宋体" w:cs="宋体"/>
                <w:b/>
                <w:bCs/>
                <w:sz w:val="24"/>
                <w:lang w:val="en-US" w:eastAsia="zh-CN"/>
              </w:rPr>
              <w:t>有哪些</w:t>
            </w:r>
            <w:r>
              <w:rPr>
                <w:rFonts w:hint="eastAsia" w:ascii="宋体" w:hAnsi="宋体" w:cs="宋体"/>
                <w:b/>
                <w:bCs/>
                <w:sz w:val="24"/>
              </w:rPr>
              <w:t>？</w:t>
            </w:r>
          </w:p>
          <w:p w14:paraId="04443A4D">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eastAsia" w:ascii="宋体" w:hAnsi="宋体" w:cs="宋体"/>
                <w:sz w:val="24"/>
              </w:rPr>
            </w:pPr>
            <w:r>
              <w:rPr>
                <w:rFonts w:hint="eastAsia" w:ascii="宋体" w:hAnsi="宋体" w:cs="宋体"/>
                <w:sz w:val="24"/>
              </w:rPr>
              <w:t>答：</w:t>
            </w:r>
            <w:r>
              <w:rPr>
                <w:rFonts w:hint="eastAsia" w:ascii="宋体" w:hAnsi="宋体" w:cs="宋体"/>
                <w:sz w:val="24"/>
                <w:lang w:val="en-US" w:eastAsia="zh-CN"/>
              </w:rPr>
              <w:t>公司</w:t>
            </w:r>
            <w:r>
              <w:rPr>
                <w:rFonts w:hint="eastAsia" w:ascii="宋体" w:hAnsi="宋体" w:cs="宋体"/>
                <w:sz w:val="24"/>
              </w:rPr>
              <w:t>围绕“差异化发展与国际化布局,打造亚洲领先的特种气体公司”这一战略目标,进行一系列、跨地域的收并购,以实现长期目标；公司收并购的方向还是聚焦在主营业务发展上，公司将利用自身优势及满足产业链全球化趋势需求，将围绕补全公司在产品种类、产业链、区域等方面进行整合。</w:t>
            </w:r>
          </w:p>
          <w:p w14:paraId="4B589978">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9</w:t>
            </w:r>
            <w:r>
              <w:rPr>
                <w:rFonts w:ascii="宋体" w:hAnsi="宋体" w:cs="宋体"/>
                <w:b/>
                <w:bCs/>
                <w:sz w:val="24"/>
              </w:rPr>
              <w:t>、</w:t>
            </w:r>
            <w:r>
              <w:rPr>
                <w:rFonts w:hint="eastAsia" w:ascii="宋体" w:hAnsi="宋体" w:cs="宋体"/>
                <w:b/>
                <w:bCs/>
                <w:sz w:val="24"/>
                <w:lang w:val="en-US" w:eastAsia="zh-CN"/>
              </w:rPr>
              <w:t>公司现阶段的战略布局？</w:t>
            </w:r>
          </w:p>
          <w:p w14:paraId="26F432DB">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eastAsia" w:ascii="宋体" w:hAnsi="宋体" w:cs="宋体"/>
                <w:sz w:val="24"/>
              </w:rPr>
            </w:pPr>
            <w:r>
              <w:rPr>
                <w:rFonts w:hint="eastAsia" w:ascii="宋体" w:hAnsi="宋体" w:cs="宋体"/>
                <w:sz w:val="24"/>
              </w:rPr>
              <w:t>答：紧扣公司“以技术驱动产业升级”的发展内核，聚焦先进制程(14nm及以下)应用气体材料、新能源、光伏等特种气体领域高端赛道，重点攻坚高纯丙烯、高纯乙炔、高纯三氟化氯、电子级溴化氢，电子级乙硅烷等“卡脖子”产品</w:t>
            </w:r>
            <w:r>
              <w:rPr>
                <w:rFonts w:hint="eastAsia" w:ascii="宋体" w:hAnsi="宋体" w:cs="宋体"/>
                <w:sz w:val="24"/>
                <w:lang w:eastAsia="zh-CN"/>
              </w:rPr>
              <w:t>，</w:t>
            </w:r>
            <w:r>
              <w:rPr>
                <w:rFonts w:hint="eastAsia" w:ascii="宋体" w:hAnsi="宋体" w:cs="宋体"/>
                <w:sz w:val="24"/>
              </w:rPr>
              <w:t>通过联合高校院所，博士后工作站，提升产品的纯度，强化高端电子特气自主可控研发体系，突破更多的高端制程产品打破海外企业的垄断地位，推动公司从“国内替代”向“技术并跑”进阶，夯实国产化“自主可控、高端引领”的核心技术地位，为后续市场份额提升提供硬实力。</w:t>
            </w:r>
          </w:p>
          <w:p w14:paraId="303F02ED">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eastAsia" w:ascii="宋体" w:hAnsi="宋体" w:cs="宋体"/>
                <w:sz w:val="24"/>
              </w:rPr>
            </w:pPr>
            <w:r>
              <w:rPr>
                <w:rFonts w:hint="eastAsia" w:ascii="宋体" w:hAnsi="宋体" w:cs="宋体"/>
                <w:sz w:val="24"/>
              </w:rPr>
              <w:t>立足行业“研发周期长，市场需求快”的矛盾痛点，进一步完善技术转化机制，构建“市场需求产品调研—研发立项—小试—中试—验证—量产”全链条协同体系。同时，不断完善技术转化机制，优先调配资源，缩短量产周期，确保研发与市场需求同频，每年能快速响应市场，推出新产品抢占先机，巩固公司成果转化能力。</w:t>
            </w:r>
          </w:p>
          <w:p w14:paraId="61DB947E">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eastAsia" w:ascii="宋体" w:hAnsi="宋体" w:cs="宋体"/>
                <w:sz w:val="24"/>
              </w:rPr>
            </w:pPr>
            <w:r>
              <w:rPr>
                <w:rFonts w:hint="eastAsia" w:ascii="宋体" w:hAnsi="宋体" w:cs="宋体"/>
                <w:sz w:val="24"/>
              </w:rPr>
              <w:t>以“深挖细分领域，巩固技术壁垒”为核心，聚焦半导体、显示面板等细分赛道，与半导体厂签订长期战略合作协议，通过定制化供气方案、本地化仓储、配送等服务，实现对国内8-12寸半导体厂客户覆盖率居行业领先地位，进一步夯实国内市场供应地位；在国际市场，公司的业务模式逐步由中间商转终端客户，推动海外客户覆盖率夯实竞争力。通过“国内稳基、海外拓疆”的双轮驱动，逐步打破全球特气市场由欧美、日韩企业主导的格局，成为全球产业链中不可或缺的“中国力量”。</w:t>
            </w:r>
          </w:p>
          <w:p w14:paraId="17216818">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10</w:t>
            </w:r>
            <w:r>
              <w:rPr>
                <w:rFonts w:ascii="宋体" w:hAnsi="宋体" w:cs="宋体"/>
                <w:b/>
                <w:bCs/>
                <w:sz w:val="24"/>
              </w:rPr>
              <w:t>、</w:t>
            </w:r>
            <w:r>
              <w:rPr>
                <w:rFonts w:hint="eastAsia" w:ascii="宋体" w:hAnsi="宋体" w:cs="宋体"/>
                <w:b/>
                <w:bCs/>
                <w:sz w:val="24"/>
                <w:lang w:val="en-US" w:eastAsia="zh-CN"/>
              </w:rPr>
              <w:t>行业情况如何？未来气体品类需求情况怎么样？</w:t>
            </w:r>
          </w:p>
          <w:p w14:paraId="27060CBB">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hint="eastAsia" w:ascii="宋体" w:hAnsi="宋体" w:cs="宋体"/>
                <w:sz w:val="24"/>
              </w:rPr>
            </w:pPr>
            <w:r>
              <w:rPr>
                <w:rFonts w:hint="eastAsia" w:ascii="宋体" w:hAnsi="宋体" w:cs="宋体"/>
                <w:sz w:val="24"/>
              </w:rPr>
              <w:t>答：电子特种气体作为电子材料领域的关键性材料,广泛应用于集成电路、显示面板、光伏能源、光纤光缆、新能源汽车、航空航天、环保、医疗等领域。集成电路产业在政策推动、国家各级产业基金扶持等多重因素的促进下,面向世界前沿水平加速追赶。随着全球数字化进程的加速,芯片市场需求正在经历显著的变化。特别是在高端芯片领域,市场需求急剧增长,以上这些变化均对特种气体纯度、杂质含量、混配精度等方面提出更高的要求。随着近年来下游产业技术的快速更迭,要求更大的晶圆尺寸、更细微化的制程技术,电子特气作为这些产业发展的关键性材料,其精细化程度与稳定性要求持续提高,而对先进制程用中高端气体材料的需求更为迫切。</w:t>
            </w:r>
          </w:p>
          <w:p w14:paraId="7A8AFA85">
            <w:pPr>
              <w:pStyle w:val="12"/>
              <w:keepNext w:val="0"/>
              <w:keepLines w:val="0"/>
              <w:pageBreakBefore w:val="0"/>
              <w:widowControl w:val="0"/>
              <w:kinsoku/>
              <w:wordWrap/>
              <w:overflowPunct/>
              <w:topLinePunct w:val="0"/>
              <w:autoSpaceDE/>
              <w:autoSpaceDN/>
              <w:bidi w:val="0"/>
              <w:adjustRightInd/>
              <w:snapToGrid/>
              <w:spacing w:before="100" w:beforeLines="50" w:beforeAutospacing="1" w:after="100" w:afterLines="50" w:afterAutospacing="1" w:line="360" w:lineRule="auto"/>
              <w:ind w:firstLine="480"/>
              <w:jc w:val="both"/>
              <w:textAlignment w:val="auto"/>
              <w:rPr>
                <w:rFonts w:ascii="宋体" w:hAnsi="宋体" w:cs="宋体"/>
                <w:b/>
                <w:bCs/>
                <w:sz w:val="24"/>
              </w:rPr>
            </w:pPr>
            <w:r>
              <w:rPr>
                <w:rFonts w:hint="eastAsia" w:ascii="宋体" w:hAnsi="宋体" w:cs="宋体"/>
                <w:sz w:val="24"/>
              </w:rPr>
              <w:t>受到AI、云基础设施等领域持续需求的推动，WSTS预测，预计2025年全球半导体市场销售额将达到7009亿美元，同比增长11.2%，预计2026年继续增长8.5%。由于人工智能（AI）半导体的需求持续推动晶圆消耗，TECHCET的数据显示，2025年半导体制造材料市场预计将同比增长近8%，整体半导体材料市场在2023年至2028年间的年均复合增长率（CAGR）将达到5.6%，并在2028年突破840亿美元。随着技术的不断进步和市场需求的逐步释放，半导体行业有望在未来几年继续保持稳健增长，从而带动电子特种气体的需求增长。</w:t>
            </w:r>
          </w:p>
        </w:tc>
      </w:tr>
      <w:tr w14:paraId="24B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73F7EBB">
            <w:pPr>
              <w:spacing w:line="480" w:lineRule="atLeast"/>
              <w:rPr>
                <w:rFonts w:ascii="宋体" w:hAnsi="宋体"/>
                <w:bCs/>
                <w:iCs/>
                <w:color w:val="000000"/>
                <w:sz w:val="24"/>
              </w:rPr>
            </w:pPr>
            <w:r>
              <w:rPr>
                <w:rFonts w:hint="eastAsia" w:ascii="宋体" w:hAnsi="宋体"/>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537ACA27">
            <w:pPr>
              <w:spacing w:line="480" w:lineRule="atLeast"/>
              <w:rPr>
                <w:rFonts w:ascii="宋体" w:hAnsi="宋体"/>
                <w:bCs/>
                <w:iCs/>
                <w:color w:val="000000"/>
                <w:sz w:val="24"/>
              </w:rPr>
            </w:pPr>
            <w:r>
              <w:rPr>
                <w:rFonts w:hint="eastAsia" w:ascii="宋体" w:hAnsi="宋体"/>
                <w:bCs/>
                <w:iCs/>
                <w:color w:val="000000"/>
                <w:sz w:val="24"/>
              </w:rPr>
              <w:t>无</w:t>
            </w:r>
          </w:p>
        </w:tc>
      </w:tr>
      <w:tr w14:paraId="4A12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EF956EA">
            <w:pPr>
              <w:spacing w:line="480" w:lineRule="atLeast"/>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78348C0E">
            <w:pPr>
              <w:spacing w:line="480" w:lineRule="atLeast"/>
              <w:rPr>
                <w:rFonts w:ascii="宋体" w:hAnsi="宋体"/>
                <w:bCs/>
                <w:iCs/>
                <w:color w:val="000000"/>
                <w:sz w:val="24"/>
              </w:rPr>
            </w:pPr>
            <w:r>
              <w:rPr>
                <w:rFonts w:hint="eastAsia" w:ascii="宋体" w:hAnsi="宋体"/>
                <w:bCs/>
                <w:iCs/>
                <w:color w:val="000000"/>
                <w:sz w:val="24"/>
              </w:rPr>
              <w:t>202</w:t>
            </w:r>
            <w:r>
              <w:rPr>
                <w:rFonts w:hint="eastAsia" w:ascii="宋体" w:hAnsi="宋体"/>
                <w:bCs/>
                <w:iCs/>
                <w:color w:val="000000"/>
                <w:sz w:val="24"/>
                <w:lang w:val="en-US" w:eastAsia="zh-CN"/>
              </w:rPr>
              <w:t>5</w:t>
            </w:r>
            <w:r>
              <w:rPr>
                <w:rFonts w:hint="eastAsia" w:ascii="宋体" w:hAnsi="宋体"/>
                <w:bCs/>
                <w:iCs/>
                <w:color w:val="000000"/>
                <w:sz w:val="24"/>
              </w:rPr>
              <w:t>年</w:t>
            </w:r>
            <w:r>
              <w:rPr>
                <w:rFonts w:hint="eastAsia" w:ascii="宋体" w:hAnsi="宋体"/>
                <w:bCs/>
                <w:iCs/>
                <w:color w:val="000000"/>
                <w:sz w:val="24"/>
                <w:lang w:val="en-US" w:eastAsia="zh-CN"/>
              </w:rPr>
              <w:t>8</w:t>
            </w:r>
            <w:r>
              <w:rPr>
                <w:rFonts w:hint="eastAsia" w:ascii="宋体" w:hAnsi="宋体"/>
                <w:bCs/>
                <w:iCs/>
                <w:color w:val="000000"/>
                <w:sz w:val="24"/>
              </w:rPr>
              <w:t>月</w:t>
            </w:r>
            <w:r>
              <w:rPr>
                <w:rFonts w:hint="eastAsia" w:ascii="宋体" w:hAnsi="宋体"/>
                <w:bCs/>
                <w:iCs/>
                <w:color w:val="000000"/>
                <w:sz w:val="24"/>
                <w:lang w:val="en-US" w:eastAsia="zh-CN"/>
              </w:rPr>
              <w:t>29</w:t>
            </w:r>
            <w:r>
              <w:rPr>
                <w:rFonts w:hint="eastAsia" w:ascii="宋体" w:hAnsi="宋体"/>
                <w:bCs/>
                <w:iCs/>
                <w:color w:val="000000"/>
                <w:sz w:val="24"/>
              </w:rPr>
              <w:t>日</w:t>
            </w:r>
          </w:p>
        </w:tc>
      </w:tr>
    </w:tbl>
    <w:p w14:paraId="2ACBD244">
      <w:pPr>
        <w:pStyle w:val="12"/>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NTE5NTlkM2UxNDFiOGQzMzM2YzY1NmUxYWM2ZTQifQ=="/>
  </w:docVars>
  <w:rsids>
    <w:rsidRoot w:val="00151070"/>
    <w:rsid w:val="00013C1C"/>
    <w:rsid w:val="000251B3"/>
    <w:rsid w:val="00030972"/>
    <w:rsid w:val="00030B13"/>
    <w:rsid w:val="0004438E"/>
    <w:rsid w:val="000837D6"/>
    <w:rsid w:val="000F07A0"/>
    <w:rsid w:val="001076B0"/>
    <w:rsid w:val="00110963"/>
    <w:rsid w:val="00127A13"/>
    <w:rsid w:val="00134FDB"/>
    <w:rsid w:val="00151070"/>
    <w:rsid w:val="00152D54"/>
    <w:rsid w:val="00175022"/>
    <w:rsid w:val="001B4C92"/>
    <w:rsid w:val="001C153A"/>
    <w:rsid w:val="001C15B2"/>
    <w:rsid w:val="001D5C74"/>
    <w:rsid w:val="001D765A"/>
    <w:rsid w:val="001E4A9C"/>
    <w:rsid w:val="0023119E"/>
    <w:rsid w:val="00240F97"/>
    <w:rsid w:val="0026080B"/>
    <w:rsid w:val="002773CA"/>
    <w:rsid w:val="002922B3"/>
    <w:rsid w:val="00296719"/>
    <w:rsid w:val="002A227A"/>
    <w:rsid w:val="00301B61"/>
    <w:rsid w:val="00302151"/>
    <w:rsid w:val="00320706"/>
    <w:rsid w:val="003243F6"/>
    <w:rsid w:val="00344428"/>
    <w:rsid w:val="00347A98"/>
    <w:rsid w:val="00405DA7"/>
    <w:rsid w:val="00410A20"/>
    <w:rsid w:val="00446B11"/>
    <w:rsid w:val="00456ADB"/>
    <w:rsid w:val="00471B94"/>
    <w:rsid w:val="004A3688"/>
    <w:rsid w:val="004A722C"/>
    <w:rsid w:val="004C122B"/>
    <w:rsid w:val="00512AF6"/>
    <w:rsid w:val="005368F3"/>
    <w:rsid w:val="00546A38"/>
    <w:rsid w:val="005C3304"/>
    <w:rsid w:val="005C6ACE"/>
    <w:rsid w:val="00626D1C"/>
    <w:rsid w:val="00656E16"/>
    <w:rsid w:val="006A4CFC"/>
    <w:rsid w:val="00740DC3"/>
    <w:rsid w:val="00757AE5"/>
    <w:rsid w:val="00765606"/>
    <w:rsid w:val="00767E4F"/>
    <w:rsid w:val="007B7396"/>
    <w:rsid w:val="007C05D4"/>
    <w:rsid w:val="007D2416"/>
    <w:rsid w:val="007F1A3C"/>
    <w:rsid w:val="007F32BE"/>
    <w:rsid w:val="00801B53"/>
    <w:rsid w:val="00805339"/>
    <w:rsid w:val="008056ED"/>
    <w:rsid w:val="00807C0F"/>
    <w:rsid w:val="008257AD"/>
    <w:rsid w:val="00871913"/>
    <w:rsid w:val="00887CF7"/>
    <w:rsid w:val="008F7A8D"/>
    <w:rsid w:val="00906464"/>
    <w:rsid w:val="00922EA0"/>
    <w:rsid w:val="00936BAC"/>
    <w:rsid w:val="009405E0"/>
    <w:rsid w:val="009455E6"/>
    <w:rsid w:val="009460EB"/>
    <w:rsid w:val="00961BD1"/>
    <w:rsid w:val="009900EE"/>
    <w:rsid w:val="0099255C"/>
    <w:rsid w:val="009956AA"/>
    <w:rsid w:val="009B5D0F"/>
    <w:rsid w:val="009D128A"/>
    <w:rsid w:val="009F43CD"/>
    <w:rsid w:val="00A00155"/>
    <w:rsid w:val="00A801EA"/>
    <w:rsid w:val="00AA1C93"/>
    <w:rsid w:val="00AC5D8B"/>
    <w:rsid w:val="00B25B45"/>
    <w:rsid w:val="00B73268"/>
    <w:rsid w:val="00B747F9"/>
    <w:rsid w:val="00BA10DB"/>
    <w:rsid w:val="00BD0C38"/>
    <w:rsid w:val="00C03C74"/>
    <w:rsid w:val="00C05152"/>
    <w:rsid w:val="00C21D92"/>
    <w:rsid w:val="00C2715C"/>
    <w:rsid w:val="00C953B0"/>
    <w:rsid w:val="00C9750D"/>
    <w:rsid w:val="00CA2F15"/>
    <w:rsid w:val="00CB32A0"/>
    <w:rsid w:val="00CB56E7"/>
    <w:rsid w:val="00CB7BFE"/>
    <w:rsid w:val="00CC0922"/>
    <w:rsid w:val="00CC627E"/>
    <w:rsid w:val="00CE29E9"/>
    <w:rsid w:val="00CE763B"/>
    <w:rsid w:val="00D11C06"/>
    <w:rsid w:val="00D23F00"/>
    <w:rsid w:val="00D3390A"/>
    <w:rsid w:val="00D617B2"/>
    <w:rsid w:val="00D750A0"/>
    <w:rsid w:val="00DB210E"/>
    <w:rsid w:val="00DC19E3"/>
    <w:rsid w:val="00DE308E"/>
    <w:rsid w:val="00DE53C5"/>
    <w:rsid w:val="00DF1E57"/>
    <w:rsid w:val="00E01875"/>
    <w:rsid w:val="00E07CB2"/>
    <w:rsid w:val="00E36FC6"/>
    <w:rsid w:val="00E945A9"/>
    <w:rsid w:val="00E96665"/>
    <w:rsid w:val="00EA0866"/>
    <w:rsid w:val="00EE394E"/>
    <w:rsid w:val="00F070C9"/>
    <w:rsid w:val="00F21DD6"/>
    <w:rsid w:val="00F25FF8"/>
    <w:rsid w:val="00F35881"/>
    <w:rsid w:val="00F40715"/>
    <w:rsid w:val="00FD1A42"/>
    <w:rsid w:val="00FF37B7"/>
    <w:rsid w:val="00FF554C"/>
    <w:rsid w:val="0176498D"/>
    <w:rsid w:val="03830824"/>
    <w:rsid w:val="05AB5612"/>
    <w:rsid w:val="068A7850"/>
    <w:rsid w:val="06E34785"/>
    <w:rsid w:val="0978738B"/>
    <w:rsid w:val="0A1C4833"/>
    <w:rsid w:val="0A9450C5"/>
    <w:rsid w:val="0BEF44DC"/>
    <w:rsid w:val="0F6063AF"/>
    <w:rsid w:val="12CF1AF1"/>
    <w:rsid w:val="13E62E35"/>
    <w:rsid w:val="16DE4297"/>
    <w:rsid w:val="17AA7F3F"/>
    <w:rsid w:val="18AF4B42"/>
    <w:rsid w:val="1A8A00A4"/>
    <w:rsid w:val="1A9747CA"/>
    <w:rsid w:val="1B684130"/>
    <w:rsid w:val="1ED46F31"/>
    <w:rsid w:val="1FF10406"/>
    <w:rsid w:val="21656CBF"/>
    <w:rsid w:val="22596EC8"/>
    <w:rsid w:val="22A705B3"/>
    <w:rsid w:val="22CB0CC1"/>
    <w:rsid w:val="26552E07"/>
    <w:rsid w:val="272F45CF"/>
    <w:rsid w:val="27870A7F"/>
    <w:rsid w:val="290C07F0"/>
    <w:rsid w:val="29A13AA2"/>
    <w:rsid w:val="29A749BD"/>
    <w:rsid w:val="29E72767"/>
    <w:rsid w:val="2A027055"/>
    <w:rsid w:val="2A7D796C"/>
    <w:rsid w:val="2C774586"/>
    <w:rsid w:val="2D7B0696"/>
    <w:rsid w:val="2DD350BF"/>
    <w:rsid w:val="2E4B1C88"/>
    <w:rsid w:val="2F135D47"/>
    <w:rsid w:val="2F692A40"/>
    <w:rsid w:val="30647164"/>
    <w:rsid w:val="31485D7C"/>
    <w:rsid w:val="33533805"/>
    <w:rsid w:val="34F14902"/>
    <w:rsid w:val="35633E8E"/>
    <w:rsid w:val="35BA3ED4"/>
    <w:rsid w:val="36CF5FE5"/>
    <w:rsid w:val="378E6966"/>
    <w:rsid w:val="392D6A85"/>
    <w:rsid w:val="3A30455A"/>
    <w:rsid w:val="3AB45B25"/>
    <w:rsid w:val="3AE65635"/>
    <w:rsid w:val="3BB32D4D"/>
    <w:rsid w:val="3BBC42F8"/>
    <w:rsid w:val="3C406CD7"/>
    <w:rsid w:val="3DBC57C1"/>
    <w:rsid w:val="3DBF00CF"/>
    <w:rsid w:val="400950B6"/>
    <w:rsid w:val="42841859"/>
    <w:rsid w:val="42C31F79"/>
    <w:rsid w:val="43F17569"/>
    <w:rsid w:val="459504F8"/>
    <w:rsid w:val="4670640B"/>
    <w:rsid w:val="474F6F84"/>
    <w:rsid w:val="47BC5006"/>
    <w:rsid w:val="492E435B"/>
    <w:rsid w:val="496E1128"/>
    <w:rsid w:val="4ABA40F8"/>
    <w:rsid w:val="4BE11524"/>
    <w:rsid w:val="4DCF25EE"/>
    <w:rsid w:val="51783058"/>
    <w:rsid w:val="544A79F2"/>
    <w:rsid w:val="553D5564"/>
    <w:rsid w:val="55561660"/>
    <w:rsid w:val="56744A56"/>
    <w:rsid w:val="59623365"/>
    <w:rsid w:val="5A5D4BF5"/>
    <w:rsid w:val="5B815B04"/>
    <w:rsid w:val="5BAC1F2F"/>
    <w:rsid w:val="5CD841D5"/>
    <w:rsid w:val="5DAF55F4"/>
    <w:rsid w:val="5DF14D16"/>
    <w:rsid w:val="5E693CF6"/>
    <w:rsid w:val="5FE23C7A"/>
    <w:rsid w:val="60962888"/>
    <w:rsid w:val="61551B40"/>
    <w:rsid w:val="635C5477"/>
    <w:rsid w:val="66C965AD"/>
    <w:rsid w:val="68211D11"/>
    <w:rsid w:val="6832131A"/>
    <w:rsid w:val="68716FA7"/>
    <w:rsid w:val="68B63CF9"/>
    <w:rsid w:val="6ABC0E1C"/>
    <w:rsid w:val="6AE242EB"/>
    <w:rsid w:val="6DAF51BB"/>
    <w:rsid w:val="6FB146A2"/>
    <w:rsid w:val="724B1615"/>
    <w:rsid w:val="7612152C"/>
    <w:rsid w:val="76911912"/>
    <w:rsid w:val="7730111A"/>
    <w:rsid w:val="77B43AFA"/>
    <w:rsid w:val="79BC7051"/>
    <w:rsid w:val="7A0C7600"/>
    <w:rsid w:val="7A823D04"/>
    <w:rsid w:val="7CEB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99"/>
    <w:rPr>
      <w:color w:val="0000FF"/>
      <w:u w:val="single"/>
    </w:rPr>
  </w:style>
  <w:style w:type="character" w:customStyle="1" w:styleId="10">
    <w:name w:val="页眉 字符"/>
    <w:basedOn w:val="8"/>
    <w:link w:val="5"/>
    <w:autoRedefine/>
    <w:qFormat/>
    <w:uiPriority w:val="99"/>
    <w:rPr>
      <w:rFonts w:ascii="Times New Roman" w:hAnsi="Times New Roman" w:eastAsia="宋体" w:cs="Times New Roman"/>
      <w:sz w:val="18"/>
      <w:szCs w:val="18"/>
    </w:rPr>
  </w:style>
  <w:style w:type="character" w:customStyle="1" w:styleId="11">
    <w:name w:val="页脚 字符"/>
    <w:basedOn w:val="8"/>
    <w:link w:val="4"/>
    <w:autoRedefine/>
    <w:qFormat/>
    <w:uiPriority w:val="99"/>
    <w:rPr>
      <w:rFonts w:ascii="Times New Roman" w:hAnsi="Times New Roman"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qFormat/>
    <w:uiPriority w:val="99"/>
    <w:rPr>
      <w:rFonts w:ascii="Times New Roman" w:hAnsi="Times New Roman" w:eastAsia="宋体" w:cs="Times New Roman"/>
      <w:sz w:val="18"/>
      <w:szCs w:val="18"/>
    </w:rPr>
  </w:style>
  <w:style w:type="paragraph" w:styleId="1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fontstyle01"/>
    <w:basedOn w:val="8"/>
    <w:autoRedefine/>
    <w:qFormat/>
    <w:uiPriority w:val="0"/>
    <w:rPr>
      <w:rFonts w:hint="eastAsia" w:ascii="宋体" w:hAnsi="宋体" w:eastAsia="宋体"/>
      <w:color w:val="000000"/>
      <w:sz w:val="24"/>
      <w:szCs w:val="24"/>
    </w:rPr>
  </w:style>
  <w:style w:type="character" w:customStyle="1" w:styleId="16">
    <w:name w:val="fontstyle21"/>
    <w:basedOn w:val="8"/>
    <w:autoRedefine/>
    <w:qFormat/>
    <w:uiPriority w:val="0"/>
    <w:rPr>
      <w:rFonts w:hint="default" w:ascii="Times New Roman" w:hAnsi="Times New Roman" w:cs="Times New Roman"/>
      <w:color w:val="000000"/>
      <w:sz w:val="24"/>
      <w:szCs w:val="24"/>
    </w:rPr>
  </w:style>
  <w:style w:type="paragraph" w:customStyle="1" w:styleId="17">
    <w:name w:val="内页正文"/>
    <w:link w:val="18"/>
    <w:autoRedefine/>
    <w:qFormat/>
    <w:uiPriority w:val="0"/>
    <w:pPr>
      <w:spacing w:after="120"/>
      <w:jc w:val="both"/>
    </w:pPr>
    <w:rPr>
      <w:rFonts w:ascii="Arial" w:hAnsi="Arial" w:eastAsia="华文细黑" w:cs="Arial"/>
      <w:kern w:val="2"/>
      <w:sz w:val="18"/>
      <w:szCs w:val="19"/>
      <w:lang w:val="en-US" w:eastAsia="zh-CN" w:bidi="ar-SA"/>
    </w:rPr>
  </w:style>
  <w:style w:type="character" w:customStyle="1" w:styleId="18">
    <w:name w:val="内页正文 Char"/>
    <w:link w:val="17"/>
    <w:autoRedefine/>
    <w:qFormat/>
    <w:uiPriority w:val="0"/>
    <w:rPr>
      <w:rFonts w:ascii="Arial" w:hAnsi="Arial" w:eastAsia="华文细黑" w:cs="Arial"/>
      <w:kern w:val="2"/>
      <w:sz w:val="18"/>
      <w:szCs w:val="19"/>
    </w:rPr>
  </w:style>
  <w:style w:type="paragraph" w:customStyle="1" w:styleId="19">
    <w:name w:val="列表段落1"/>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101C-C541-4A38-8C58-D3E24BEC42D7}">
  <ds:schemaRefs/>
</ds:datastoreItem>
</file>

<file path=docProps/app.xml><?xml version="1.0" encoding="utf-8"?>
<Properties xmlns="http://schemas.openxmlformats.org/officeDocument/2006/extended-properties" xmlns:vt="http://schemas.openxmlformats.org/officeDocument/2006/docPropsVTypes">
  <Template>Normal</Template>
  <Company>win10com.com</Company>
  <Pages>8</Pages>
  <Words>4917</Words>
  <Characters>5217</Characters>
  <Lines>26</Lines>
  <Paragraphs>7</Paragraphs>
  <TotalTime>39</TotalTime>
  <ScaleCrop>false</ScaleCrop>
  <LinksUpToDate>false</LinksUpToDate>
  <CharactersWithSpaces>5271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2023-09-06T09:14:00Z</dcterms:created>
  <dc:creator>skd004</dc:creator>
  <cp:lastModifiedBy>犀牛</cp:lastModifiedBy>
  <cp:lastPrinted>2024-11-01T02:21:00Z</cp:lastPrinted>
  <dcterms:modified xsi:type="dcterms:W3CDTF">2025-08-29T07:27:15Z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427BA786D98440F29B60E8DAD60F6825_13</vt:lpwstr>
  </property>
  <property fmtid="{D5CDD505-2E9C-101B-9397-08002B2CF9AE}" pid="4" name="KSOTemplateDocerSaveRecord">
    <vt:lpwstr>eyJoZGlkIjoiODE2YzE2OTFjMWRhMzAwM2VkNWI2OTJkODFkMTE0YzEiLCJ1c2VySWQiOiIzNjAzMDk0ODUifQ==</vt:lpwstr>
  </property>
</Properties>
</file>