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eastAsia" w:eastAsia="宋体"/>
                <w:bCs/>
                <w:iCs/>
                <w:color w:val="000000"/>
                <w:sz w:val="24"/>
                <w:lang w:val="en-US" w:eastAsia="zh-CN"/>
              </w:rPr>
            </w:pPr>
            <w:r>
              <w:rPr>
                <w:rFonts w:hint="eastAsia"/>
                <w:bCs/>
                <w:iCs/>
                <w:color w:val="000000"/>
                <w:sz w:val="24"/>
              </w:rPr>
              <w:t>永赢基金、</w:t>
            </w:r>
            <w:r>
              <w:rPr>
                <w:rFonts w:hint="eastAsia"/>
                <w:bCs/>
                <w:iCs/>
                <w:color w:val="000000"/>
                <w:sz w:val="24"/>
                <w:lang w:val="en-US" w:eastAsia="zh-CN"/>
              </w:rPr>
              <w:t>摩根士丹利基金、嘉实基金、大成基金、博时基金、富国基金、工银瑞信基金、兴银基金、华安基金、创金合信基金、银华基金、鹏扬基金、长盛基金、万家基金、华商基金、泉果基金、君茂资本、宽远资产、泰康资产、阳光资产、中信证券、</w:t>
            </w:r>
            <w:r>
              <w:rPr>
                <w:rFonts w:hint="eastAsia"/>
                <w:bCs/>
                <w:iCs/>
                <w:color w:val="000000"/>
                <w:sz w:val="24"/>
              </w:rPr>
              <w:t>申万宏源证券、信达证券</w:t>
            </w:r>
            <w:r>
              <w:rPr>
                <w:rFonts w:hint="eastAsia"/>
                <w:bCs/>
                <w:iCs/>
                <w:color w:val="000000"/>
                <w:sz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bCs/>
                <w:iCs/>
                <w:color w:val="000000"/>
                <w:sz w:val="24"/>
              </w:rPr>
            </w:pPr>
            <w:r>
              <w:rPr>
                <w:rFonts w:hint="eastAsia" w:ascii="宋体" w:hAnsi="宋体" w:cs="宋体"/>
                <w:sz w:val="24"/>
              </w:rPr>
              <w:t>2025年8月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wordWrap w:val="0"/>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lang w:val="en-US" w:eastAsia="zh-CN"/>
              </w:rPr>
              <w:t>现场：</w:t>
            </w:r>
            <w:r>
              <w:rPr>
                <w:rFonts w:hint="eastAsia" w:ascii="宋体" w:hAnsi="宋体" w:cs="宋体"/>
                <w:sz w:val="24"/>
              </w:rPr>
              <w:t>青岛市市北区郑州路43号橡胶新材料大楼会议室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董事、董事会秘书：李吉庆</w:t>
            </w:r>
          </w:p>
          <w:p>
            <w:pPr>
              <w:rPr>
                <w:rFonts w:ascii="宋体" w:hAnsi="宋体" w:cs="宋体"/>
                <w:sz w:val="24"/>
              </w:rPr>
            </w:pPr>
            <w:r>
              <w:rPr>
                <w:rFonts w:hint="eastAsia" w:ascii="宋体" w:hAnsi="宋体" w:cs="宋体"/>
                <w:sz w:val="24"/>
              </w:rPr>
              <w:t>投资者关系主管：曲蕾</w:t>
            </w:r>
          </w:p>
          <w:p>
            <w:pPr>
              <w:rPr>
                <w:rFonts w:ascii="宋体" w:hAnsi="宋体"/>
                <w:bCs/>
                <w:sz w:val="24"/>
              </w:rPr>
            </w:pPr>
            <w:r>
              <w:rPr>
                <w:rFonts w:hint="eastAsia" w:ascii="宋体" w:hAnsi="宋体" w:cs="宋体"/>
                <w:sz w:val="24"/>
              </w:rPr>
              <w:t>监事会主席：闫凯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b/>
                <w:bCs/>
                <w:sz w:val="24"/>
                <w:szCs w:val="24"/>
              </w:rPr>
            </w:pPr>
            <w:r>
              <w:rPr>
                <w:rFonts w:hint="eastAsia" w:ascii="宋体" w:hAnsi="宋体"/>
                <w:b/>
                <w:bCs/>
                <w:sz w:val="24"/>
                <w:szCs w:val="24"/>
              </w:rPr>
              <w:t>一、公司简介：</w:t>
            </w:r>
          </w:p>
          <w:p>
            <w:pPr>
              <w:pStyle w:val="13"/>
              <w:spacing w:line="460" w:lineRule="exact"/>
              <w:ind w:firstLine="480"/>
              <w:rPr>
                <w:rFonts w:ascii="宋体" w:hAnsi="宋体"/>
                <w:sz w:val="24"/>
                <w:szCs w:val="24"/>
              </w:rPr>
            </w:pPr>
            <w:r>
              <w:rPr>
                <w:rFonts w:hint="eastAsia" w:ascii="宋体" w:hAnsi="宋体"/>
                <w:sz w:val="24"/>
                <w:szCs w:val="24"/>
              </w:rPr>
              <w:t>赛轮集团股份有限公司创建于2002年，是中国第一家A股上市民营轮胎企业，也是中国第一家“走出去”在海外建厂的轮胎企业。</w:t>
            </w:r>
          </w:p>
          <w:p>
            <w:pPr>
              <w:pStyle w:val="13"/>
              <w:spacing w:line="460" w:lineRule="exact"/>
              <w:ind w:firstLine="480"/>
              <w:rPr>
                <w:rFonts w:ascii="宋体" w:hAnsi="宋体"/>
                <w:sz w:val="24"/>
                <w:szCs w:val="24"/>
              </w:rPr>
            </w:pPr>
            <w:r>
              <w:rPr>
                <w:rFonts w:hint="eastAsia" w:ascii="宋体" w:hAnsi="宋体"/>
                <w:sz w:val="24"/>
                <w:szCs w:val="24"/>
              </w:rPr>
              <w:t>根据美国《轮胎商业》发布的2024年全球轮胎企业75强排行榜，公司位居第10位。根据Brand Finance品牌价值评估机构发布的《2025年全球最具价值轮胎品牌榜单》，公司位列第10位，是中国最具价值的轮胎品牌。公司还以1,128.96亿元品牌价值位列2025年“中国500最具价值品牌”第105位，品牌价值连续八年持续提升。</w:t>
            </w:r>
          </w:p>
          <w:p>
            <w:pPr>
              <w:spacing w:line="360" w:lineRule="auto"/>
              <w:ind w:firstLine="480" w:firstLineChars="200"/>
              <w:rPr>
                <w:rFonts w:hint="default" w:ascii="宋体" w:hAnsi="宋体" w:eastAsia="宋体"/>
                <w:sz w:val="24"/>
                <w:lang w:val="en-US" w:eastAsia="zh-CN"/>
              </w:rPr>
            </w:pPr>
            <w:r>
              <w:rPr>
                <w:rFonts w:hint="eastAsia" w:ascii="宋体" w:hAnsi="宋体" w:cs="宋体"/>
                <w:sz w:val="24"/>
              </w:rPr>
              <w:t>2025年上半年公司营业收入175.87亿元，同比增长16.05%；实现归母净利润18.31亿元；轮胎产量和销量分别为4,060.05万条和3,914.49万条，分别同比增长14.66%和13.32%。</w:t>
            </w:r>
            <w:r>
              <w:rPr>
                <w:rFonts w:hint="eastAsia" w:ascii="宋体" w:hAnsi="宋体" w:cs="宋体"/>
                <w:sz w:val="24"/>
                <w:lang w:val="en-US" w:eastAsia="zh-CN"/>
              </w:rPr>
              <w:t>公司上半年轮胎产量、销量及境内外轮胎收入均创历史同期新高。</w:t>
            </w:r>
          </w:p>
          <w:p>
            <w:pPr>
              <w:spacing w:line="360" w:lineRule="auto"/>
              <w:ind w:firstLine="480" w:firstLineChars="200"/>
            </w:pPr>
            <w:r>
              <w:rPr>
                <w:rFonts w:hint="eastAsia" w:ascii="宋体" w:hAnsi="宋体" w:cs="宋体"/>
                <w:sz w:val="24"/>
              </w:rPr>
              <w:t>公司已在中国的青岛、东营、沈阳、潍坊及海外的越南、柬埔寨、墨西哥、印尼建有轮胎生产基地，埃及、沈阳新和平生产基地计划近期启动建设。</w:t>
            </w:r>
            <w:r>
              <w:rPr>
                <w:rFonts w:hint="eastAsia" w:ascii="宋体" w:hAnsi="宋体"/>
                <w:sz w:val="24"/>
              </w:rPr>
              <w:t>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w:t>
            </w:r>
            <w:r>
              <w:rPr>
                <w:rFonts w:hint="eastAsia" w:ascii="宋体" w:hAnsi="宋体" w:cs="宋体"/>
                <w:sz w:val="24"/>
              </w:rPr>
              <w:t>截至目前，公司共规划建设年生产3,155万条全钢子午胎、1.09亿条半钢子午胎和46.7万吨非公路轮胎的生产能力。</w:t>
            </w:r>
          </w:p>
          <w:p>
            <w:pPr>
              <w:pStyle w:val="13"/>
              <w:spacing w:line="460" w:lineRule="exact"/>
              <w:ind w:firstLine="0" w:firstLineChars="0"/>
              <w:rPr>
                <w:rFonts w:ascii="宋体" w:hAnsi="宋体"/>
                <w:sz w:val="24"/>
                <w:szCs w:val="24"/>
              </w:rPr>
            </w:pPr>
            <w:r>
              <w:rPr>
                <w:rFonts w:hint="eastAsia" w:ascii="宋体" w:hAnsi="宋体"/>
                <w:b/>
                <w:bCs/>
                <w:sz w:val="24"/>
                <w:szCs w:val="24"/>
              </w:rPr>
              <w:t>二、投资者提出的主要问题及公司回复情况:</w:t>
            </w:r>
          </w:p>
          <w:p>
            <w:pPr>
              <w:pStyle w:val="13"/>
              <w:spacing w:line="460" w:lineRule="exact"/>
              <w:ind w:left="-2" w:leftChars="-1" w:firstLine="482"/>
              <w:rPr>
                <w:rFonts w:ascii="宋体" w:hAnsi="宋体"/>
                <w:b/>
                <w:bCs/>
                <w:sz w:val="24"/>
                <w:szCs w:val="24"/>
              </w:rPr>
            </w:pPr>
            <w:r>
              <w:rPr>
                <w:rFonts w:hint="eastAsia" w:ascii="宋体" w:hAnsi="宋体"/>
                <w:b/>
                <w:bCs/>
                <w:sz w:val="24"/>
                <w:szCs w:val="24"/>
              </w:rPr>
              <w:t>1、公司今年分红方案？</w:t>
            </w:r>
          </w:p>
          <w:p>
            <w:pPr>
              <w:pStyle w:val="13"/>
              <w:spacing w:line="460" w:lineRule="exact"/>
              <w:ind w:left="-2" w:leftChars="-1" w:firstLine="480"/>
              <w:rPr>
                <w:rFonts w:ascii="宋体" w:hAnsi="宋体"/>
                <w:sz w:val="24"/>
                <w:szCs w:val="24"/>
              </w:rPr>
            </w:pPr>
            <w:r>
              <w:rPr>
                <w:rFonts w:hint="eastAsia" w:ascii="宋体" w:hAnsi="宋体"/>
                <w:sz w:val="24"/>
                <w:szCs w:val="24"/>
              </w:rPr>
              <w:t>答：公司一直重视对投资者的回报，上市以来每年均进行现金红利分配。2025年中期，公司拟以实施权益分派股权登记日登记的总股本为基数，向全体股东每股派发现金红利0.15元（含税）。以2025年6月30日总股本3,288,100,259股为基数，预计派发现金红利493,215,038.85元（含税）。未来，公司将尽力做好生产经营，不断提升公司盈利能力和竞争力，并严格按照《公司章程》《股东回报规划》等要求，结合公司实际情况提出让广大投资者满意的利润分配方案。</w:t>
            </w:r>
          </w:p>
          <w:p>
            <w:pPr>
              <w:pStyle w:val="13"/>
              <w:spacing w:line="460" w:lineRule="exact"/>
              <w:ind w:left="-2" w:leftChars="-1" w:firstLine="482"/>
              <w:rPr>
                <w:rFonts w:ascii="宋体" w:hAnsi="宋体"/>
                <w:b/>
                <w:bCs/>
                <w:sz w:val="24"/>
                <w:szCs w:val="24"/>
              </w:rPr>
            </w:pPr>
            <w:r>
              <w:rPr>
                <w:rFonts w:hint="eastAsia" w:ascii="宋体" w:hAnsi="宋体"/>
                <w:b/>
                <w:bCs/>
                <w:sz w:val="24"/>
                <w:szCs w:val="24"/>
              </w:rPr>
              <w:t>2</w:t>
            </w:r>
            <w:r>
              <w:rPr>
                <w:rFonts w:ascii="宋体" w:hAnsi="宋体"/>
                <w:b/>
                <w:bCs/>
                <w:sz w:val="24"/>
                <w:szCs w:val="24"/>
              </w:rPr>
              <w:t>、</w:t>
            </w:r>
            <w:r>
              <w:rPr>
                <w:rFonts w:hint="eastAsia" w:ascii="宋体" w:hAnsi="宋体"/>
                <w:b/>
                <w:bCs/>
                <w:sz w:val="24"/>
                <w:szCs w:val="24"/>
              </w:rPr>
              <w:t>公司赛车胎业务开展近况？</w:t>
            </w:r>
          </w:p>
          <w:p>
            <w:pPr>
              <w:pStyle w:val="13"/>
              <w:spacing w:line="460" w:lineRule="exact"/>
              <w:ind w:left="-2" w:leftChars="-1" w:firstLine="480"/>
              <w:rPr>
                <w:rFonts w:ascii="宋体" w:hAnsi="宋体"/>
                <w:sz w:val="24"/>
              </w:rPr>
            </w:pPr>
            <w:r>
              <w:rPr>
                <w:rFonts w:hint="eastAsia" w:ascii="宋体" w:hAnsi="宋体"/>
                <w:sz w:val="24"/>
                <w:szCs w:val="24"/>
              </w:rPr>
              <w:t>答：公司自2017年推出赛车轮胎以来，凭借优异的产品性能，获得了多项汽车赛事荣誉。公司与小米汽车合作开发的适用于SU7Ultra的赛道高性能轮胎PT01上架“小米有品”商城，并助力小米汽车成为北京易车金港、上海天马及宁波国际赛车场、厦门国际赛车场的最速四门量产车；公司赛车轮胎首次登陆欧洲赛事，助力“中国制造”车队取得良好成绩；公司成为丰田GR86Cup中国挑战赛2025赛季唯一指定轮胎供应商；公司热熔胎再次为F4方程式中国锦标赛提供支持，首站即刷新赛道纪录；公司轮胎亮相纽博格林24小时耐力赛，助力“全华班”阵容斩获佳绩；公司TERRAMAXRT越野胎为2025环塔拉力赛提供支持，成为长城汽车、郑州日产车队的官方指定用胎，助力车队取得了优异成绩。未来，公司会持续推进赛车轮胎相关业务，并希望借此提升公司品牌形象及竞争力</w:t>
            </w:r>
            <w:r>
              <w:rPr>
                <w:rFonts w:hint="eastAsia" w:ascii="宋体" w:hAnsi="宋体" w:cs="宋体"/>
                <w:sz w:val="24"/>
              </w:rPr>
              <w:t>。</w:t>
            </w:r>
          </w:p>
          <w:p>
            <w:pPr>
              <w:pStyle w:val="13"/>
              <w:spacing w:line="460" w:lineRule="exact"/>
              <w:ind w:left="-2" w:leftChars="-1" w:firstLine="482"/>
              <w:rPr>
                <w:rFonts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、公司非公路业务有开拓新市场吗？</w:t>
            </w:r>
          </w:p>
          <w:p>
            <w:pPr>
              <w:pStyle w:val="13"/>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公司在非公路轮胎市场实现了多项突破。在澳大利亚，公司巨型工程子午胎产品获得了国际矿业巨头必和必拓的认可；在东南亚，公司与广晟矿业集团下属泛奥公司签署了年度长协，为其老挝普巴矿业旗下两座大型金属矿山提供全方位、高性能的轮胎解决方案；在非洲，公司与力拓集团签订了五年供应协议暨全球框架协议，为其部分自有矿卡及配套辅助设备提供全套轮胎解决方案，并将逐步与力拓集团其他全球项目开启合作。</w:t>
            </w:r>
          </w:p>
          <w:p>
            <w:pPr>
              <w:pStyle w:val="13"/>
              <w:spacing w:line="460" w:lineRule="exact"/>
              <w:ind w:left="-2" w:leftChars="-1" w:firstLine="480"/>
              <w:rPr>
                <w:rFonts w:ascii="宋体" w:hAnsi="宋体"/>
                <w:sz w:val="24"/>
                <w:szCs w:val="24"/>
              </w:rPr>
            </w:pPr>
            <w:r>
              <w:rPr>
                <w:rFonts w:hint="eastAsia" w:ascii="宋体" w:hAnsi="宋体"/>
                <w:sz w:val="24"/>
                <w:szCs w:val="24"/>
              </w:rPr>
              <w:t>目前，公司非公路轮胎产品已成功配套卡特彼勒、约翰迪尔、凯斯纽荷兰、英国JCB、小松、沃尔沃、爱科、道依茨法尔、徐工、柳工、北方重工、三一重工、同力重工、山东临工、潍柴雷沃、中联重科、中国一拖等国内外知名企业。</w:t>
            </w:r>
          </w:p>
          <w:p>
            <w:pPr>
              <w:pStyle w:val="13"/>
              <w:spacing w:line="460" w:lineRule="exact"/>
              <w:ind w:left="-2" w:leftChars="-1" w:firstLine="482"/>
              <w:rPr>
                <w:rFonts w:ascii="宋体" w:hAnsi="宋体"/>
                <w:b/>
                <w:bCs/>
                <w:sz w:val="24"/>
                <w:szCs w:val="24"/>
              </w:rPr>
            </w:pPr>
            <w:r>
              <w:rPr>
                <w:rFonts w:hint="eastAsia" w:ascii="宋体" w:hAnsi="宋体"/>
                <w:b/>
                <w:bCs/>
                <w:sz w:val="24"/>
                <w:szCs w:val="24"/>
                <w:lang w:val="en-US" w:eastAsia="zh-CN"/>
              </w:rPr>
              <w:t>4</w:t>
            </w:r>
            <w:r>
              <w:rPr>
                <w:rFonts w:hint="eastAsia" w:ascii="宋体" w:hAnsi="宋体"/>
                <w:b/>
                <w:bCs/>
                <w:sz w:val="24"/>
                <w:szCs w:val="24"/>
              </w:rPr>
              <w:t>、原材料对公司盈利能力的影响？</w:t>
            </w:r>
          </w:p>
          <w:p>
            <w:pPr>
              <w:pStyle w:val="13"/>
              <w:widowControl/>
              <w:spacing w:line="460" w:lineRule="exact"/>
              <w:ind w:left="-2" w:leftChars="-1" w:firstLine="480"/>
              <w:jc w:val="left"/>
              <w:rPr>
                <w:rFonts w:ascii="宋体" w:hAnsi="宋体"/>
                <w:sz w:val="24"/>
                <w:szCs w:val="24"/>
              </w:rPr>
            </w:pPr>
            <w:r>
              <w:rPr>
                <w:rFonts w:ascii="宋体" w:hAnsi="宋体"/>
                <w:sz w:val="24"/>
                <w:szCs w:val="24"/>
              </w:rPr>
              <w:t>答:2025年上半年，轮胎行业原材料价格整体呈现高位回落，但整体水平较去年同期仍有所增长。公司第二季度天然橡胶、合成橡胶、炭黑、钢丝帘线四项主要原材料的综合采购价格同比增长0.82%，环比下降4.64%。公司日常会根据各类原材料的市场情况以及需求计划灵活制定具体采购策略，并综合生产成本及市场需求等因素视情况确定价格调整策略，以尽量减少原材料价格波动对公司带来的不利影响。</w:t>
            </w:r>
          </w:p>
          <w:p>
            <w:pPr>
              <w:pStyle w:val="13"/>
              <w:spacing w:line="460" w:lineRule="exact"/>
              <w:ind w:left="-2" w:leftChars="-1" w:firstLine="482"/>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、上半年配套业务有新的变化吗？</w:t>
            </w:r>
          </w:p>
          <w:p>
            <w:pPr>
              <w:pStyle w:val="13"/>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截至上半年末，公司全钢产品已成功配套一汽解放、中国重汽、宇通客车、比亚迪、吉利远程商用车、三一重工、东风汽车、北汽福田、陕汽商用车、潍柴新能源等知名企业；半钢产品已成功配套比亚迪、吉利、奇瑞、长安、一汽-大众、北汽、蔚来、南京依维柯、越南VinFast等国内外知名企业，配套数量保持快速增长；公司非公路轮胎产品已成功配套卡特彼勒、约翰迪尔、凯斯纽荷兰、英国JCB、小松、沃尔沃、爱科、道依茨法尔、徐工、柳工、北方重工、三一重工、同力重工、山东临工、潍柴雷沃、中联重科、中国一拖等国内外知名企业。未来，公司将凭借优异的产品性能及良好的服务持续推进与相关车企的合作。</w:t>
            </w:r>
          </w:p>
          <w:p>
            <w:pPr>
              <w:pStyle w:val="13"/>
              <w:spacing w:line="460" w:lineRule="exact"/>
              <w:ind w:left="-2" w:leftChars="-1" w:firstLine="482"/>
              <w:rPr>
                <w:rFonts w:ascii="宋体" w:hAnsi="宋体"/>
                <w:b/>
                <w:bCs/>
                <w:sz w:val="24"/>
                <w:szCs w:val="24"/>
              </w:rPr>
            </w:pPr>
            <w:r>
              <w:rPr>
                <w:rFonts w:hint="eastAsia" w:ascii="宋体" w:hAnsi="宋体"/>
                <w:b/>
                <w:bCs/>
                <w:sz w:val="24"/>
                <w:szCs w:val="24"/>
                <w:lang w:val="en-US" w:eastAsia="zh-CN"/>
              </w:rPr>
              <w:t>6</w:t>
            </w:r>
            <w:r>
              <w:rPr>
                <w:rFonts w:ascii="宋体" w:hAnsi="宋体"/>
                <w:b/>
                <w:bCs/>
                <w:sz w:val="24"/>
                <w:szCs w:val="24"/>
              </w:rPr>
              <w:t>、</w:t>
            </w:r>
            <w:r>
              <w:rPr>
                <w:rFonts w:hint="eastAsia" w:ascii="宋体" w:hAnsi="宋体"/>
                <w:b/>
                <w:bCs/>
                <w:sz w:val="24"/>
                <w:szCs w:val="24"/>
                <w:lang w:val="en-US" w:eastAsia="zh-CN"/>
              </w:rPr>
              <w:t>沈阳的赛轮新和平公司有巨额亏损，为何公司还要对其投资建设？</w:t>
            </w:r>
          </w:p>
          <w:p>
            <w:pPr>
              <w:pStyle w:val="13"/>
              <w:spacing w:line="460" w:lineRule="exact"/>
              <w:ind w:left="-2" w:leftChars="-1" w:firstLine="482"/>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答：</w:t>
            </w:r>
            <w:r>
              <w:rPr>
                <w:rFonts w:hint="eastAsia" w:ascii="宋体" w:hAnsi="宋体"/>
                <w:sz w:val="24"/>
                <w:szCs w:val="24"/>
              </w:rPr>
              <w:t>原普利司通沈阳工厂于2024年做出终止运营的决议，另因其内部债务豁免，导致其2024年度及2025年上半年利润出现亏损。2025年7月公司完成股权交割后，经董事会审议，公司拟对其进行改造和扩建。建成后，赛轮</w:t>
            </w:r>
            <w:bookmarkStart w:id="0" w:name="_GoBack"/>
            <w:bookmarkEnd w:id="0"/>
            <w:r>
              <w:rPr>
                <w:rFonts w:hint="eastAsia" w:ascii="宋体" w:hAnsi="宋体"/>
                <w:sz w:val="24"/>
                <w:szCs w:val="24"/>
              </w:rPr>
              <w:t>新和平将具备年产330万条全钢子午线轮胎及2万吨非公路轮胎生产能力，将有利于进一步完善公司产能布局，可以更好地保障产品供应，提升公司应对风险的能力，进而可以增强公司综合实力。同时，赛轮新和平和赛轮沈阳工厂位置相近，可以有效发挥协同优势，降低综合运营成本，提升整体运营效率。</w:t>
            </w:r>
          </w:p>
          <w:p>
            <w:pPr>
              <w:pStyle w:val="13"/>
              <w:spacing w:line="460" w:lineRule="exact"/>
              <w:ind w:left="-2" w:leftChars="-1" w:firstLine="482"/>
              <w:rPr>
                <w:rFonts w:ascii="宋体" w:hAnsi="宋体"/>
                <w:b/>
                <w:bCs/>
                <w:sz w:val="24"/>
                <w:szCs w:val="24"/>
              </w:rPr>
            </w:pPr>
            <w:r>
              <w:rPr>
                <w:rFonts w:hint="eastAsia" w:ascii="宋体" w:hAnsi="宋体"/>
                <w:b/>
                <w:bCs/>
                <w:sz w:val="24"/>
                <w:szCs w:val="24"/>
                <w:lang w:val="en-US" w:eastAsia="zh-CN"/>
              </w:rPr>
              <w:t>7、</w:t>
            </w:r>
            <w:r>
              <w:rPr>
                <w:rFonts w:hint="eastAsia" w:ascii="宋体" w:hAnsi="宋体"/>
                <w:b/>
                <w:bCs/>
                <w:sz w:val="24"/>
                <w:szCs w:val="24"/>
              </w:rPr>
              <w:t>公司实控人的增持进展</w:t>
            </w:r>
            <w:r>
              <w:rPr>
                <w:rFonts w:ascii="宋体" w:hAnsi="宋体"/>
                <w:b/>
                <w:bCs/>
                <w:sz w:val="24"/>
                <w:szCs w:val="24"/>
              </w:rPr>
              <w:t>？</w:t>
            </w:r>
          </w:p>
          <w:p>
            <w:pPr>
              <w:pStyle w:val="13"/>
              <w:spacing w:line="460" w:lineRule="exact"/>
              <w:ind w:left="-2" w:leftChars="-1" w:firstLine="480"/>
              <w:rPr>
                <w:rFonts w:ascii="宋体" w:hAnsi="宋体"/>
                <w:sz w:val="24"/>
                <w:szCs w:val="24"/>
              </w:rPr>
            </w:pPr>
            <w:r>
              <w:rPr>
                <w:rFonts w:ascii="宋体" w:hAnsi="宋体"/>
                <w:sz w:val="24"/>
                <w:szCs w:val="24"/>
              </w:rPr>
              <w:t>答：公司于2025年6月21日披露了《详式权益变动报告书》，</w:t>
            </w:r>
            <w:r>
              <w:rPr>
                <w:rFonts w:hint="eastAsia" w:ascii="宋体" w:hAnsi="宋体"/>
                <w:sz w:val="24"/>
                <w:szCs w:val="24"/>
              </w:rPr>
              <w:t>实控人控制的</w:t>
            </w:r>
            <w:r>
              <w:rPr>
                <w:rFonts w:ascii="宋体" w:hAnsi="宋体"/>
                <w:sz w:val="24"/>
                <w:szCs w:val="24"/>
              </w:rPr>
              <w:t>瑞元鼎实投资有限公司已增持约1%公司股份，后续公司将根据《上海证券交易所股票上市规则》等相关规定，持续关注增持的进展情况，</w:t>
            </w:r>
            <w:r>
              <w:rPr>
                <w:rFonts w:hint="eastAsia" w:ascii="宋体" w:hAnsi="宋体"/>
                <w:sz w:val="24"/>
                <w:szCs w:val="24"/>
              </w:rPr>
              <w:t>并</w:t>
            </w:r>
            <w:r>
              <w:rPr>
                <w:rFonts w:ascii="宋体" w:hAnsi="宋体"/>
                <w:sz w:val="24"/>
                <w:szCs w:val="24"/>
              </w:rPr>
              <w:t>提醒</w:t>
            </w:r>
            <w:r>
              <w:rPr>
                <w:rFonts w:hint="eastAsia" w:ascii="宋体" w:hAnsi="宋体"/>
                <w:sz w:val="24"/>
                <w:szCs w:val="24"/>
              </w:rPr>
              <w:t>实控人</w:t>
            </w:r>
            <w:r>
              <w:rPr>
                <w:rFonts w:ascii="宋体" w:hAnsi="宋体"/>
                <w:sz w:val="24"/>
                <w:szCs w:val="24"/>
              </w:rPr>
              <w:t>按监管要求履行信息告知义务。</w:t>
            </w:r>
          </w:p>
          <w:p>
            <w:pPr>
              <w:pStyle w:val="13"/>
              <w:numPr>
                <w:ilvl w:val="-1"/>
                <w:numId w:val="0"/>
              </w:numPr>
              <w:spacing w:line="460" w:lineRule="exact"/>
              <w:ind w:left="-2" w:leftChars="-1" w:firstLine="482" w:firstLineChars="0"/>
              <w:rPr>
                <w:rFonts w:hint="eastAsia" w:ascii="宋体" w:hAnsi="宋体"/>
                <w:b/>
                <w:bCs/>
                <w:sz w:val="24"/>
                <w:szCs w:val="24"/>
                <w:lang w:val="en-US" w:eastAsia="zh-CN"/>
              </w:rPr>
            </w:pPr>
            <w:r>
              <w:rPr>
                <w:rFonts w:hint="eastAsia" w:ascii="宋体" w:hAnsi="宋体"/>
                <w:b/>
                <w:bCs/>
                <w:sz w:val="24"/>
                <w:szCs w:val="24"/>
                <w:lang w:val="en-US" w:eastAsia="zh-CN"/>
              </w:rPr>
              <w:t>8、华东试验场近况？</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w:t>
            </w:r>
            <w:r>
              <w:rPr>
                <w:rFonts w:hint="default" w:ascii="宋体" w:hAnsi="宋体"/>
                <w:sz w:val="24"/>
                <w:szCs w:val="24"/>
              </w:rPr>
              <w:t>公司华东试验场规划建设智能网联、性能测试、耐久测试、试验室测试、运维服务等五大区域,其中包括20余条高标准测试道路,正向规划、分步实施、商乘一体,可以满足全系列车型与主要汽车零部件企业的要求。公司增资控股华东试验场后</w:t>
            </w:r>
            <w:r>
              <w:rPr>
                <w:rFonts w:hint="eastAsia" w:ascii="宋体" w:hAnsi="宋体"/>
                <w:sz w:val="24"/>
                <w:szCs w:val="24"/>
                <w:lang w:eastAsia="zh-CN"/>
              </w:rPr>
              <w:t>，</w:t>
            </w:r>
            <w:r>
              <w:rPr>
                <w:rFonts w:hint="default" w:ascii="宋体" w:hAnsi="宋体"/>
                <w:sz w:val="24"/>
                <w:szCs w:val="24"/>
              </w:rPr>
              <w:t>进一步增强其资金实力,有利于推进新一期项目的建设,可以更好的满足公司相关轮胎产品的检测、试验等需求,也有助于提升华东试验场汽车及相关零部件的测试能力,以便为广大客户提供更智能、更便捷、更高效的场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30EE"/>
    <w:rsid w:val="002549E6"/>
    <w:rsid w:val="00256602"/>
    <w:rsid w:val="0026685A"/>
    <w:rsid w:val="00271C8D"/>
    <w:rsid w:val="00273B53"/>
    <w:rsid w:val="002774F7"/>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0E73"/>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63847"/>
    <w:rsid w:val="00771FE3"/>
    <w:rsid w:val="00776BDE"/>
    <w:rsid w:val="007816EC"/>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D594E"/>
    <w:rsid w:val="00DE7391"/>
    <w:rsid w:val="00DF2DB5"/>
    <w:rsid w:val="00DF361E"/>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7743"/>
    <w:rsid w:val="00FA64EF"/>
    <w:rsid w:val="00FA6DAF"/>
    <w:rsid w:val="00FC6884"/>
    <w:rsid w:val="00FE62F3"/>
    <w:rsid w:val="00FF71D2"/>
    <w:rsid w:val="014E47A4"/>
    <w:rsid w:val="02F43955"/>
    <w:rsid w:val="03872335"/>
    <w:rsid w:val="04CD4E0D"/>
    <w:rsid w:val="04E5152E"/>
    <w:rsid w:val="053F335C"/>
    <w:rsid w:val="05F30D52"/>
    <w:rsid w:val="07E84685"/>
    <w:rsid w:val="07F43921"/>
    <w:rsid w:val="0837350B"/>
    <w:rsid w:val="08582CB3"/>
    <w:rsid w:val="08964C8B"/>
    <w:rsid w:val="08E5231F"/>
    <w:rsid w:val="090360D7"/>
    <w:rsid w:val="093D3C5E"/>
    <w:rsid w:val="099B29F9"/>
    <w:rsid w:val="0A63192C"/>
    <w:rsid w:val="0BC07254"/>
    <w:rsid w:val="0C493B9B"/>
    <w:rsid w:val="0C93758E"/>
    <w:rsid w:val="0D4D0B5F"/>
    <w:rsid w:val="0D4D2354"/>
    <w:rsid w:val="0DC47F11"/>
    <w:rsid w:val="0E1D5BD4"/>
    <w:rsid w:val="0E207A31"/>
    <w:rsid w:val="0FD733BC"/>
    <w:rsid w:val="10A61842"/>
    <w:rsid w:val="110F4875"/>
    <w:rsid w:val="12DF0C65"/>
    <w:rsid w:val="13313537"/>
    <w:rsid w:val="13706BF0"/>
    <w:rsid w:val="13C4450D"/>
    <w:rsid w:val="141B6967"/>
    <w:rsid w:val="147565DF"/>
    <w:rsid w:val="14E70151"/>
    <w:rsid w:val="16975FB0"/>
    <w:rsid w:val="17B3729E"/>
    <w:rsid w:val="17E96DCA"/>
    <w:rsid w:val="180F7009"/>
    <w:rsid w:val="18D93A98"/>
    <w:rsid w:val="19277BC7"/>
    <w:rsid w:val="19E37083"/>
    <w:rsid w:val="1A442861"/>
    <w:rsid w:val="1A816DFF"/>
    <w:rsid w:val="1B1D2492"/>
    <w:rsid w:val="1B2418A5"/>
    <w:rsid w:val="1B263D19"/>
    <w:rsid w:val="1E1A6F96"/>
    <w:rsid w:val="1FBFC074"/>
    <w:rsid w:val="204B02F6"/>
    <w:rsid w:val="2052439D"/>
    <w:rsid w:val="22B65ABC"/>
    <w:rsid w:val="241C2252"/>
    <w:rsid w:val="244A38CE"/>
    <w:rsid w:val="24E80350"/>
    <w:rsid w:val="25AC38D5"/>
    <w:rsid w:val="261D2E7F"/>
    <w:rsid w:val="26492CDC"/>
    <w:rsid w:val="26C339D5"/>
    <w:rsid w:val="27486743"/>
    <w:rsid w:val="27E94D39"/>
    <w:rsid w:val="27FC492A"/>
    <w:rsid w:val="28B03A1C"/>
    <w:rsid w:val="29167E25"/>
    <w:rsid w:val="293272A7"/>
    <w:rsid w:val="29A71DB7"/>
    <w:rsid w:val="29AC03B5"/>
    <w:rsid w:val="29FA2D3E"/>
    <w:rsid w:val="2A9422A9"/>
    <w:rsid w:val="2B620922"/>
    <w:rsid w:val="2B734E9D"/>
    <w:rsid w:val="2BA7533C"/>
    <w:rsid w:val="2C177530"/>
    <w:rsid w:val="2C253D8E"/>
    <w:rsid w:val="2CF14F20"/>
    <w:rsid w:val="2E256BC7"/>
    <w:rsid w:val="2E592F1A"/>
    <w:rsid w:val="2EF06807"/>
    <w:rsid w:val="2F3A1C8E"/>
    <w:rsid w:val="2F8A1FFE"/>
    <w:rsid w:val="2FF91C3F"/>
    <w:rsid w:val="31B85A3E"/>
    <w:rsid w:val="31F54A45"/>
    <w:rsid w:val="31FD161E"/>
    <w:rsid w:val="327645E7"/>
    <w:rsid w:val="32CC663E"/>
    <w:rsid w:val="33645CC3"/>
    <w:rsid w:val="3488335F"/>
    <w:rsid w:val="349E052A"/>
    <w:rsid w:val="34FD33C1"/>
    <w:rsid w:val="35415B1D"/>
    <w:rsid w:val="359B46F3"/>
    <w:rsid w:val="35B61405"/>
    <w:rsid w:val="35DC7F6D"/>
    <w:rsid w:val="36160449"/>
    <w:rsid w:val="36FB9E1F"/>
    <w:rsid w:val="36FC5627"/>
    <w:rsid w:val="3741073C"/>
    <w:rsid w:val="381D5949"/>
    <w:rsid w:val="38DA69D3"/>
    <w:rsid w:val="39590076"/>
    <w:rsid w:val="39C443D2"/>
    <w:rsid w:val="3AE95412"/>
    <w:rsid w:val="3B517531"/>
    <w:rsid w:val="3BFA3B96"/>
    <w:rsid w:val="3CE226B1"/>
    <w:rsid w:val="3CEF3472"/>
    <w:rsid w:val="3D834ACE"/>
    <w:rsid w:val="3E86281D"/>
    <w:rsid w:val="3EFF16E9"/>
    <w:rsid w:val="3F6825F3"/>
    <w:rsid w:val="3F7D54CC"/>
    <w:rsid w:val="419210A2"/>
    <w:rsid w:val="43FB5176"/>
    <w:rsid w:val="448156A1"/>
    <w:rsid w:val="450A4511"/>
    <w:rsid w:val="45811178"/>
    <w:rsid w:val="46947ED0"/>
    <w:rsid w:val="478712AE"/>
    <w:rsid w:val="490B575C"/>
    <w:rsid w:val="499D4576"/>
    <w:rsid w:val="4AD9315C"/>
    <w:rsid w:val="4B0D7215"/>
    <w:rsid w:val="4B0F5A0D"/>
    <w:rsid w:val="4DE91E71"/>
    <w:rsid w:val="4E2F3499"/>
    <w:rsid w:val="4EBA27E3"/>
    <w:rsid w:val="4F9323C9"/>
    <w:rsid w:val="50E41142"/>
    <w:rsid w:val="515458B0"/>
    <w:rsid w:val="51F4195F"/>
    <w:rsid w:val="53BF706C"/>
    <w:rsid w:val="549338FF"/>
    <w:rsid w:val="54994F4D"/>
    <w:rsid w:val="55286314"/>
    <w:rsid w:val="56611B3C"/>
    <w:rsid w:val="56D604B0"/>
    <w:rsid w:val="57AA7B05"/>
    <w:rsid w:val="57E4165B"/>
    <w:rsid w:val="581157B6"/>
    <w:rsid w:val="592C42F5"/>
    <w:rsid w:val="59E542B1"/>
    <w:rsid w:val="5A604790"/>
    <w:rsid w:val="5A650D5A"/>
    <w:rsid w:val="5B7A4104"/>
    <w:rsid w:val="5B7E2B2B"/>
    <w:rsid w:val="5C26156B"/>
    <w:rsid w:val="5CAA57DD"/>
    <w:rsid w:val="5CBC0AC3"/>
    <w:rsid w:val="5CD76845"/>
    <w:rsid w:val="5D350B78"/>
    <w:rsid w:val="5D3A0B7D"/>
    <w:rsid w:val="5D464695"/>
    <w:rsid w:val="5DAE4E34"/>
    <w:rsid w:val="5DD82899"/>
    <w:rsid w:val="5F314559"/>
    <w:rsid w:val="5FE72FC9"/>
    <w:rsid w:val="601257DB"/>
    <w:rsid w:val="60D46992"/>
    <w:rsid w:val="61D01DD2"/>
    <w:rsid w:val="62D83CB7"/>
    <w:rsid w:val="63C7659C"/>
    <w:rsid w:val="646C3068"/>
    <w:rsid w:val="64BA262A"/>
    <w:rsid w:val="64CC5BCB"/>
    <w:rsid w:val="653A410A"/>
    <w:rsid w:val="657E5B22"/>
    <w:rsid w:val="66AA5270"/>
    <w:rsid w:val="67587146"/>
    <w:rsid w:val="683A2C86"/>
    <w:rsid w:val="68751207"/>
    <w:rsid w:val="68D56618"/>
    <w:rsid w:val="6ADE0725"/>
    <w:rsid w:val="6B527023"/>
    <w:rsid w:val="6B925083"/>
    <w:rsid w:val="6BFA733C"/>
    <w:rsid w:val="6C737CFB"/>
    <w:rsid w:val="6E072310"/>
    <w:rsid w:val="6EA665E1"/>
    <w:rsid w:val="6EDD17F3"/>
    <w:rsid w:val="6F2871E3"/>
    <w:rsid w:val="70236471"/>
    <w:rsid w:val="70426DA6"/>
    <w:rsid w:val="70766666"/>
    <w:rsid w:val="71333506"/>
    <w:rsid w:val="718D24AC"/>
    <w:rsid w:val="71905711"/>
    <w:rsid w:val="728B6EC5"/>
    <w:rsid w:val="734E202F"/>
    <w:rsid w:val="7468238A"/>
    <w:rsid w:val="74E03D43"/>
    <w:rsid w:val="755F2B0A"/>
    <w:rsid w:val="75760AE5"/>
    <w:rsid w:val="75F436FE"/>
    <w:rsid w:val="77CF73AC"/>
    <w:rsid w:val="78FF0116"/>
    <w:rsid w:val="79B24925"/>
    <w:rsid w:val="7A3157EF"/>
    <w:rsid w:val="7C656439"/>
    <w:rsid w:val="7CD96954"/>
    <w:rsid w:val="7D3B6687"/>
    <w:rsid w:val="7D5E7E3F"/>
    <w:rsid w:val="7DD84285"/>
    <w:rsid w:val="7E2471D6"/>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428</Words>
  <Characters>2444</Characters>
  <Lines>20</Lines>
  <Paragraphs>5</Paragraphs>
  <TotalTime>63</TotalTime>
  <ScaleCrop>false</ScaleCrop>
  <LinksUpToDate>false</LinksUpToDate>
  <CharactersWithSpaces>2867</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2025-08-29T08:34:37Z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551BA10BE3E44B739D75810B8C83C31F</vt:lpwstr>
  </property>
</Properties>
</file>