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471E" w14:textId="77777777" w:rsidR="00B14D22" w:rsidRDefault="00B14D22">
      <w:pPr>
        <w:pStyle w:val="a5"/>
        <w:spacing w:before="1"/>
        <w:ind w:rightChars="100" w:right="220"/>
        <w:jc w:val="center"/>
        <w:rPr>
          <w:rFonts w:ascii="Times New Roman" w:hint="eastAsia"/>
          <w:b w:val="0"/>
          <w:sz w:val="10"/>
        </w:rPr>
      </w:pPr>
    </w:p>
    <w:p w14:paraId="64C92001" w14:textId="77777777" w:rsidR="00B14D22"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12DDABC8" w14:textId="77777777" w:rsidR="00B14D22" w:rsidRDefault="00B14D22">
      <w:pPr>
        <w:rPr>
          <w:rFonts w:hint="eastAsia"/>
        </w:rPr>
      </w:pPr>
    </w:p>
    <w:p w14:paraId="5D13D88B" w14:textId="77777777" w:rsidR="00B14D22" w:rsidRDefault="00000000">
      <w:pPr>
        <w:spacing w:before="155" w:after="21"/>
        <w:ind w:right="510"/>
        <w:jc w:val="right"/>
        <w:rPr>
          <w:rFonts w:hint="eastAsia"/>
          <w:sz w:val="21"/>
          <w:lang w:val="en-US"/>
        </w:rPr>
      </w:pPr>
      <w:r>
        <w:rPr>
          <w:rFonts w:hint="eastAsia"/>
          <w:sz w:val="21"/>
        </w:rPr>
        <w:t>编号：2</w:t>
      </w:r>
      <w:r>
        <w:rPr>
          <w:sz w:val="21"/>
        </w:rPr>
        <w:t>02</w:t>
      </w:r>
      <w:r>
        <w:rPr>
          <w:rFonts w:hint="eastAsia"/>
          <w:sz w:val="21"/>
          <w:lang w:val="en-US"/>
        </w:rPr>
        <w:t>5</w:t>
      </w:r>
      <w:r>
        <w:rPr>
          <w:sz w:val="21"/>
        </w:rPr>
        <w:t>-0</w:t>
      </w:r>
      <w:r>
        <w:rPr>
          <w:rFonts w:hint="eastAsia"/>
          <w:sz w:val="21"/>
          <w:lang w:val="en-US"/>
        </w:rPr>
        <w:t>805</w:t>
      </w:r>
    </w:p>
    <w:tbl>
      <w:tblPr>
        <w:tblStyle w:val="ae"/>
        <w:tblW w:w="0" w:type="auto"/>
        <w:tblInd w:w="-5" w:type="dxa"/>
        <w:tblLook w:val="04A0" w:firstRow="1" w:lastRow="0" w:firstColumn="1" w:lastColumn="0" w:noHBand="0" w:noVBand="1"/>
      </w:tblPr>
      <w:tblGrid>
        <w:gridCol w:w="1418"/>
        <w:gridCol w:w="6887"/>
      </w:tblGrid>
      <w:tr w:rsidR="00B14D22" w14:paraId="6478C3E2" w14:textId="77777777">
        <w:tc>
          <w:tcPr>
            <w:tcW w:w="1418" w:type="dxa"/>
            <w:vAlign w:val="center"/>
          </w:tcPr>
          <w:p w14:paraId="5D6731DF" w14:textId="77777777" w:rsidR="00B14D22" w:rsidRDefault="00000000">
            <w:pPr>
              <w:spacing w:line="360" w:lineRule="exact"/>
              <w:jc w:val="center"/>
              <w:rPr>
                <w:rFonts w:hint="eastAsia"/>
              </w:rPr>
            </w:pPr>
            <w:r>
              <w:rPr>
                <w:b/>
                <w:sz w:val="21"/>
                <w:szCs w:val="21"/>
              </w:rPr>
              <w:t>投资者关系活动类别</w:t>
            </w:r>
          </w:p>
        </w:tc>
        <w:tc>
          <w:tcPr>
            <w:tcW w:w="6887" w:type="dxa"/>
            <w:vAlign w:val="center"/>
          </w:tcPr>
          <w:p w14:paraId="5AF12EFF" w14:textId="77777777" w:rsidR="00B14D22" w:rsidRDefault="00000000">
            <w:pPr>
              <w:pStyle w:val="TableParagraph"/>
              <w:spacing w:before="0" w:line="360" w:lineRule="exact"/>
              <w:ind w:left="107"/>
              <w:rPr>
                <w:rFonts w:hint="eastAsia"/>
              </w:rPr>
            </w:pPr>
            <w:r>
              <w:sym w:font="Wingdings 2" w:char="00A3"/>
            </w:r>
            <w:r>
              <w:t xml:space="preserve">特定对象调研  □分析师会议  □媒体采访     </w:t>
            </w:r>
          </w:p>
          <w:p w14:paraId="71A4D78F" w14:textId="77777777" w:rsidR="00B14D22" w:rsidRDefault="00000000">
            <w:pPr>
              <w:pStyle w:val="TableParagraph"/>
              <w:spacing w:before="0" w:line="360" w:lineRule="exact"/>
              <w:ind w:left="107"/>
              <w:rPr>
                <w:rFonts w:hint="eastAsia"/>
                <w:spacing w:val="-1"/>
              </w:rPr>
            </w:pPr>
            <w:r>
              <w:rPr>
                <w:rFonts w:hint="eastAsia"/>
                <w:spacing w:val="-1"/>
              </w:rPr>
              <w:t>☑</w:t>
            </w:r>
            <w:r>
              <w:rPr>
                <w:spacing w:val="-1"/>
              </w:rPr>
              <w:t xml:space="preserve">业绩说明会    □新闻发布会  □路演活动 </w:t>
            </w:r>
          </w:p>
          <w:p w14:paraId="5BEE6A81" w14:textId="77777777" w:rsidR="00B14D22" w:rsidRDefault="00000000">
            <w:pPr>
              <w:pStyle w:val="TableParagraph"/>
              <w:spacing w:before="0" w:line="360" w:lineRule="exact"/>
              <w:ind w:left="107"/>
              <w:rPr>
                <w:rFonts w:hint="eastAsia"/>
              </w:rPr>
            </w:pPr>
            <w:r>
              <w:rPr>
                <w:spacing w:val="-1"/>
              </w:rPr>
              <w:t>□</w:t>
            </w:r>
            <w:r>
              <w:t xml:space="preserve">现场参观      </w:t>
            </w:r>
            <w:r>
              <w:sym w:font="Wingdings 2" w:char="00A3"/>
            </w:r>
            <w:r>
              <w:t>其他</w:t>
            </w:r>
            <w:r>
              <w:rPr>
                <w:rFonts w:hint="eastAsia"/>
                <w:lang w:val="en-US"/>
              </w:rPr>
              <w:t xml:space="preserve"> </w:t>
            </w:r>
            <w:r>
              <w:rPr>
                <w:u w:val="single"/>
              </w:rPr>
              <w:t xml:space="preserve"> </w:t>
            </w:r>
            <w:r>
              <w:rPr>
                <w:rFonts w:hint="eastAsia"/>
                <w:u w:val="single"/>
                <w:lang w:val="en-US"/>
              </w:rPr>
              <w:t xml:space="preserve">    </w:t>
            </w:r>
            <w:r>
              <w:rPr>
                <w:rFonts w:hint="eastAsia"/>
                <w:u w:val="single"/>
              </w:rPr>
              <w:t xml:space="preserve"> </w:t>
            </w:r>
            <w:r>
              <w:rPr>
                <w:u w:val="single"/>
              </w:rPr>
              <w:t xml:space="preserve"> </w:t>
            </w:r>
            <w:r>
              <w:t xml:space="preserve"> </w:t>
            </w:r>
          </w:p>
        </w:tc>
      </w:tr>
      <w:tr w:rsidR="00B14D22" w14:paraId="274C5C1E" w14:textId="77777777">
        <w:tc>
          <w:tcPr>
            <w:tcW w:w="1418" w:type="dxa"/>
            <w:vAlign w:val="center"/>
          </w:tcPr>
          <w:p w14:paraId="07FF99F5" w14:textId="77777777" w:rsidR="00B14D22" w:rsidRDefault="00000000">
            <w:pPr>
              <w:spacing w:line="360" w:lineRule="exact"/>
              <w:jc w:val="center"/>
              <w:rPr>
                <w:rFonts w:hint="eastAsia"/>
                <w:b/>
                <w:sz w:val="21"/>
                <w:szCs w:val="21"/>
              </w:rPr>
            </w:pPr>
            <w:r>
              <w:rPr>
                <w:b/>
                <w:sz w:val="21"/>
                <w:szCs w:val="21"/>
              </w:rPr>
              <w:t>参与单位</w:t>
            </w:r>
          </w:p>
          <w:p w14:paraId="73C21235" w14:textId="77777777" w:rsidR="00B14D22" w:rsidRDefault="00000000">
            <w:pPr>
              <w:spacing w:line="360" w:lineRule="exact"/>
              <w:jc w:val="center"/>
              <w:rPr>
                <w:rFonts w:hint="eastAsia"/>
              </w:rPr>
            </w:pPr>
            <w:r>
              <w:rPr>
                <w:b/>
                <w:sz w:val="21"/>
                <w:szCs w:val="21"/>
              </w:rPr>
              <w:t>名称</w:t>
            </w:r>
          </w:p>
        </w:tc>
        <w:tc>
          <w:tcPr>
            <w:tcW w:w="6887" w:type="dxa"/>
            <w:vAlign w:val="center"/>
          </w:tcPr>
          <w:p w14:paraId="77418305" w14:textId="77777777" w:rsidR="00B14D22" w:rsidRDefault="00000000">
            <w:pPr>
              <w:pStyle w:val="TOC2"/>
              <w:ind w:leftChars="0" w:left="0"/>
              <w:jc w:val="both"/>
              <w:rPr>
                <w:rFonts w:hint="eastAsia"/>
              </w:rPr>
            </w:pPr>
            <w:r>
              <w:rPr>
                <w:rFonts w:hint="eastAsia"/>
                <w:lang w:val="en-US"/>
              </w:rPr>
              <w:t>参加2025年半年度业绩说明会的投资者</w:t>
            </w:r>
          </w:p>
        </w:tc>
      </w:tr>
      <w:tr w:rsidR="00B14D22" w14:paraId="02518E61" w14:textId="77777777">
        <w:trPr>
          <w:trHeight w:val="525"/>
        </w:trPr>
        <w:tc>
          <w:tcPr>
            <w:tcW w:w="1418" w:type="dxa"/>
            <w:vAlign w:val="center"/>
          </w:tcPr>
          <w:p w14:paraId="3776A3C5" w14:textId="77777777" w:rsidR="00B14D22" w:rsidRDefault="00000000">
            <w:pPr>
              <w:spacing w:line="360" w:lineRule="exact"/>
              <w:jc w:val="center"/>
              <w:rPr>
                <w:rFonts w:hint="eastAsia"/>
              </w:rPr>
            </w:pPr>
            <w:r>
              <w:rPr>
                <w:b/>
                <w:sz w:val="21"/>
                <w:szCs w:val="21"/>
              </w:rPr>
              <w:t>时间</w:t>
            </w:r>
          </w:p>
        </w:tc>
        <w:tc>
          <w:tcPr>
            <w:tcW w:w="6887" w:type="dxa"/>
            <w:vAlign w:val="center"/>
          </w:tcPr>
          <w:p w14:paraId="5D75913C" w14:textId="77777777" w:rsidR="00B14D22" w:rsidRDefault="00000000">
            <w:pPr>
              <w:spacing w:before="35"/>
              <w:rPr>
                <w:rFonts w:hint="eastAsia"/>
                <w:lang w:val="en-US"/>
              </w:rPr>
            </w:pPr>
            <w:r>
              <w:t>202</w:t>
            </w:r>
            <w:r>
              <w:rPr>
                <w:rFonts w:hint="eastAsia"/>
                <w:lang w:val="en-US"/>
              </w:rPr>
              <w:t>5</w:t>
            </w:r>
            <w:r>
              <w:t xml:space="preserve"> 年</w:t>
            </w:r>
            <w:r>
              <w:rPr>
                <w:rFonts w:hint="eastAsia"/>
              </w:rPr>
              <w:t xml:space="preserve"> </w:t>
            </w:r>
            <w:r>
              <w:rPr>
                <w:rFonts w:hint="eastAsia"/>
                <w:lang w:val="en-US"/>
              </w:rPr>
              <w:t>8</w:t>
            </w:r>
            <w:r>
              <w:t xml:space="preserve"> 月</w:t>
            </w:r>
            <w:r>
              <w:rPr>
                <w:rFonts w:hint="eastAsia"/>
              </w:rPr>
              <w:t xml:space="preserve"> </w:t>
            </w:r>
            <w:r>
              <w:rPr>
                <w:rFonts w:hint="eastAsia"/>
                <w:lang w:val="en-US"/>
              </w:rPr>
              <w:t>29</w:t>
            </w:r>
            <w:r>
              <w:t xml:space="preserve"> </w:t>
            </w:r>
            <w:r>
              <w:rPr>
                <w:rFonts w:hint="eastAsia"/>
              </w:rPr>
              <w:t xml:space="preserve">日 </w:t>
            </w:r>
            <w:r>
              <w:t>1</w:t>
            </w:r>
            <w:r>
              <w:rPr>
                <w:rFonts w:hint="eastAsia"/>
                <w:lang w:val="en-US"/>
              </w:rPr>
              <w:t>5</w:t>
            </w:r>
            <w:r>
              <w:rPr>
                <w:rFonts w:hint="eastAsia"/>
              </w:rPr>
              <w:t>:</w:t>
            </w:r>
            <w:r>
              <w:t>00 – 1</w:t>
            </w:r>
            <w:r>
              <w:rPr>
                <w:rFonts w:hint="eastAsia"/>
                <w:lang w:val="en-US"/>
              </w:rPr>
              <w:t>6</w:t>
            </w:r>
            <w:r>
              <w:rPr>
                <w:rFonts w:hint="eastAsia"/>
              </w:rPr>
              <w:t>:</w:t>
            </w:r>
            <w:r>
              <w:rPr>
                <w:rFonts w:hint="eastAsia"/>
                <w:lang w:val="en-US"/>
              </w:rPr>
              <w:t>00</w:t>
            </w:r>
          </w:p>
        </w:tc>
      </w:tr>
      <w:tr w:rsidR="00B14D22" w14:paraId="603F031D" w14:textId="77777777">
        <w:trPr>
          <w:trHeight w:val="547"/>
        </w:trPr>
        <w:tc>
          <w:tcPr>
            <w:tcW w:w="1418" w:type="dxa"/>
            <w:vAlign w:val="center"/>
          </w:tcPr>
          <w:p w14:paraId="0DCFE214" w14:textId="77777777" w:rsidR="00B14D22" w:rsidRDefault="00000000">
            <w:pPr>
              <w:spacing w:line="360" w:lineRule="exact"/>
              <w:jc w:val="center"/>
              <w:rPr>
                <w:rFonts w:hint="eastAsia"/>
              </w:rPr>
            </w:pPr>
            <w:r>
              <w:rPr>
                <w:b/>
                <w:sz w:val="21"/>
                <w:szCs w:val="21"/>
              </w:rPr>
              <w:t>地点</w:t>
            </w:r>
          </w:p>
        </w:tc>
        <w:tc>
          <w:tcPr>
            <w:tcW w:w="6887" w:type="dxa"/>
            <w:vAlign w:val="center"/>
          </w:tcPr>
          <w:p w14:paraId="7B20CDA4" w14:textId="77777777" w:rsidR="00B14D22" w:rsidRDefault="00000000">
            <w:pPr>
              <w:spacing w:before="35"/>
              <w:rPr>
                <w:rFonts w:hint="eastAsia"/>
              </w:rPr>
            </w:pPr>
            <w:r>
              <w:rPr>
                <w:rFonts w:hint="eastAsia"/>
              </w:rPr>
              <w:t>上证路演中心 https：//roadshow.sseinfo.com</w:t>
            </w:r>
          </w:p>
          <w:p w14:paraId="347DFC26" w14:textId="77777777" w:rsidR="00B14D22" w:rsidRDefault="00000000">
            <w:pPr>
              <w:spacing w:before="35"/>
              <w:rPr>
                <w:rFonts w:hint="eastAsia"/>
              </w:rPr>
            </w:pPr>
            <w:r>
              <w:rPr>
                <w:rFonts w:hint="eastAsia"/>
              </w:rPr>
              <w:t>网络文字互动</w:t>
            </w:r>
          </w:p>
        </w:tc>
      </w:tr>
      <w:tr w:rsidR="00B14D22" w14:paraId="61020D3D" w14:textId="77777777">
        <w:tc>
          <w:tcPr>
            <w:tcW w:w="1418" w:type="dxa"/>
            <w:vAlign w:val="center"/>
          </w:tcPr>
          <w:p w14:paraId="6C674A0C" w14:textId="77777777" w:rsidR="00B14D22" w:rsidRDefault="00000000">
            <w:pPr>
              <w:spacing w:line="360" w:lineRule="exact"/>
              <w:jc w:val="center"/>
              <w:rPr>
                <w:rFonts w:hint="eastAsia"/>
              </w:rP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51909862" w14:textId="77777777" w:rsidR="00B14D22" w:rsidRDefault="00000000">
            <w:pPr>
              <w:spacing w:before="35"/>
              <w:rPr>
                <w:rFonts w:hint="eastAsia"/>
                <w:lang w:val="en-US"/>
              </w:rPr>
            </w:pPr>
            <w:r>
              <w:rPr>
                <w:rFonts w:hint="eastAsia"/>
                <w:lang w:val="en-US"/>
              </w:rPr>
              <w:t>董事长、总经理：刘会平</w:t>
            </w:r>
          </w:p>
          <w:p w14:paraId="3332C257" w14:textId="77777777" w:rsidR="00B14D22" w:rsidRDefault="00000000">
            <w:pPr>
              <w:spacing w:before="35"/>
              <w:rPr>
                <w:rFonts w:hint="eastAsia"/>
                <w:lang w:val="en-US"/>
              </w:rPr>
            </w:pPr>
            <w:r>
              <w:rPr>
                <w:rFonts w:hint="eastAsia"/>
                <w:lang w:val="en-US"/>
              </w:rPr>
              <w:t>独立董事：万华林</w:t>
            </w:r>
          </w:p>
          <w:p w14:paraId="3D565C2C" w14:textId="77777777" w:rsidR="00B14D22" w:rsidRDefault="00000000">
            <w:pPr>
              <w:spacing w:before="35"/>
              <w:rPr>
                <w:rFonts w:hint="eastAsia"/>
                <w:lang w:val="en-US"/>
              </w:rPr>
            </w:pPr>
            <w:r>
              <w:rPr>
                <w:rFonts w:hint="eastAsia"/>
                <w:lang w:val="en-US"/>
              </w:rPr>
              <w:t>董事会秘书、财务总监：苏爽</w:t>
            </w:r>
          </w:p>
          <w:p w14:paraId="351AD249" w14:textId="77777777" w:rsidR="00B14D22" w:rsidRDefault="00000000">
            <w:pPr>
              <w:spacing w:before="35"/>
              <w:rPr>
                <w:rFonts w:hint="eastAsia"/>
                <w:lang w:val="en-US"/>
              </w:rPr>
            </w:pPr>
            <w:r>
              <w:rPr>
                <w:rFonts w:hint="eastAsia"/>
                <w:lang w:val="en-US"/>
              </w:rPr>
              <w:t>证券事务代表：马晓琳</w:t>
            </w:r>
          </w:p>
        </w:tc>
      </w:tr>
      <w:tr w:rsidR="00B14D22" w14:paraId="53C6CE54" w14:textId="77777777">
        <w:tc>
          <w:tcPr>
            <w:tcW w:w="1418" w:type="dxa"/>
            <w:vAlign w:val="center"/>
          </w:tcPr>
          <w:p w14:paraId="26C2CB62" w14:textId="77777777" w:rsidR="00B14D22" w:rsidRDefault="00000000">
            <w:pPr>
              <w:spacing w:before="35"/>
              <w:jc w:val="center"/>
              <w:rPr>
                <w:rFonts w:hint="eastAsia"/>
                <w:b/>
                <w:sz w:val="21"/>
                <w:szCs w:val="21"/>
              </w:rPr>
            </w:pPr>
            <w:r>
              <w:rPr>
                <w:rFonts w:hint="eastAsia"/>
                <w:b/>
                <w:sz w:val="21"/>
                <w:szCs w:val="21"/>
                <w:lang w:val="en-US"/>
              </w:rPr>
              <w:t>投资者关系活动</w:t>
            </w:r>
            <w:r>
              <w:rPr>
                <w:b/>
                <w:sz w:val="21"/>
                <w:szCs w:val="21"/>
              </w:rPr>
              <w:t>主要内容介绍</w:t>
            </w:r>
          </w:p>
        </w:tc>
        <w:tc>
          <w:tcPr>
            <w:tcW w:w="6887" w:type="dxa"/>
          </w:tcPr>
          <w:p w14:paraId="1A01297F" w14:textId="77777777" w:rsidR="00B14D22" w:rsidRDefault="00000000" w:rsidP="00DD7CF8">
            <w:pPr>
              <w:spacing w:beforeLines="50" w:before="120"/>
              <w:jc w:val="both"/>
              <w:rPr>
                <w:rFonts w:hint="eastAsia"/>
                <w:b/>
                <w:bCs/>
                <w:color w:val="000000" w:themeColor="text1"/>
                <w:lang w:val="en-US"/>
              </w:rPr>
            </w:pPr>
            <w:r>
              <w:rPr>
                <w:b/>
                <w:bCs/>
                <w:color w:val="000000" w:themeColor="text1"/>
                <w:lang w:val="en-US"/>
              </w:rPr>
              <w:t>1、董事长好，最新一期巴比门店数5600多家，瑞幸咖啡全国门店2万多家，蜜雪冰城全国门店近4万家。有机构统计全国包子类早餐门店数有17万家，巴比门店未来发展到1.5万家是非常有可能的。主要在于巴比的拓宽中晚餐场景的发展情况，一旦成熟将为单个门店至少增加50%的营收。加盟商的闭店情况将大幅减少，未来巴比食品营收突破100亿也是可能的。关注董事长的抖音，看到刘总经常走访市场，发掘市场，市场上有很多成功的包子店型是值得学习。最近巴比新开店型手工小笼包是一个不错的店型，有无大力发展的计划。公司最近有无储备开发其他新店型的计划。</w:t>
            </w:r>
          </w:p>
          <w:p w14:paraId="39A1BE23" w14:textId="77777777" w:rsidR="00B14D22" w:rsidRDefault="00000000" w:rsidP="00DD7CF8">
            <w:pPr>
              <w:pStyle w:val="TOC2"/>
              <w:spacing w:beforeLines="30" w:before="7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感谢您对公司的关注和建议，公司最近推出的”巴比手工小笼包”店型目前取得了不错的市场效果，后续公司将在华东市场合适的点位进行复制推广，并通过对爆店的打造，实现以点带面带动门店的扩张。公司将围绕“提升单店收入”的核心目标，持续推动单店模型的优化和改造。目前除上述门店模型优化店型外，暂无其他新店型计划。谢谢！</w:t>
            </w:r>
          </w:p>
          <w:p w14:paraId="0D0805C2" w14:textId="77777777" w:rsidR="00B14D22" w:rsidRDefault="00B14D22" w:rsidP="00DD7CF8">
            <w:pPr>
              <w:jc w:val="both"/>
              <w:rPr>
                <w:rFonts w:hint="eastAsia"/>
                <w:lang w:val="en-US"/>
              </w:rPr>
            </w:pPr>
          </w:p>
          <w:p w14:paraId="07D18A12" w14:textId="77777777" w:rsidR="00B14D22" w:rsidRDefault="00000000" w:rsidP="00DD7CF8">
            <w:pPr>
              <w:numPr>
                <w:ilvl w:val="0"/>
                <w:numId w:val="1"/>
              </w:numPr>
              <w:jc w:val="both"/>
              <w:rPr>
                <w:rFonts w:hint="eastAsia"/>
                <w:b/>
                <w:bCs/>
                <w:color w:val="000000" w:themeColor="text1"/>
                <w:lang w:val="en-US"/>
              </w:rPr>
            </w:pPr>
            <w:r>
              <w:rPr>
                <w:b/>
                <w:bCs/>
                <w:color w:val="000000" w:themeColor="text1"/>
                <w:lang w:val="en-US"/>
              </w:rPr>
              <w:t>董事长能介绍一下未来发展规划。如果从5600家门店到一万家以上门店。开发出来好的店型让加盟商跟公司一起成长。瑞幸咖啡，蜜雪冰城，古茗，万辰集团和鸣鸣很忙集团快速成长起来，主要是门店生意好，加盟商看到了纷纷加盟，加盟名额真的是千里挑一。</w:t>
            </w:r>
          </w:p>
          <w:p w14:paraId="0CAA768F" w14:textId="77777777" w:rsidR="00B14D22" w:rsidRDefault="00000000" w:rsidP="00DD7CF8">
            <w:pPr>
              <w:pStyle w:val="TOC2"/>
              <w:spacing w:beforeLines="30" w:before="7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管理层将牢牢把握提质增效的发展主线，对内精细管理，优化组织架构，加快数智化转型，整合优化供应链体系，持续提升公司整体运营效率和管理效能；对外扎实推进全国化业务布局战略和双轮驱动发展战略落地，统筹兼顾加盟门店拓展与单店模型改善，全面发力大客户及零售业务各渠道的拓展和深耕，切实推动高质量行业并购整合平稳落地，不断优化资产结构和业务布局，使公司在竞争激烈的市场环境持续提升竞争优势。谢谢！</w:t>
            </w:r>
          </w:p>
          <w:p w14:paraId="02931143" w14:textId="77777777" w:rsidR="00B14D22" w:rsidRDefault="00B14D22" w:rsidP="00DD7CF8">
            <w:pPr>
              <w:jc w:val="both"/>
              <w:rPr>
                <w:rFonts w:hint="eastAsia"/>
                <w:lang w:val="en-US"/>
              </w:rPr>
            </w:pPr>
          </w:p>
          <w:p w14:paraId="5F09EB7D" w14:textId="77777777" w:rsidR="00B14D22" w:rsidRDefault="00000000" w:rsidP="00DD7CF8">
            <w:pPr>
              <w:numPr>
                <w:ilvl w:val="0"/>
                <w:numId w:val="1"/>
              </w:numPr>
              <w:spacing w:beforeLines="30" w:before="72"/>
              <w:jc w:val="both"/>
              <w:rPr>
                <w:rFonts w:hint="eastAsia"/>
                <w:b/>
                <w:bCs/>
                <w:color w:val="000000" w:themeColor="text1"/>
                <w:lang w:val="en-US"/>
              </w:rPr>
            </w:pPr>
            <w:r>
              <w:rPr>
                <w:b/>
                <w:bCs/>
                <w:color w:val="000000" w:themeColor="text1"/>
                <w:lang w:val="en-US"/>
              </w:rPr>
              <w:lastRenderedPageBreak/>
              <w:t>最高院关于劳动法的关于审理劳动争议案件适用法律问题的司法解释（二），关于收紧员工社保缴纳法律规定对公司（直营店、授权店）后续经营的影响？</w:t>
            </w:r>
          </w:p>
          <w:p w14:paraId="1A9C0470" w14:textId="77777777" w:rsidR="00B14D22" w:rsidRDefault="00000000" w:rsidP="00DD7CF8">
            <w:pPr>
              <w:pStyle w:val="TOC2"/>
              <w:spacing w:beforeLines="30" w:before="7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尊敬的投资者，您好！公司将持续关注相关政策动态并研判相关情况，谢谢！</w:t>
            </w:r>
          </w:p>
          <w:p w14:paraId="6E6307FD" w14:textId="77777777" w:rsidR="00B14D22" w:rsidRDefault="00B14D22" w:rsidP="00DD7CF8">
            <w:pPr>
              <w:jc w:val="both"/>
              <w:rPr>
                <w:rFonts w:hint="eastAsia"/>
                <w:lang w:val="en-US"/>
              </w:rPr>
            </w:pPr>
          </w:p>
          <w:p w14:paraId="683663CD" w14:textId="77777777" w:rsidR="00B14D22" w:rsidRDefault="00000000" w:rsidP="00DD7CF8">
            <w:pPr>
              <w:numPr>
                <w:ilvl w:val="0"/>
                <w:numId w:val="1"/>
              </w:numPr>
              <w:jc w:val="both"/>
              <w:rPr>
                <w:rFonts w:hint="eastAsia"/>
                <w:b/>
                <w:bCs/>
                <w:color w:val="000000" w:themeColor="text1"/>
                <w:lang w:val="en-US"/>
              </w:rPr>
            </w:pPr>
            <w:r>
              <w:rPr>
                <w:b/>
                <w:bCs/>
                <w:color w:val="000000" w:themeColor="text1"/>
                <w:lang w:val="en-US"/>
              </w:rPr>
              <w:t>麻烦请问公司未来的分红计划和派息政策？</w:t>
            </w:r>
          </w:p>
          <w:p w14:paraId="099FA916" w14:textId="77777777" w:rsidR="00B14D22" w:rsidRDefault="00000000" w:rsidP="00DD7CF8">
            <w:pPr>
              <w:pStyle w:val="TOC2"/>
              <w:spacing w:beforeLines="30" w:before="7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尊敬的投资者，您好！展望未来，公司将结合经营实际情况，继续保持稳定且积极的分红和派息政策。谢谢！</w:t>
            </w:r>
          </w:p>
          <w:p w14:paraId="4D265CE6" w14:textId="77777777" w:rsidR="00B14D22" w:rsidRDefault="00B14D22" w:rsidP="00DD7CF8">
            <w:pPr>
              <w:jc w:val="both"/>
              <w:rPr>
                <w:rFonts w:hint="eastAsia"/>
                <w:sz w:val="21"/>
                <w:szCs w:val="21"/>
              </w:rPr>
            </w:pPr>
          </w:p>
        </w:tc>
      </w:tr>
    </w:tbl>
    <w:p w14:paraId="0CE64024" w14:textId="77777777" w:rsidR="00B14D22" w:rsidRDefault="00B14D22">
      <w:pPr>
        <w:rPr>
          <w:rFonts w:hint="eastAsia"/>
        </w:rPr>
      </w:pPr>
    </w:p>
    <w:p w14:paraId="78374D76" w14:textId="77777777" w:rsidR="00B14D22" w:rsidRDefault="00B14D22">
      <w:pPr>
        <w:pStyle w:val="TOC2"/>
        <w:ind w:left="440"/>
        <w:rPr>
          <w:rFonts w:hint="eastAsia"/>
        </w:rPr>
      </w:pPr>
    </w:p>
    <w:p w14:paraId="7CA3A465" w14:textId="77777777" w:rsidR="00B14D22" w:rsidRDefault="00B14D22">
      <w:pPr>
        <w:rPr>
          <w:rFonts w:hint="eastAsia"/>
        </w:rPr>
      </w:pPr>
    </w:p>
    <w:p w14:paraId="2CE6B2B3" w14:textId="77777777" w:rsidR="00B14D22" w:rsidRDefault="00B14D22">
      <w:pPr>
        <w:pStyle w:val="TOC2"/>
        <w:ind w:left="440"/>
        <w:rPr>
          <w:rFonts w:hint="eastAsia"/>
        </w:rPr>
      </w:pPr>
    </w:p>
    <w:p w14:paraId="2962482F" w14:textId="77777777" w:rsidR="00B14D22" w:rsidRDefault="00B14D22">
      <w:pPr>
        <w:rPr>
          <w:rFonts w:hint="eastAsia"/>
        </w:rPr>
      </w:pPr>
    </w:p>
    <w:sectPr w:rsidR="00B14D22">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80BC" w14:textId="77777777" w:rsidR="005F0492" w:rsidRDefault="005F0492">
      <w:pPr>
        <w:rPr>
          <w:rFonts w:hint="eastAsia"/>
        </w:rPr>
      </w:pPr>
      <w:r>
        <w:separator/>
      </w:r>
    </w:p>
  </w:endnote>
  <w:endnote w:type="continuationSeparator" w:id="0">
    <w:p w14:paraId="6A026426" w14:textId="77777777" w:rsidR="005F0492" w:rsidRDefault="005F04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C89B" w14:textId="77777777" w:rsidR="005F0492" w:rsidRDefault="005F0492">
      <w:pPr>
        <w:rPr>
          <w:rFonts w:hint="eastAsia"/>
        </w:rPr>
      </w:pPr>
      <w:r>
        <w:separator/>
      </w:r>
    </w:p>
  </w:footnote>
  <w:footnote w:type="continuationSeparator" w:id="0">
    <w:p w14:paraId="3DE743C9" w14:textId="77777777" w:rsidR="005F0492" w:rsidRDefault="005F049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F1D8" w14:textId="77777777" w:rsidR="00B14D22"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14:anchorId="0AB7C51B" wp14:editId="47114EEF">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7E0E1484" wp14:editId="7D360928">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510F7A08" w14:textId="77777777" w:rsidR="00B14D22"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7E0E1484" id="_x0000_t202" coordsize="21600,21600" o:spt="202" path="m,l,21600r21600,l21600,xe">
              <v:stroke joinstyle="miter"/>
              <v:path gradientshapeok="t" o:connecttype="rect"/>
            </v:shapetype>
            <v:shape id="文本框 2" o:spid="_x0000_s1026" type="#_x0000_t202" style="position:absolute;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510F7A08" w14:textId="77777777" w:rsidR="00B14D22"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1D0A3174" wp14:editId="2B17F49A">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1E75495A" w14:textId="77777777" w:rsidR="00B14D22"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1D0A3174" id="文本框 3" o:spid="_x0000_s1027" type="#_x0000_t202" style="position:absolute;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1E75495A" w14:textId="77777777" w:rsidR="00B14D22" w:rsidRDefault="00000000">
                    <w:pPr>
                      <w:spacing w:line="220" w:lineRule="exact"/>
                      <w:ind w:left="20"/>
                      <w:rPr>
                        <w:rFonts w:hint="eastAsia"/>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158F77"/>
    <w:multiLevelType w:val="singleLevel"/>
    <w:tmpl w:val="C6158F77"/>
    <w:lvl w:ilvl="0">
      <w:start w:val="2"/>
      <w:numFmt w:val="decimal"/>
      <w:suff w:val="nothing"/>
      <w:lvlText w:val="%1、"/>
      <w:lvlJc w:val="left"/>
    </w:lvl>
  </w:abstractNum>
  <w:num w:numId="1" w16cid:durableId="180808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35B3"/>
    <w:rsid w:val="000C47A5"/>
    <w:rsid w:val="000C5A02"/>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949BC"/>
    <w:rsid w:val="001A098E"/>
    <w:rsid w:val="001A30D6"/>
    <w:rsid w:val="001A3626"/>
    <w:rsid w:val="001A64F2"/>
    <w:rsid w:val="001B2854"/>
    <w:rsid w:val="001C02E5"/>
    <w:rsid w:val="001C532E"/>
    <w:rsid w:val="001C57D8"/>
    <w:rsid w:val="001C688D"/>
    <w:rsid w:val="001C6E2B"/>
    <w:rsid w:val="001D0A4F"/>
    <w:rsid w:val="001D324C"/>
    <w:rsid w:val="001D79BA"/>
    <w:rsid w:val="001E3009"/>
    <w:rsid w:val="001E53B6"/>
    <w:rsid w:val="001F0D82"/>
    <w:rsid w:val="001F18FB"/>
    <w:rsid w:val="001F1EAF"/>
    <w:rsid w:val="001F2B51"/>
    <w:rsid w:val="001F496C"/>
    <w:rsid w:val="001F656B"/>
    <w:rsid w:val="002029D2"/>
    <w:rsid w:val="00202BB6"/>
    <w:rsid w:val="00206354"/>
    <w:rsid w:val="00210CDC"/>
    <w:rsid w:val="00212838"/>
    <w:rsid w:val="00220241"/>
    <w:rsid w:val="00220263"/>
    <w:rsid w:val="00220DC8"/>
    <w:rsid w:val="00220F3F"/>
    <w:rsid w:val="00221813"/>
    <w:rsid w:val="00221E45"/>
    <w:rsid w:val="00232DD7"/>
    <w:rsid w:val="0023384B"/>
    <w:rsid w:val="00233D73"/>
    <w:rsid w:val="00235190"/>
    <w:rsid w:val="00236C1C"/>
    <w:rsid w:val="00240BEE"/>
    <w:rsid w:val="00241EAD"/>
    <w:rsid w:val="002428EA"/>
    <w:rsid w:val="0024291E"/>
    <w:rsid w:val="00244483"/>
    <w:rsid w:val="00250A85"/>
    <w:rsid w:val="002521EF"/>
    <w:rsid w:val="00265C4A"/>
    <w:rsid w:val="002664C3"/>
    <w:rsid w:val="00271C02"/>
    <w:rsid w:val="00275DC0"/>
    <w:rsid w:val="00277C5D"/>
    <w:rsid w:val="0028033D"/>
    <w:rsid w:val="002825E7"/>
    <w:rsid w:val="00282643"/>
    <w:rsid w:val="002901E5"/>
    <w:rsid w:val="002903D6"/>
    <w:rsid w:val="002924E0"/>
    <w:rsid w:val="00292CBE"/>
    <w:rsid w:val="0029458C"/>
    <w:rsid w:val="00296600"/>
    <w:rsid w:val="00296C87"/>
    <w:rsid w:val="002A0479"/>
    <w:rsid w:val="002A1C6C"/>
    <w:rsid w:val="002B0412"/>
    <w:rsid w:val="002B0D24"/>
    <w:rsid w:val="002B172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33DB"/>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3D65"/>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A7825"/>
    <w:rsid w:val="004B0442"/>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E6159"/>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968"/>
    <w:rsid w:val="005A5BB0"/>
    <w:rsid w:val="005A5DA5"/>
    <w:rsid w:val="005B0079"/>
    <w:rsid w:val="005B01C0"/>
    <w:rsid w:val="005B42DC"/>
    <w:rsid w:val="005C392F"/>
    <w:rsid w:val="005C5BCA"/>
    <w:rsid w:val="005C7F72"/>
    <w:rsid w:val="005D321A"/>
    <w:rsid w:val="005E6D43"/>
    <w:rsid w:val="005E7977"/>
    <w:rsid w:val="005F0492"/>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06DD"/>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41A6"/>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4D22"/>
    <w:rsid w:val="00B16715"/>
    <w:rsid w:val="00B16F67"/>
    <w:rsid w:val="00B20261"/>
    <w:rsid w:val="00B20979"/>
    <w:rsid w:val="00B224EB"/>
    <w:rsid w:val="00B23AA0"/>
    <w:rsid w:val="00B243A7"/>
    <w:rsid w:val="00B24FCD"/>
    <w:rsid w:val="00B25152"/>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1936"/>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86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43BF"/>
    <w:rsid w:val="00DB4449"/>
    <w:rsid w:val="00DB4E97"/>
    <w:rsid w:val="00DC2348"/>
    <w:rsid w:val="00DC52E8"/>
    <w:rsid w:val="00DD0A84"/>
    <w:rsid w:val="00DD2162"/>
    <w:rsid w:val="00DD39D1"/>
    <w:rsid w:val="00DD4730"/>
    <w:rsid w:val="00DD51B4"/>
    <w:rsid w:val="00DD5447"/>
    <w:rsid w:val="00DD586B"/>
    <w:rsid w:val="00DD5C5B"/>
    <w:rsid w:val="00DD7CF8"/>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3BA"/>
    <w:rsid w:val="00EC4C63"/>
    <w:rsid w:val="00EC4D05"/>
    <w:rsid w:val="00EC520A"/>
    <w:rsid w:val="00EC53A7"/>
    <w:rsid w:val="00EC54E1"/>
    <w:rsid w:val="00EC5578"/>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F00D79"/>
    <w:rsid w:val="00F02E9B"/>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1C7A"/>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3365C7"/>
    <w:rsid w:val="058034D0"/>
    <w:rsid w:val="05E03D0C"/>
    <w:rsid w:val="061E4834"/>
    <w:rsid w:val="0A542A00"/>
    <w:rsid w:val="0AAC240E"/>
    <w:rsid w:val="0B2467B8"/>
    <w:rsid w:val="0B7F7B23"/>
    <w:rsid w:val="0BF24799"/>
    <w:rsid w:val="0C384CD2"/>
    <w:rsid w:val="0F0232AF"/>
    <w:rsid w:val="0F24110D"/>
    <w:rsid w:val="0F9A1D90"/>
    <w:rsid w:val="11280D37"/>
    <w:rsid w:val="114A2A50"/>
    <w:rsid w:val="121E62E8"/>
    <w:rsid w:val="123A29F6"/>
    <w:rsid w:val="12EF3DD6"/>
    <w:rsid w:val="136441CE"/>
    <w:rsid w:val="137268BD"/>
    <w:rsid w:val="13726DF1"/>
    <w:rsid w:val="13D6541C"/>
    <w:rsid w:val="144B7D94"/>
    <w:rsid w:val="147E12BF"/>
    <w:rsid w:val="14EE3058"/>
    <w:rsid w:val="152F25BA"/>
    <w:rsid w:val="155E69FB"/>
    <w:rsid w:val="1629525B"/>
    <w:rsid w:val="1744303C"/>
    <w:rsid w:val="17C23271"/>
    <w:rsid w:val="17F56EDE"/>
    <w:rsid w:val="18BA0A37"/>
    <w:rsid w:val="18E611E1"/>
    <w:rsid w:val="1912647A"/>
    <w:rsid w:val="191F1353"/>
    <w:rsid w:val="191F54EE"/>
    <w:rsid w:val="19AC2F5A"/>
    <w:rsid w:val="1A0C09A3"/>
    <w:rsid w:val="1A1A47D1"/>
    <w:rsid w:val="1A522E26"/>
    <w:rsid w:val="1AF416CC"/>
    <w:rsid w:val="1BBC26CD"/>
    <w:rsid w:val="1BC97744"/>
    <w:rsid w:val="1BCD6AE7"/>
    <w:rsid w:val="1C182135"/>
    <w:rsid w:val="1C2D2A5D"/>
    <w:rsid w:val="1CA46214"/>
    <w:rsid w:val="1CFC0FD3"/>
    <w:rsid w:val="1DFF5310"/>
    <w:rsid w:val="1E2B5570"/>
    <w:rsid w:val="1E2F362A"/>
    <w:rsid w:val="1F15637C"/>
    <w:rsid w:val="1F1B761D"/>
    <w:rsid w:val="1F2E287D"/>
    <w:rsid w:val="1F3A483C"/>
    <w:rsid w:val="1F40172B"/>
    <w:rsid w:val="1F930BDA"/>
    <w:rsid w:val="1F9574BD"/>
    <w:rsid w:val="1FA47E80"/>
    <w:rsid w:val="1FE558F6"/>
    <w:rsid w:val="207E43F5"/>
    <w:rsid w:val="2105039F"/>
    <w:rsid w:val="228A72DA"/>
    <w:rsid w:val="22A53EBB"/>
    <w:rsid w:val="23C465C3"/>
    <w:rsid w:val="247578DE"/>
    <w:rsid w:val="247E6772"/>
    <w:rsid w:val="25DC7BF4"/>
    <w:rsid w:val="25FA69A3"/>
    <w:rsid w:val="262B2929"/>
    <w:rsid w:val="27A25D8E"/>
    <w:rsid w:val="27D52B4D"/>
    <w:rsid w:val="27EB6814"/>
    <w:rsid w:val="28642123"/>
    <w:rsid w:val="28777BF4"/>
    <w:rsid w:val="28862099"/>
    <w:rsid w:val="29837BE6"/>
    <w:rsid w:val="2B2D4A4E"/>
    <w:rsid w:val="2B887E8F"/>
    <w:rsid w:val="2B990335"/>
    <w:rsid w:val="2C527E4A"/>
    <w:rsid w:val="2C7072E8"/>
    <w:rsid w:val="2D2D6F87"/>
    <w:rsid w:val="2F1E0F22"/>
    <w:rsid w:val="2F823A85"/>
    <w:rsid w:val="2FD91648"/>
    <w:rsid w:val="30BE2F56"/>
    <w:rsid w:val="34313D2C"/>
    <w:rsid w:val="34A26247"/>
    <w:rsid w:val="34BC67D7"/>
    <w:rsid w:val="34D04986"/>
    <w:rsid w:val="34E16FD5"/>
    <w:rsid w:val="35DF0B77"/>
    <w:rsid w:val="3701698B"/>
    <w:rsid w:val="37790646"/>
    <w:rsid w:val="38C3655B"/>
    <w:rsid w:val="39203E44"/>
    <w:rsid w:val="3AD936A1"/>
    <w:rsid w:val="3B7D1998"/>
    <w:rsid w:val="3B8B56B5"/>
    <w:rsid w:val="3BDF3B42"/>
    <w:rsid w:val="3C756255"/>
    <w:rsid w:val="3C990801"/>
    <w:rsid w:val="3DAA47D2"/>
    <w:rsid w:val="3DF123FF"/>
    <w:rsid w:val="3E1E128E"/>
    <w:rsid w:val="3F853907"/>
    <w:rsid w:val="3FFE185D"/>
    <w:rsid w:val="403B1563"/>
    <w:rsid w:val="42075459"/>
    <w:rsid w:val="43AD2A6B"/>
    <w:rsid w:val="44042299"/>
    <w:rsid w:val="44A2460A"/>
    <w:rsid w:val="45173602"/>
    <w:rsid w:val="458539AC"/>
    <w:rsid w:val="458C7954"/>
    <w:rsid w:val="45F11042"/>
    <w:rsid w:val="472D7E58"/>
    <w:rsid w:val="47953C4F"/>
    <w:rsid w:val="47977365"/>
    <w:rsid w:val="49172B6D"/>
    <w:rsid w:val="49184B37"/>
    <w:rsid w:val="49BF6D61"/>
    <w:rsid w:val="4A3C6604"/>
    <w:rsid w:val="4B105AC6"/>
    <w:rsid w:val="4B8E2E8F"/>
    <w:rsid w:val="4C202DB8"/>
    <w:rsid w:val="4C53077D"/>
    <w:rsid w:val="4C7E695A"/>
    <w:rsid w:val="4D043409"/>
    <w:rsid w:val="4D232413"/>
    <w:rsid w:val="4D882D6A"/>
    <w:rsid w:val="4D9775E9"/>
    <w:rsid w:val="4E270E54"/>
    <w:rsid w:val="4EDF0F9F"/>
    <w:rsid w:val="503264DF"/>
    <w:rsid w:val="507B7E86"/>
    <w:rsid w:val="50965A49"/>
    <w:rsid w:val="51025EB1"/>
    <w:rsid w:val="511A0733"/>
    <w:rsid w:val="51835FE1"/>
    <w:rsid w:val="525A6314"/>
    <w:rsid w:val="528B5CE5"/>
    <w:rsid w:val="528E5230"/>
    <w:rsid w:val="53E73A84"/>
    <w:rsid w:val="546A57B7"/>
    <w:rsid w:val="55344AA7"/>
    <w:rsid w:val="554622F4"/>
    <w:rsid w:val="55DC1C16"/>
    <w:rsid w:val="566077FB"/>
    <w:rsid w:val="56951575"/>
    <w:rsid w:val="56CC500A"/>
    <w:rsid w:val="56E147BB"/>
    <w:rsid w:val="57CB2DF5"/>
    <w:rsid w:val="586321FD"/>
    <w:rsid w:val="59BF06D2"/>
    <w:rsid w:val="5A0329AD"/>
    <w:rsid w:val="5AAB3234"/>
    <w:rsid w:val="5B6F45BF"/>
    <w:rsid w:val="5B7025B1"/>
    <w:rsid w:val="5C7622AA"/>
    <w:rsid w:val="5C78171D"/>
    <w:rsid w:val="5D30585D"/>
    <w:rsid w:val="5DBF6738"/>
    <w:rsid w:val="5E14388B"/>
    <w:rsid w:val="5E370EEC"/>
    <w:rsid w:val="5E547699"/>
    <w:rsid w:val="5E837C93"/>
    <w:rsid w:val="5E953BF9"/>
    <w:rsid w:val="5F9C7C43"/>
    <w:rsid w:val="5FAF36A8"/>
    <w:rsid w:val="5FB8547F"/>
    <w:rsid w:val="60C05441"/>
    <w:rsid w:val="611D6D37"/>
    <w:rsid w:val="617050B9"/>
    <w:rsid w:val="63172813"/>
    <w:rsid w:val="63861381"/>
    <w:rsid w:val="63E678B4"/>
    <w:rsid w:val="64FE478A"/>
    <w:rsid w:val="65295866"/>
    <w:rsid w:val="65705687"/>
    <w:rsid w:val="65A74E21"/>
    <w:rsid w:val="65C46E98"/>
    <w:rsid w:val="665755E5"/>
    <w:rsid w:val="66794A10"/>
    <w:rsid w:val="671D539B"/>
    <w:rsid w:val="67C93707"/>
    <w:rsid w:val="688E6C63"/>
    <w:rsid w:val="68FF7F45"/>
    <w:rsid w:val="69BF098B"/>
    <w:rsid w:val="6A184540"/>
    <w:rsid w:val="6A310411"/>
    <w:rsid w:val="6A3A0B74"/>
    <w:rsid w:val="6A944EE1"/>
    <w:rsid w:val="6A985AB9"/>
    <w:rsid w:val="6AE01FA6"/>
    <w:rsid w:val="6C2C42D2"/>
    <w:rsid w:val="6D4318EA"/>
    <w:rsid w:val="6D491D7F"/>
    <w:rsid w:val="6D642C33"/>
    <w:rsid w:val="6E71483D"/>
    <w:rsid w:val="6F9E54E7"/>
    <w:rsid w:val="6FAF16C2"/>
    <w:rsid w:val="73AB7D4A"/>
    <w:rsid w:val="765608C9"/>
    <w:rsid w:val="766F7295"/>
    <w:rsid w:val="76832D41"/>
    <w:rsid w:val="775F12C1"/>
    <w:rsid w:val="778A0C6D"/>
    <w:rsid w:val="78580A64"/>
    <w:rsid w:val="78A331BB"/>
    <w:rsid w:val="78A855C2"/>
    <w:rsid w:val="79652BD2"/>
    <w:rsid w:val="799B65F3"/>
    <w:rsid w:val="79BF5D48"/>
    <w:rsid w:val="7AC81627"/>
    <w:rsid w:val="7C322CAF"/>
    <w:rsid w:val="7C6A000F"/>
    <w:rsid w:val="7D705A6D"/>
    <w:rsid w:val="7DB34CED"/>
    <w:rsid w:val="7E59139E"/>
    <w:rsid w:val="7EB34D96"/>
    <w:rsid w:val="7EBB501E"/>
    <w:rsid w:val="7F5D743D"/>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6A3E9"/>
  <w15:docId w15:val="{8378D844-E041-4E88-9898-BA50D50D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0">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 w:type="paragraph" w:customStyle="1" w:styleId="8">
    <w:name w:val="修订8"/>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271</cp:revision>
  <cp:lastPrinted>2024-04-01T03:17:00Z</cp:lastPrinted>
  <dcterms:created xsi:type="dcterms:W3CDTF">2023-09-11T09:27:00Z</dcterms:created>
  <dcterms:modified xsi:type="dcterms:W3CDTF">2025-08-29T08:36:00Z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2052-12.1.0.22529</vt:lpwstr>
  </property>
  <property fmtid="{D5CDD505-2E9C-101B-9397-08002B2CF9AE}" pid="6" name="ICV">
    <vt:lpwstr>3024048F6A8F4396A21E797552D309A0_13</vt:lpwstr>
  </property>
  <property fmtid="{D5CDD505-2E9C-101B-9397-08002B2CF9AE}" pid="7" name="KSOTemplateDocerSaveRecord">
    <vt:lpwstr>eyJoZGlkIjoiMDljMDdhNTg2MjkxNDdhODgzZWYzM2E2M2E2N2I4ZTYiLCJ1c2VySWQiOiIzNzk3OTI5MDcifQ==</vt:lpwstr>
  </property>
</Properties>
</file>