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600872</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中炬高新</w:t>
      </w:r>
    </w:p>
    <w:p>
      <w:pPr>
        <w:jc w:val="center"/>
        <w:rPr>
          <w:rFonts w:hint="eastAsia" w:ascii="黑体" w:hAnsi="黑体" w:eastAsia="黑体"/>
          <w:sz w:val="36"/>
          <w:szCs w:val="36"/>
        </w:rPr>
      </w:pPr>
      <w:r>
        <w:rPr>
          <w:rFonts w:hint="eastAsia" w:ascii="黑体" w:hAnsi="黑体" w:eastAsia="黑体"/>
          <w:sz w:val="36"/>
          <w:szCs w:val="36"/>
        </w:rPr>
        <w:t>中炬高新技术实业</w:t>
      </w:r>
      <w:r>
        <w:rPr>
          <w:rFonts w:hint="eastAsia" w:ascii="黑体" w:hAnsi="黑体" w:eastAsia="黑体"/>
          <w:sz w:val="36"/>
          <w:szCs w:val="36"/>
          <w:lang w:eastAsia="zh-CN"/>
        </w:rPr>
        <w:t>（</w:t>
      </w:r>
      <w:r>
        <w:rPr>
          <w:rFonts w:hint="eastAsia" w:ascii="黑体" w:hAnsi="黑体" w:eastAsia="黑体"/>
          <w:sz w:val="36"/>
          <w:szCs w:val="36"/>
        </w:rPr>
        <w:t>集团</w:t>
      </w:r>
      <w:r>
        <w:rPr>
          <w:rFonts w:hint="eastAsia" w:ascii="黑体" w:hAnsi="黑体" w:eastAsia="黑体"/>
          <w:sz w:val="36"/>
          <w:szCs w:val="36"/>
          <w:lang w:eastAsia="zh-CN"/>
        </w:rPr>
        <w:t>）</w:t>
      </w:r>
      <w:r>
        <w:rPr>
          <w:rFonts w:hint="eastAsia" w:ascii="黑体" w:hAnsi="黑体" w:eastAsia="黑体"/>
          <w:sz w:val="36"/>
          <w:szCs w:val="36"/>
        </w:rPr>
        <w:t>股份有限公司</w:t>
      </w:r>
    </w:p>
    <w:p>
      <w:pPr>
        <w:jc w:val="center"/>
        <w:rPr>
          <w:rFonts w:ascii="黑体" w:hAnsi="黑体" w:eastAsia="黑体"/>
          <w:sz w:val="36"/>
          <w:szCs w:val="36"/>
        </w:rPr>
      </w:pPr>
      <w:r>
        <w:rPr>
          <w:rFonts w:hint="eastAsia" w:ascii="黑体" w:hAnsi="黑体" w:eastAsia="黑体"/>
          <w:sz w:val="36"/>
          <w:szCs w:val="36"/>
        </w:rPr>
        <w:t>投资者关系活动记录表</w:t>
      </w:r>
    </w:p>
    <w:p>
      <w:pPr>
        <w:jc w:val="center"/>
        <w:rPr>
          <w:rFonts w:ascii="黑体" w:hAnsi="黑体" w:eastAsia="黑体"/>
          <w:sz w:val="24"/>
          <w:szCs w:val="24"/>
        </w:rPr>
      </w:pPr>
    </w:p>
    <w:tbl>
      <w:tblPr>
        <w:tblStyle w:val="5"/>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投资者关系活动类别</w:t>
            </w:r>
          </w:p>
        </w:tc>
        <w:tc>
          <w:tcPr>
            <w:tcW w:w="7191" w:type="dxa"/>
            <w:noWrap w:val="0"/>
            <w:vAlign w:val="center"/>
          </w:tcPr>
          <w:p>
            <w:pPr>
              <w:spacing w:line="360" w:lineRule="auto"/>
              <w:rPr>
                <w:rFonts w:hint="default" w:eastAsia="宋体"/>
                <w:sz w:val="24"/>
                <w:szCs w:val="24"/>
                <w:lang w:val="en-US" w:eastAsia="zh-CN"/>
              </w:rPr>
            </w:pPr>
            <w:r>
              <w:rPr>
                <w:rFonts w:hint="eastAsia"/>
                <w:sz w:val="24"/>
                <w:szCs w:val="24"/>
                <w:lang w:val="en-US" w:eastAsia="zh-CN"/>
              </w:rPr>
              <w:t>机构交流会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活动主题</w:t>
            </w:r>
          </w:p>
        </w:tc>
        <w:tc>
          <w:tcPr>
            <w:tcW w:w="7191" w:type="dxa"/>
            <w:noWrap w:val="0"/>
            <w:vAlign w:val="center"/>
          </w:tcPr>
          <w:p>
            <w:pPr>
              <w:rPr>
                <w:rFonts w:hint="default" w:eastAsia="宋体"/>
                <w:sz w:val="24"/>
                <w:szCs w:val="24"/>
                <w:lang w:val="en-US" w:eastAsia="zh-CN"/>
              </w:rPr>
            </w:pPr>
            <w:r>
              <w:rPr>
                <w:rFonts w:hint="eastAsia" w:ascii="宋体" w:hAnsi="宋体" w:eastAsia="宋体" w:cs="宋体"/>
                <w:bCs/>
                <w:iCs/>
                <w:color w:val="000000"/>
                <w:sz w:val="24"/>
                <w:highlight w:val="none"/>
                <w:lang w:val="en-GB"/>
              </w:rPr>
              <w:t>中炬高新</w:t>
            </w:r>
            <w:r>
              <w:rPr>
                <w:rFonts w:hint="eastAsia" w:ascii="宋体" w:hAnsi="宋体" w:cs="宋体"/>
                <w:bCs/>
                <w:iCs/>
                <w:color w:val="000000"/>
                <w:sz w:val="24"/>
                <w:highlight w:val="none"/>
                <w:lang w:val="en-US" w:eastAsia="zh-CN"/>
              </w:rPr>
              <w:t>2025年中期业绩投资者交流会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pPr>
              <w:rPr>
                <w:sz w:val="24"/>
                <w:szCs w:val="24"/>
              </w:rPr>
            </w:pPr>
            <w:r>
              <w:rPr>
                <w:rFonts w:hint="eastAsia"/>
                <w:sz w:val="24"/>
                <w:szCs w:val="24"/>
              </w:rPr>
              <w:t>时间</w:t>
            </w:r>
          </w:p>
        </w:tc>
        <w:tc>
          <w:tcPr>
            <w:tcW w:w="7191" w:type="dxa"/>
            <w:noWrap w:val="0"/>
            <w:vAlign w:val="center"/>
          </w:tcPr>
          <w:p>
            <w:pPr>
              <w:rPr>
                <w:rFonts w:hint="default" w:eastAsia="宋体"/>
                <w:sz w:val="24"/>
                <w:szCs w:val="24"/>
                <w:lang w:val="en-US" w:eastAsia="zh-CN"/>
              </w:rPr>
            </w:pPr>
            <w:r>
              <w:rPr>
                <w:rFonts w:hint="eastAsia" w:ascii="宋体" w:hAnsi="宋体" w:eastAsia="宋体" w:cs="宋体"/>
                <w:bCs/>
                <w:iCs/>
                <w:color w:val="000000"/>
                <w:sz w:val="24"/>
                <w:highlight w:val="none"/>
              </w:rPr>
              <w:t>2025-0</w:t>
            </w:r>
            <w:r>
              <w:rPr>
                <w:rFonts w:hint="eastAsia" w:ascii="宋体" w:hAnsi="宋体" w:cs="宋体"/>
                <w:bCs/>
                <w:iCs/>
                <w:color w:val="000000"/>
                <w:sz w:val="24"/>
                <w:highlight w:val="none"/>
                <w:lang w:val="en-US" w:eastAsia="zh-CN"/>
              </w:rPr>
              <w:t>8</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28</w:t>
            </w:r>
            <w:r>
              <w:rPr>
                <w:rFonts w:hint="eastAsia" w:ascii="宋体" w:hAnsi="宋体" w:eastAsia="宋体" w:cs="宋体"/>
                <w:bCs/>
                <w:iCs/>
                <w:color w:val="000000"/>
                <w:sz w:val="24"/>
                <w:highlight w:val="none"/>
              </w:rPr>
              <w:t xml:space="preserve"> - </w:t>
            </w:r>
            <w:r>
              <w:rPr>
                <w:rFonts w:hint="eastAsia" w:ascii="宋体" w:hAnsi="宋体" w:cs="宋体"/>
                <w:bCs/>
                <w:iCs/>
                <w:color w:val="000000"/>
                <w:sz w:val="24"/>
                <w:highlight w:val="none"/>
                <w:lang w:val="en-US" w:eastAsia="zh-CN"/>
              </w:rPr>
              <w:t>14</w:t>
            </w:r>
            <w:r>
              <w:rPr>
                <w:rFonts w:hint="eastAsia" w:ascii="宋体" w:hAnsi="宋体" w:eastAsia="宋体" w:cs="宋体"/>
                <w:bCs/>
                <w:iCs/>
                <w:color w:val="000000"/>
                <w:sz w:val="24"/>
                <w:highlight w:val="none"/>
              </w:rPr>
              <w:t>:00-</w:t>
            </w:r>
            <w:r>
              <w:rPr>
                <w:rFonts w:hint="eastAsia" w:ascii="宋体" w:hAnsi="宋体" w:cs="宋体"/>
                <w:bCs/>
                <w:iCs/>
                <w:color w:val="000000"/>
                <w:sz w:val="24"/>
                <w:highlight w:val="none"/>
                <w:lang w:val="en-US" w:eastAsia="zh-CN"/>
              </w:rPr>
              <w:t>16</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center"/>
          </w:tcPr>
          <w:p>
            <w:pPr>
              <w:jc w:val="left"/>
              <w:rPr>
                <w:rFonts w:hint="eastAsia"/>
                <w:sz w:val="24"/>
                <w:szCs w:val="24"/>
              </w:rPr>
            </w:pPr>
            <w:r>
              <w:rPr>
                <w:rFonts w:hint="eastAsia" w:ascii="宋体" w:hAnsi="宋体"/>
                <w:szCs w:val="21"/>
                <w:lang w:val="en-US" w:eastAsia="zh-CN"/>
              </w:rPr>
              <w:t>公司</w:t>
            </w:r>
            <w:r>
              <w:rPr>
                <w:rFonts w:hint="eastAsia" w:ascii="宋体" w:hAnsi="宋体" w:eastAsia="宋体"/>
                <w:szCs w:val="21"/>
                <w:lang w:val="en-US" w:eastAsia="zh-CN"/>
              </w:rPr>
              <w:t>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上市公司接待人员姓名</w:t>
            </w:r>
          </w:p>
        </w:tc>
        <w:tc>
          <w:tcPr>
            <w:tcW w:w="7191" w:type="dxa"/>
            <w:noWrap w:val="0"/>
            <w:vAlign w:val="center"/>
          </w:tcPr>
          <w:p>
            <w:pPr>
              <w:spacing w:line="360" w:lineRule="auto"/>
              <w:rPr>
                <w:rFonts w:hint="eastAsia"/>
                <w:lang w:val="en-US" w:eastAsia="zh-CN"/>
              </w:rPr>
            </w:pPr>
            <w:r>
              <w:rPr>
                <w:rFonts w:hint="eastAsia"/>
              </w:rPr>
              <w:t>董事长：</w:t>
            </w:r>
            <w:r>
              <w:rPr>
                <w:rFonts w:hint="eastAsia"/>
                <w:lang w:val="en-US" w:eastAsia="zh-CN"/>
              </w:rPr>
              <w:t>黎汝雄，副董事长：</w:t>
            </w:r>
            <w:r>
              <w:rPr>
                <w:rFonts w:hint="eastAsia"/>
              </w:rPr>
              <w:t>余健华</w:t>
            </w:r>
            <w:r>
              <w:rPr>
                <w:rFonts w:hint="eastAsia"/>
                <w:lang w:eastAsia="zh-CN"/>
              </w:rPr>
              <w:t>，</w:t>
            </w:r>
            <w:r>
              <w:rPr>
                <w:rFonts w:hint="eastAsia"/>
                <w:lang w:val="en-US" w:eastAsia="zh-CN"/>
              </w:rPr>
              <w:t>总经理：余向阳，</w:t>
            </w:r>
            <w:r>
              <w:rPr>
                <w:rFonts w:hint="eastAsia"/>
              </w:rPr>
              <w:t>董事、常务副总经理</w:t>
            </w:r>
            <w:r>
              <w:rPr>
                <w:rFonts w:hint="eastAsia"/>
                <w:lang w:val="en-US" w:eastAsia="zh-CN"/>
              </w:rPr>
              <w:t>兼</w:t>
            </w:r>
            <w:bookmarkStart w:id="0" w:name="_GoBack"/>
            <w:bookmarkEnd w:id="0"/>
            <w:r>
              <w:rPr>
                <w:rFonts w:hint="eastAsia"/>
              </w:rPr>
              <w:t>财务负责人：林颖</w:t>
            </w:r>
            <w:r>
              <w:rPr>
                <w:rFonts w:hint="eastAsia"/>
                <w:lang w:eastAsia="zh-CN"/>
              </w:rPr>
              <w:t>，</w:t>
            </w:r>
            <w:r>
              <w:rPr>
                <w:rFonts w:hint="eastAsia"/>
              </w:rPr>
              <w:t>副总经理</w:t>
            </w:r>
            <w:r>
              <w:rPr>
                <w:rFonts w:hint="eastAsia"/>
                <w:lang w:eastAsia="zh-CN"/>
              </w:rPr>
              <w:t>：</w:t>
            </w:r>
            <w:r>
              <w:rPr>
                <w:rFonts w:hint="eastAsia"/>
                <w:lang w:val="en-US" w:eastAsia="zh-CN"/>
              </w:rPr>
              <w:t>陈代坚，</w:t>
            </w:r>
            <w:r>
              <w:rPr>
                <w:rFonts w:hint="eastAsia"/>
              </w:rPr>
              <w:t>董事会秘书：</w:t>
            </w:r>
            <w:r>
              <w:rPr>
                <w:rFonts w:hint="eastAsia"/>
                <w:lang w:val="en-US" w:eastAsia="zh-CN"/>
              </w:rPr>
              <w:t>余曼妮</w:t>
            </w:r>
          </w:p>
          <w:p>
            <w:pPr>
              <w:pStyle w:val="2"/>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pPr>
              <w:rPr>
                <w:rFonts w:hint="eastAsia"/>
                <w:sz w:val="24"/>
                <w:szCs w:val="24"/>
              </w:rPr>
            </w:pPr>
            <w:r>
              <w:rPr>
                <w:rFonts w:hint="eastAsia"/>
                <w:sz w:val="24"/>
                <w:szCs w:val="24"/>
              </w:rPr>
              <w:t>参与单位名称与人数</w:t>
            </w:r>
          </w:p>
        </w:tc>
        <w:tc>
          <w:tcPr>
            <w:tcW w:w="7191" w:type="dxa"/>
            <w:noWrap w:val="0"/>
            <w:vAlign w:val="center"/>
          </w:tcPr>
          <w:p>
            <w:pPr>
              <w:pStyle w:val="2"/>
              <w:rPr>
                <w:rFonts w:hint="default"/>
                <w:lang w:val="en-US" w:eastAsia="zh-CN"/>
              </w:rPr>
            </w:pPr>
            <w:r>
              <w:rPr>
                <w:rFonts w:hint="eastAsia" w:ascii="Calibri" w:hAnsi="Calibri" w:eastAsia="宋体" w:cs="Times New Roman"/>
                <w:kern w:val="2"/>
                <w:sz w:val="21"/>
                <w:szCs w:val="22"/>
                <w:lang w:val="en-US" w:eastAsia="zh-CN" w:bidi="ar-SA"/>
              </w:rPr>
              <w:t>广发证券、财通证券、华创证券、浙商证券、国信证券、西南证券、方正证券、野村东方国际证券、华鑫证券、开源证券、民生证券、银华基金、江海证券、杭州哲云私募、中信建投证券、招商证券、西部证券、民生证券、中信建投证券、天风证券、华西证券、光大证券、中信证券等30家机构（注：以上机构顺序排名不分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526" w:type="dxa"/>
            <w:noWrap w:val="0"/>
            <w:vAlign w:val="center"/>
          </w:tcPr>
          <w:p>
            <w:pPr>
              <w:rPr>
                <w:sz w:val="24"/>
                <w:szCs w:val="24"/>
              </w:rPr>
            </w:pPr>
            <w:r>
              <w:rPr>
                <w:rFonts w:hint="eastAsia"/>
                <w:sz w:val="24"/>
                <w:szCs w:val="24"/>
              </w:rPr>
              <w:t>投资者关系活动主要内容介绍</w:t>
            </w:r>
          </w:p>
        </w:tc>
        <w:tc>
          <w:tcPr>
            <w:tcW w:w="7191" w:type="dxa"/>
            <w:noWrap w:val="0"/>
            <w:vAlign w:val="top"/>
          </w:tcPr>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投资者关系活动主要内容</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会上，</w:t>
            </w:r>
            <w:r>
              <w:rPr>
                <w:rFonts w:hint="default" w:ascii="Calibri" w:hAnsi="Calibri" w:eastAsia="宋体" w:cs="Times New Roman"/>
                <w:kern w:val="2"/>
                <w:sz w:val="21"/>
                <w:szCs w:val="22"/>
                <w:lang w:val="en-US" w:eastAsia="zh-CN" w:bidi="ar-SA"/>
              </w:rPr>
              <w:t>董事长</w:t>
            </w:r>
            <w:r>
              <w:rPr>
                <w:rFonts w:hint="eastAsia" w:ascii="Calibri" w:hAnsi="Calibri" w:eastAsia="宋体" w:cs="Times New Roman"/>
                <w:kern w:val="2"/>
                <w:sz w:val="21"/>
                <w:szCs w:val="22"/>
                <w:lang w:val="en-US" w:eastAsia="zh-CN" w:bidi="ar-SA"/>
              </w:rPr>
              <w:t>黎汝雄</w:t>
            </w:r>
            <w:r>
              <w:rPr>
                <w:rFonts w:hint="default" w:ascii="Calibri" w:hAnsi="Calibri" w:eastAsia="宋体" w:cs="Times New Roman"/>
                <w:kern w:val="2"/>
                <w:sz w:val="21"/>
                <w:szCs w:val="22"/>
                <w:lang w:val="en-US" w:eastAsia="zh-CN" w:bidi="ar-SA"/>
              </w:rPr>
              <w:t>致辞，分享了其职业背景及对公司未来的信心，提到公司短期面临内部改革挑战，但长期</w:t>
            </w:r>
            <w:r>
              <w:rPr>
                <w:rFonts w:hint="eastAsia" w:ascii="Calibri" w:hAnsi="Calibri" w:eastAsia="宋体" w:cs="Times New Roman"/>
                <w:kern w:val="2"/>
                <w:sz w:val="21"/>
                <w:szCs w:val="22"/>
                <w:lang w:val="en-US" w:eastAsia="zh-CN" w:bidi="ar-SA"/>
              </w:rPr>
              <w:t>发展</w:t>
            </w:r>
            <w:r>
              <w:rPr>
                <w:rFonts w:hint="default" w:ascii="Calibri" w:hAnsi="Calibri" w:eastAsia="宋体" w:cs="Times New Roman"/>
                <w:kern w:val="2"/>
                <w:sz w:val="21"/>
                <w:szCs w:val="22"/>
                <w:lang w:val="en-US" w:eastAsia="zh-CN" w:bidi="ar-SA"/>
              </w:rPr>
              <w:t>前景乐观。</w:t>
            </w:r>
          </w:p>
          <w:p>
            <w:pPr>
              <w:pStyle w:val="2"/>
              <w:numPr>
                <w:ilvl w:val="0"/>
                <w:numId w:val="0"/>
              </w:numPr>
              <w:ind w:leftChars="0" w:firstLine="420" w:firstLineChars="20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董事、常务副总经理兼财务负责人林颖对公司上半年经营数据进行分析分享，公司上半年营业收入21.32亿元，同比下降18.58%，调味品业务收入20.98亿元，同比下降17.92%。二季度收入10.2亿元，同比下降7.2%，环比改善。毛利率39.05%，同比提升2.59个百分点。 调味品主业Q2逐月恢复，6月企稳回升。</w:t>
            </w:r>
          </w:p>
          <w:p>
            <w:pPr>
              <w:pStyle w:val="2"/>
              <w:numPr>
                <w:ilvl w:val="0"/>
                <w:numId w:val="0"/>
              </w:numPr>
              <w:ind w:leftChars="0" w:firstLine="420" w:firstLineChars="20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公司总经理对公司未来战略重点举措进行分享：</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1. 市场定位与目标</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坚持长期主义：明确公司的使命愿景和核心价值观，坚持长期发展。</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坚持</w:t>
            </w:r>
            <w:r>
              <w:rPr>
                <w:rFonts w:hint="default" w:ascii="Calibri" w:hAnsi="Calibri" w:eastAsia="宋体" w:cs="Times New Roman"/>
                <w:kern w:val="2"/>
                <w:sz w:val="21"/>
                <w:szCs w:val="22"/>
                <w:lang w:val="en-US" w:eastAsia="zh-CN" w:bidi="ar-SA"/>
              </w:rPr>
              <w:t>再造</w:t>
            </w:r>
            <w:r>
              <w:rPr>
                <w:rFonts w:hint="eastAsia" w:ascii="Calibri" w:hAnsi="Calibri" w:eastAsia="宋体" w:cs="Times New Roman"/>
                <w:kern w:val="2"/>
                <w:sz w:val="21"/>
                <w:szCs w:val="22"/>
                <w:lang w:val="en-US" w:eastAsia="zh-CN" w:bidi="ar-SA"/>
              </w:rPr>
              <w:t>厨邦</w:t>
            </w:r>
            <w:r>
              <w:rPr>
                <w:rFonts w:hint="default" w:ascii="Calibri" w:hAnsi="Calibri" w:eastAsia="宋体" w:cs="Times New Roman"/>
                <w:kern w:val="2"/>
                <w:sz w:val="21"/>
                <w:szCs w:val="22"/>
                <w:lang w:val="en-US" w:eastAsia="zh-CN" w:bidi="ar-SA"/>
              </w:rPr>
              <w:t>：重塑品牌形象，提升市场竞争力。</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2. 组织架构调整</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优化组织结构：根据业务发展需要，调整组织架构，提高运营效率。</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加强基础建设：夯实基础管理，为长远发展奠定坚实基础。</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3. 数字化升级</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打造全新市场体系：通过数字化手段，构建更加高效、智能的市场体系。</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提升管理效率：利用数字技术优化内部流程，提高决策准确性和响应速度。</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4. 人才与激励政策</w:t>
            </w:r>
          </w:p>
          <w:p>
            <w:pPr>
              <w:pStyle w:val="2"/>
              <w:numPr>
                <w:ilvl w:val="0"/>
                <w:numId w:val="0"/>
              </w:numPr>
              <w:ind w:leftChars="0" w:firstLine="420" w:firstLineChars="20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重视人才培养：加大人才引进和培养力度，为公司发展提供有力支撑。</w:t>
            </w:r>
          </w:p>
          <w:p>
            <w:pPr>
              <w:pStyle w:val="2"/>
              <w:numPr>
                <w:ilvl w:val="0"/>
                <w:numId w:val="0"/>
              </w:numPr>
              <w:ind w:leftChars="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t>完善激励机制：制定合理的激励政策，激发员工积极性和创造力。</w:t>
            </w:r>
          </w:p>
          <w:p>
            <w:pPr>
              <w:pStyle w:val="2"/>
              <w:numPr>
                <w:ilvl w:val="0"/>
                <w:numId w:val="0"/>
              </w:numPr>
              <w:ind w:leftChars="0"/>
              <w:rPr>
                <w:rFonts w:hint="eastAsia" w:ascii="Calibri" w:hAnsi="Calibri" w:eastAsia="宋体" w:cs="Times New Roman"/>
                <w:kern w:val="2"/>
                <w:sz w:val="21"/>
                <w:szCs w:val="22"/>
                <w:lang w:val="en-US" w:eastAsia="zh-CN" w:bidi="ar-SA"/>
              </w:rPr>
            </w:pPr>
          </w:p>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Q&amp;A</w:t>
            </w:r>
          </w:p>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1、公司之前制定激励目标较高，可能是很好的思路，但在大环境不好的情况下，在执行过程中动作可能会变形，现在新董事长过来，是否会考虑激励目标或内部目标适当降低？</w:t>
            </w:r>
          </w:p>
          <w:p>
            <w:pPr>
              <w:pStyle w:val="2"/>
              <w:numPr>
                <w:ilvl w:val="0"/>
                <w:numId w:val="0"/>
              </w:numPr>
              <w:ind w:leftChars="0"/>
              <w:rPr>
                <w:rFonts w:hint="default"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cs="Times New Roman"/>
                <w:kern w:val="2"/>
                <w:sz w:val="21"/>
                <w:szCs w:val="22"/>
                <w:lang w:val="en-US" w:eastAsia="zh-CN" w:bidi="ar-SA"/>
              </w:rPr>
              <w:t>公司长期目标不会变化，但鼓励员工分段执行，我们增长目标必须对标市场，并高于市场的增速。虽然现在市场有点低迷，但我们有信心在这样的情况下提高市场占有率。</w:t>
            </w:r>
          </w:p>
          <w:p>
            <w:pPr>
              <w:pStyle w:val="2"/>
              <w:numPr>
                <w:ilvl w:val="0"/>
                <w:numId w:val="0"/>
              </w:numPr>
              <w:ind w:leftChars="0"/>
              <w:rPr>
                <w:rFonts w:hint="eastAsia" w:ascii="Calibri" w:hAnsi="Calibri" w:eastAsia="宋体" w:cs="Times New Roman"/>
                <w:kern w:val="2"/>
                <w:sz w:val="21"/>
                <w:szCs w:val="22"/>
                <w:lang w:val="en-US" w:eastAsia="zh-CN" w:bidi="ar-SA"/>
              </w:rPr>
            </w:pPr>
          </w:p>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2、公司之前经销商改革，也借助了一些啤酒经销商，经过一两年的尝试之后，想问下对比之前现在有没有新的变化或策略？</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sz w:val="21"/>
              </w:rPr>
              <w:t>公司营销管理主体框架设计非常清晰，我们提出了客户分级管理理念并实施价促分离机制，明确了事业部和总部之间的权责划分。然而在执行过程中存在一定偏差，我们认识到任何一种能力在战略目标调整时都需要配套组织保障体系支撑。2024年变革中我们采取了业务先行的</w:t>
            </w:r>
            <w:r>
              <w:rPr>
                <w:rFonts w:hint="eastAsia" w:ascii="Calibri" w:hAnsi="Calibri" w:eastAsia="宋体"/>
                <w:sz w:val="21"/>
                <w:lang w:val="en-US" w:eastAsia="zh-CN"/>
              </w:rPr>
              <w:t>方式</w:t>
            </w:r>
            <w:r>
              <w:rPr>
                <w:rFonts w:hint="eastAsia" w:ascii="Calibri" w:hAnsi="Calibri" w:eastAsia="宋体"/>
                <w:sz w:val="21"/>
              </w:rPr>
              <w:t>，但在组织体系和组织能力的建设方面有所欠缺。未来变革我们将继续深化客户分级管理，坚持以经销商为主的价格管理体系，强化终端管理理念，同时运用公司</w:t>
            </w:r>
            <w:r>
              <w:rPr>
                <w:rFonts w:hint="eastAsia" w:ascii="Calibri" w:hAnsi="Calibri" w:eastAsia="宋体"/>
                <w:sz w:val="21"/>
                <w:lang w:val="en-US" w:eastAsia="zh-CN"/>
              </w:rPr>
              <w:t>的客户经营趋势</w:t>
            </w:r>
            <w:r>
              <w:rPr>
                <w:rFonts w:hint="eastAsia" w:ascii="Calibri" w:hAnsi="Calibri" w:eastAsia="宋体"/>
                <w:sz w:val="21"/>
              </w:rPr>
              <w:t>体检表工具进行精准诊断，通过问题导向的协同机制推动系统性解决方案的制定与实施。</w:t>
            </w:r>
          </w:p>
          <w:p>
            <w:pPr>
              <w:rPr>
                <w:rFonts w:hint="eastAsia"/>
                <w:lang w:val="en-US" w:eastAsia="zh-CN"/>
              </w:rPr>
            </w:pPr>
          </w:p>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3、去年重点推行减盐生抽以来，该产品目前的规模体量大概怎样？未来规划如何？公司之前产品定位偏高端，后面是否会考虑推出大众价格带的单品以符合当前消费趋势？</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cs="Times New Roman"/>
                <w:kern w:val="2"/>
                <w:sz w:val="21"/>
                <w:szCs w:val="22"/>
                <w:lang w:val="en-US" w:eastAsia="zh-CN" w:bidi="ar-SA"/>
              </w:rPr>
              <w:t>关于调味品发展趋势一定是趋向更健康、营养，包括像“药食同源”这样的理念。对于零添加、减盐等产品国家对相关管理制度会进一步规范化。减盐产品为现阶段公司产品的主要发展方向，我们参考日本调味品发展规律，公司未来会进一步全面开展与院校开展合作。从经营的角度看，减盐产品的上市能促进经销商更好地提高市场份额和增加资源。</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公司会坚持自身中高端品牌的价格定位，我们认为风味的竞争优于价格的竞争，做好传承，进一步深入到消费者心里。</w:t>
            </w:r>
          </w:p>
          <w:p>
            <w:pPr>
              <w:pStyle w:val="2"/>
              <w:numPr>
                <w:ilvl w:val="0"/>
                <w:numId w:val="0"/>
              </w:numPr>
              <w:ind w:leftChars="0"/>
              <w:rPr>
                <w:rFonts w:hint="default"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目前餐饮竞争格局在人均消费支出下降的情况下，两极分化明显。餐饮的竞争来自于菜的品味，菜的品味来源于调味品，在成本和风味之间，我们要抓住消费者核心诉求，保证菜品品质，不是一味地局限于价格竞争。</w:t>
            </w:r>
          </w:p>
          <w:p>
            <w:pPr>
              <w:pStyle w:val="2"/>
              <w:numPr>
                <w:ilvl w:val="0"/>
                <w:numId w:val="0"/>
              </w:numPr>
              <w:ind w:leftChars="0"/>
              <w:rPr>
                <w:rFonts w:hint="eastAsia" w:ascii="Calibri" w:hAnsi="Calibri" w:eastAsia="宋体" w:cs="Times New Roman"/>
                <w:kern w:val="2"/>
                <w:sz w:val="21"/>
                <w:szCs w:val="22"/>
                <w:lang w:val="en-US" w:eastAsia="zh-CN" w:bidi="ar-SA"/>
              </w:rPr>
            </w:pPr>
          </w:p>
          <w:p>
            <w:pPr>
              <w:pStyle w:val="2"/>
              <w:numPr>
                <w:ilvl w:val="0"/>
                <w:numId w:val="1"/>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请教董事长就任后关于公司管理的抓手是什么？组织调整还是经营目标绩效管理？</w:t>
            </w:r>
          </w:p>
          <w:p>
            <w:pPr>
              <w:numPr>
                <w:ilvl w:val="0"/>
                <w:numId w:val="0"/>
              </w:numPr>
              <w:rPr>
                <w:rFonts w:hint="default"/>
                <w:lang w:val="en-US" w:eastAsia="zh-CN"/>
              </w:rPr>
            </w:pPr>
            <w:r>
              <w:rPr>
                <w:rFonts w:hint="eastAsia"/>
                <w:b/>
                <w:bCs/>
                <w:lang w:val="en-US" w:eastAsia="zh-CN"/>
              </w:rPr>
              <w:t>回复：</w:t>
            </w:r>
            <w:r>
              <w:rPr>
                <w:rFonts w:hint="eastAsia"/>
                <w:lang w:val="en-US" w:eastAsia="zh-CN"/>
              </w:rPr>
              <w:t>管理工作的关键在于精细落地而非纸上谈兵，如果必须聚焦于一项核心任务，我认为人才梯队建设至关重要，优化团队结构，保留具有“狼性”特质的人才。董事长到任两个月以来，公司二季度业绩已经有明显的改善，这主要得益于前期改革初见成效。未来，董事长会在既有的改革成果基础上继续推进改革，对未来发展还是有信心的。</w:t>
            </w:r>
          </w:p>
          <w:p>
            <w:pPr>
              <w:pStyle w:val="2"/>
              <w:numPr>
                <w:ilvl w:val="0"/>
                <w:numId w:val="0"/>
              </w:numPr>
              <w:ind w:leftChars="0"/>
              <w:rPr>
                <w:rFonts w:hint="eastAsia" w:ascii="Calibri" w:hAnsi="Calibri" w:eastAsia="宋体" w:cs="Times New Roman"/>
                <w:kern w:val="2"/>
                <w:sz w:val="21"/>
                <w:szCs w:val="22"/>
                <w:lang w:val="en-US" w:eastAsia="zh-CN" w:bidi="ar-SA"/>
              </w:rPr>
            </w:pPr>
          </w:p>
          <w:p>
            <w:pPr>
              <w:pStyle w:val="2"/>
              <w:numPr>
                <w:ilvl w:val="0"/>
                <w:numId w:val="0"/>
              </w:numPr>
              <w:ind w:leftChars="0"/>
              <w:rPr>
                <w:rFonts w:hint="default"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5、后续并购是不是公司的增长点以及并购的进展？</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cs="Times New Roman"/>
                <w:kern w:val="2"/>
                <w:sz w:val="21"/>
                <w:szCs w:val="22"/>
                <w:lang w:val="en-US" w:eastAsia="zh-CN" w:bidi="ar-SA"/>
              </w:rPr>
              <w:t>现阶段市场竞争激烈，我们也持续关注潜在标的，但秉持审慎稳健的投资理念。公司高度重视并购后的持续经营能力，坚决避免因盲目扩张导致业绩下滑的风险。尤其在当前股市环境情况下，高PE的公司面临较大压力，公司经过前两年的改革，现在PE压力较小。董事长对团队在并购的工作还是充满信心的，相信在并购工作推进上，我们有望在利润和PE增长上给股东带来价值。</w:t>
            </w:r>
          </w:p>
          <w:p>
            <w:pPr>
              <w:ind w:firstLine="420" w:firstLineChars="200"/>
              <w:rPr>
                <w:rFonts w:hint="default"/>
                <w:lang w:val="en-US" w:eastAsia="zh-CN"/>
              </w:rPr>
            </w:pPr>
            <w:r>
              <w:rPr>
                <w:rFonts w:hint="eastAsia" w:cs="Times New Roman"/>
                <w:kern w:val="2"/>
                <w:sz w:val="21"/>
                <w:szCs w:val="22"/>
                <w:lang w:val="en-US" w:eastAsia="zh-CN" w:bidi="ar-SA"/>
              </w:rPr>
              <w:t>公司现阶段将重点强化内部管理能力建设，同时持续扩大标的筛选范围，一旦有进展的话会第一时间跟大家分享。</w:t>
            </w:r>
          </w:p>
          <w:p>
            <w:pPr>
              <w:rPr>
                <w:rFonts w:hint="eastAsia" w:ascii="Calibri" w:hAnsi="Calibri" w:eastAsia="宋体" w:cs="Times New Roman"/>
                <w:kern w:val="2"/>
                <w:sz w:val="21"/>
                <w:szCs w:val="22"/>
                <w:lang w:val="en-US" w:eastAsia="zh-CN" w:bidi="ar-SA"/>
              </w:rPr>
            </w:pPr>
          </w:p>
          <w:p>
            <w:pPr>
              <w:pStyle w:val="2"/>
              <w:numPr>
                <w:ilvl w:val="0"/>
                <w:numId w:val="0"/>
              </w:numPr>
              <w:ind w:leftChars="0"/>
              <w:rPr>
                <w:rFonts w:hint="default"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6、复合调味品在B端和C端的市场应用趋势如何？厨邦打算怎么做？突破点在哪里？</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cs="Times New Roman"/>
                <w:kern w:val="2"/>
                <w:sz w:val="21"/>
                <w:szCs w:val="22"/>
                <w:lang w:val="en-US" w:eastAsia="zh-CN" w:bidi="ar-SA"/>
              </w:rPr>
              <w:t>B端应用以对手核心配方技术和工艺要求为主题，考验公司产品供应能力、品质、质量、研发及成本控制实力；C端民用应用方面，过去产品研发常将自我思维传输给消费者，如今新零售电商等平台让消费者能表达想法并形成共识后，催生新产品。公司在变革中会坚持客户分级管理、二批特色传达管理模式，进一步细化渠道管理和价格管理，如推行客户经营趋势健康体检表帮助团队精准发现问题并探讨解决方法。</w:t>
            </w:r>
          </w:p>
          <w:p>
            <w:pPr>
              <w:rPr>
                <w:rFonts w:hint="eastAsia" w:ascii="Calibri" w:hAnsi="Calibri" w:eastAsia="宋体" w:cs="Times New Roman"/>
                <w:kern w:val="2"/>
                <w:sz w:val="21"/>
                <w:szCs w:val="22"/>
                <w:lang w:val="en-US" w:eastAsia="zh-CN" w:bidi="ar-SA"/>
              </w:rPr>
            </w:pPr>
          </w:p>
          <w:p>
            <w:pPr>
              <w:pStyle w:val="2"/>
              <w:numPr>
                <w:ilvl w:val="0"/>
                <w:numId w:val="2"/>
              </w:numPr>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除传统经销和B端渠道外，新零售渠道如何做？内部如何细化渠道并排序优先发展？</w:t>
            </w:r>
          </w:p>
          <w:p>
            <w:pPr>
              <w:numPr>
                <w:ilvl w:val="0"/>
                <w:numId w:val="0"/>
              </w:numPr>
              <w:rPr>
                <w:rFonts w:hint="eastAsia"/>
                <w:lang w:val="en-US" w:eastAsia="zh-CN"/>
              </w:rPr>
            </w:pPr>
            <w:r>
              <w:rPr>
                <w:rFonts w:hint="eastAsia"/>
                <w:b/>
                <w:bCs/>
                <w:lang w:val="en-US" w:eastAsia="zh-CN"/>
              </w:rPr>
              <w:t>回复：</w:t>
            </w:r>
            <w:r>
              <w:rPr>
                <w:rFonts w:hint="eastAsia"/>
                <w:lang w:val="en-US" w:eastAsia="zh-CN"/>
              </w:rPr>
              <w:t>新零售电商更多的是让消费者发表自己的想法，最终在产品上达成共识，消费者的消费理念是一个产品，调味品也是一个产品，公司会坚持多元化发展，从生产上加强柔性定制生产能力。在新零售渠道排序上会把内容电商放在第一位。</w:t>
            </w:r>
          </w:p>
          <w:p>
            <w:pPr>
              <w:pStyle w:val="2"/>
              <w:rPr>
                <w:rFonts w:hint="eastAsia"/>
                <w:lang w:val="en-US" w:eastAsia="zh-CN"/>
              </w:rPr>
            </w:pPr>
          </w:p>
          <w:p>
            <w:pPr>
              <w:numPr>
                <w:ilvl w:val="0"/>
                <w:numId w:val="2"/>
              </w:numPr>
              <w:ind w:left="0" w:leftChars="0" w:firstLine="0" w:firstLineChars="0"/>
              <w:rPr>
                <w:rFonts w:hint="eastAsia"/>
                <w:b/>
                <w:bCs/>
                <w:lang w:val="en-US" w:eastAsia="zh-CN"/>
              </w:rPr>
            </w:pPr>
            <w:r>
              <w:rPr>
                <w:rFonts w:hint="eastAsia"/>
                <w:b/>
                <w:bCs/>
                <w:lang w:val="en-US" w:eastAsia="zh-CN"/>
              </w:rPr>
              <w:t>公司经销商和内部销售人员做了哪些激励，确保大家有信心完成后续的目标？</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cs="Times New Roman"/>
                <w:kern w:val="2"/>
                <w:sz w:val="21"/>
                <w:szCs w:val="22"/>
                <w:lang w:val="en-US" w:eastAsia="zh-CN" w:bidi="ar-SA"/>
              </w:rPr>
              <w:t>设定一个合理目标，对我们组织能力的激发非常重要。反思公司2024年变革过程中，绩效考核（调整）颗粒度不够，调整方向有一些偏差。后续公司会制定合理目标，让团队快速调整心态，践行“四个一批”，让更多愿意加入公司改革队伍中的人加入，践行真正的市场化。</w:t>
            </w:r>
          </w:p>
          <w:p>
            <w:pP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 xml:space="preserve">   </w:t>
            </w:r>
          </w:p>
          <w:p>
            <w:pPr>
              <w:pStyle w:val="2"/>
              <w:numPr>
                <w:ilvl w:val="0"/>
                <w:numId w:val="2"/>
              </w:numPr>
              <w:ind w:left="0" w:leftChars="0" w:firstLine="0" w:firstLine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在渠道多元化上，我们在渠道和市场扩张上有什么思路？</w:t>
            </w:r>
          </w:p>
          <w:p>
            <w:pPr>
              <w:numPr>
                <w:ilvl w:val="0"/>
                <w:numId w:val="0"/>
              </w:numPr>
              <w:ind w:leftChars="0"/>
              <w:rPr>
                <w:rFonts w:hint="default"/>
                <w:lang w:val="en-US" w:eastAsia="zh-CN"/>
              </w:rPr>
            </w:pPr>
            <w:r>
              <w:rPr>
                <w:rFonts w:hint="eastAsia"/>
                <w:b/>
                <w:bCs/>
                <w:lang w:val="en-US" w:eastAsia="zh-CN"/>
              </w:rPr>
              <w:t>回复：</w:t>
            </w:r>
            <w:r>
              <w:rPr>
                <w:rFonts w:hint="eastAsia"/>
                <w:lang w:val="en-US" w:eastAsia="zh-CN"/>
              </w:rPr>
              <w:t>在渠道开拓上我们也在探索，重点强化新零售渠道中复合调味料品类的市场开拓。同时，将会加快餐饮渠道开发，着力构建有自身特色的餐饮渠道运营模式，并做好产品差异化，贴近区域的饮食文化，打造大单品。</w:t>
            </w:r>
          </w:p>
          <w:p>
            <w:pPr>
              <w:rPr>
                <w:rFonts w:hint="default"/>
                <w:lang w:val="en-US" w:eastAsia="zh-CN"/>
              </w:rPr>
            </w:pPr>
          </w:p>
          <w:p>
            <w:pPr>
              <w:numPr>
                <w:ilvl w:val="0"/>
                <w:numId w:val="2"/>
              </w:numPr>
              <w:ind w:left="0" w:leftChars="0" w:firstLine="0" w:firstLineChars="0"/>
              <w:rPr>
                <w:rFonts w:hint="eastAsia" w:cs="Times New Roman"/>
                <w:b/>
                <w:bCs/>
                <w:kern w:val="2"/>
                <w:sz w:val="21"/>
                <w:szCs w:val="22"/>
                <w:lang w:val="en-US" w:eastAsia="zh-CN" w:bidi="ar-SA"/>
              </w:rPr>
            </w:pPr>
            <w:r>
              <w:rPr>
                <w:rFonts w:hint="eastAsia" w:cs="Times New Roman"/>
                <w:b/>
                <w:bCs/>
                <w:kern w:val="2"/>
                <w:sz w:val="21"/>
                <w:szCs w:val="22"/>
                <w:lang w:val="en-US" w:eastAsia="zh-CN" w:bidi="ar-SA"/>
              </w:rPr>
              <w:t>在人员融合和管理上，后续如何去做好分工，更好达成公司目标？</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b/>
                <w:bCs/>
                <w:kern w:val="2"/>
                <w:sz w:val="21"/>
                <w:szCs w:val="22"/>
                <w:lang w:val="en-US" w:eastAsia="zh-CN" w:bidi="ar-SA"/>
              </w:rPr>
              <w:t>回复：</w:t>
            </w:r>
            <w:r>
              <w:rPr>
                <w:rFonts w:hint="eastAsia" w:ascii="Calibri" w:hAnsi="Calibri" w:eastAsia="宋体" w:cs="Times New Roman"/>
                <w:kern w:val="2"/>
                <w:sz w:val="21"/>
                <w:szCs w:val="22"/>
                <w:lang w:val="en-US" w:eastAsia="zh-CN" w:bidi="ar-SA"/>
              </w:rPr>
              <w:t>总经理在经营上专注短中期目标，如营销、生产的问题，是要即时效果的，有KPI的事情。董事长着力中长期发展，比如公司战略、并购。要不要离开现有的舒适区，找新行业或跨行业发展。董事长主要是管文化，总经理管生意。现在公司没有分新旧厨邦的概念，都是厨邦人。</w:t>
            </w:r>
          </w:p>
          <w:p>
            <w:pPr>
              <w:rPr>
                <w:rFonts w:hint="eastAsia" w:ascii="Calibri" w:hAnsi="Calibri" w:eastAsia="宋体" w:cs="Times New Roman"/>
                <w:kern w:val="2"/>
                <w:sz w:val="21"/>
                <w:szCs w:val="22"/>
                <w:lang w:val="en-US" w:eastAsia="zh-CN" w:bidi="ar-SA"/>
              </w:rPr>
            </w:pPr>
          </w:p>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11、9月份以后到年底，管理层对于外部销售环境的看法？公司改革效果现在进入的时期，是释放期还是爆发期？</w:t>
            </w:r>
          </w:p>
          <w:p>
            <w:pPr>
              <w:rPr>
                <w:rFonts w:hint="eastAsia" w:cs="Times New Roman"/>
                <w:kern w:val="2"/>
                <w:sz w:val="21"/>
                <w:szCs w:val="22"/>
                <w:lang w:val="en-US" w:eastAsia="zh-CN" w:bidi="ar-SA"/>
              </w:rPr>
            </w:pPr>
            <w:r>
              <w:rPr>
                <w:rFonts w:hint="eastAsia" w:cs="Times New Roman"/>
                <w:b/>
                <w:bCs/>
                <w:kern w:val="2"/>
                <w:sz w:val="21"/>
                <w:szCs w:val="22"/>
                <w:lang w:val="en-US" w:eastAsia="zh-CN" w:bidi="ar-SA"/>
              </w:rPr>
              <w:t>回复：</w:t>
            </w:r>
            <w:r>
              <w:rPr>
                <w:rFonts w:hint="eastAsia" w:cs="Times New Roman"/>
                <w:kern w:val="2"/>
                <w:sz w:val="21"/>
                <w:szCs w:val="22"/>
                <w:lang w:val="en-US" w:eastAsia="zh-CN" w:bidi="ar-SA"/>
              </w:rPr>
              <w:t>在当前宏观经济环境下，期待短期爆发式增长并不现实的，</w:t>
            </w:r>
            <w:r>
              <w:rPr>
                <w:rFonts w:hint="eastAsia"/>
              </w:rPr>
              <w:t>行业整体下行趋势仍在延续</w:t>
            </w:r>
            <w:r>
              <w:rPr>
                <w:rFonts w:hint="eastAsia" w:cs="Times New Roman"/>
                <w:kern w:val="2"/>
                <w:sz w:val="21"/>
                <w:szCs w:val="22"/>
                <w:lang w:val="en-US" w:eastAsia="zh-CN" w:bidi="ar-SA"/>
              </w:rPr>
              <w:t>，</w:t>
            </w:r>
            <w:r>
              <w:rPr>
                <w:rFonts w:hint="eastAsia"/>
              </w:rPr>
              <w:t>但基于我们</w:t>
            </w:r>
            <w:r>
              <w:rPr>
                <w:rFonts w:hint="eastAsia" w:cs="Times New Roman"/>
                <w:kern w:val="2"/>
                <w:sz w:val="21"/>
                <w:szCs w:val="22"/>
                <w:lang w:val="en-US" w:eastAsia="zh-CN" w:bidi="ar-SA"/>
              </w:rPr>
              <w:t>市占率不是很大</w:t>
            </w:r>
            <w:r>
              <w:rPr>
                <w:rFonts w:hint="eastAsia"/>
              </w:rPr>
              <w:t>，</w:t>
            </w:r>
            <w:r>
              <w:rPr>
                <w:rFonts w:hint="eastAsia" w:cs="Times New Roman"/>
                <w:kern w:val="2"/>
                <w:sz w:val="21"/>
                <w:szCs w:val="22"/>
                <w:lang w:val="en-US" w:eastAsia="zh-CN" w:bidi="ar-SA"/>
              </w:rPr>
              <w:t>我们</w:t>
            </w:r>
            <w:r>
              <w:rPr>
                <w:rFonts w:hint="eastAsia"/>
              </w:rPr>
              <w:t>仍具备稳健发展的空间和潜力</w:t>
            </w:r>
            <w:r>
              <w:rPr>
                <w:rFonts w:hint="eastAsia" w:cs="Times New Roman"/>
                <w:kern w:val="2"/>
                <w:sz w:val="21"/>
                <w:szCs w:val="22"/>
                <w:lang w:val="en-US" w:eastAsia="zh-CN" w:bidi="ar-SA"/>
              </w:rPr>
              <w:t>。</w:t>
            </w:r>
          </w:p>
          <w:p>
            <w:pPr>
              <w:pStyle w:val="2"/>
              <w:numPr>
                <w:ilvl w:val="0"/>
                <w:numId w:val="0"/>
              </w:numPr>
              <w:ind w:leftChars="0" w:firstLine="420" w:firstLineChars="20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公司改革阶段还是以客观数据作为衡量标准，</w:t>
            </w:r>
            <w:r>
              <w:rPr>
                <w:rFonts w:hint="eastAsia" w:ascii="Calibri" w:hAnsi="Calibri" w:eastAsia="宋体"/>
                <w:sz w:val="21"/>
              </w:rPr>
              <w:t>企业发展轨迹并非线性增长</w:t>
            </w:r>
            <w:r>
              <w:rPr>
                <w:rFonts w:hint="eastAsia" w:ascii="Calibri" w:hAnsi="Calibri" w:eastAsia="宋体" w:cs="Times New Roman"/>
                <w:kern w:val="2"/>
                <w:sz w:val="21"/>
                <w:szCs w:val="22"/>
                <w:lang w:val="en-US" w:eastAsia="zh-CN" w:bidi="ar-SA"/>
              </w:rPr>
              <w:t>，如果改革成功，会上一个台阶，相反不成功，就会掉一个台阶。</w:t>
            </w:r>
            <w:r>
              <w:rPr>
                <w:rFonts w:hint="eastAsia" w:ascii="Calibri" w:hAnsi="Calibri" w:eastAsia="宋体"/>
                <w:sz w:val="21"/>
              </w:rPr>
              <w:t>这一过程需要给予充分的消化时间，而非追求简单的线性发展路径。</w:t>
            </w:r>
          </w:p>
          <w:p>
            <w:pPr>
              <w:rPr>
                <w:rFonts w:hint="eastAsia" w:ascii="Calibri" w:hAnsi="Calibri" w:eastAsia="宋体" w:cs="Times New Roman"/>
                <w:kern w:val="2"/>
                <w:sz w:val="21"/>
                <w:szCs w:val="22"/>
                <w:lang w:val="en-US" w:eastAsia="zh-CN" w:bidi="ar-SA"/>
              </w:rPr>
            </w:pPr>
          </w:p>
          <w:p>
            <w:pPr>
              <w:pStyle w:val="2"/>
              <w:numPr>
                <w:ilvl w:val="0"/>
                <w:numId w:val="0"/>
              </w:numPr>
              <w:ind w:leftChars="0"/>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12、公司在价格管理梳理过程中遇到的难点和现阶段取得的成果？</w:t>
            </w:r>
          </w:p>
          <w:p>
            <w:pPr>
              <w:numPr>
                <w:ilvl w:val="0"/>
                <w:numId w:val="0"/>
              </w:numPr>
              <w:ind w:leftChars="0"/>
              <w:rPr>
                <w:rFonts w:hint="eastAsia"/>
                <w:lang w:val="en-US" w:eastAsia="zh-CN"/>
              </w:rPr>
            </w:pPr>
            <w:r>
              <w:rPr>
                <w:rFonts w:hint="eastAsia"/>
                <w:b/>
                <w:bCs/>
                <w:lang w:val="en-US" w:eastAsia="zh-CN"/>
              </w:rPr>
              <w:t>回复：</w:t>
            </w:r>
            <w:r>
              <w:rPr>
                <w:rFonts w:hint="eastAsia"/>
              </w:rPr>
              <w:t>经过公司持续为经销商提供更多支持与赋能后，经销商已从最初不愿提供价格数据转变为积极配合。</w:t>
            </w:r>
            <w:r>
              <w:rPr>
                <w:rFonts w:hint="eastAsia"/>
                <w:lang w:val="en-US" w:eastAsia="zh-CN"/>
              </w:rPr>
              <w:t>现在我们通过“客户经营趋势健康体检表”工具，系统性地帮助经销商诊断包括组织管理、供应链等关键环节的问题，获得了良好的反馈效果。价格修复工作在主销区部分地区已得到显著效果，部分地区会继续重点推进。自8月份开始已呈现回升态势，</w:t>
            </w:r>
            <w:r>
              <w:rPr>
                <w:rFonts w:hint="eastAsia"/>
              </w:rPr>
              <w:t>若保持当前修复进度，</w:t>
            </w:r>
            <w:r>
              <w:rPr>
                <w:rFonts w:hint="eastAsia"/>
                <w:lang w:val="en-US" w:eastAsia="zh-CN"/>
              </w:rPr>
              <w:t>预计在今年的10或11月份预计能完成这项工作。</w:t>
            </w:r>
          </w:p>
          <w:p>
            <w:pPr>
              <w:pStyle w:val="2"/>
              <w:rPr>
                <w:rFonts w:hint="eastAsia"/>
                <w:lang w:val="en-US" w:eastAsia="zh-CN"/>
              </w:rPr>
            </w:pPr>
          </w:p>
          <w:p>
            <w:pPr>
              <w:rPr>
                <w:rFonts w:hint="default"/>
                <w:b/>
                <w:bCs/>
                <w:lang w:val="en-US" w:eastAsia="zh-CN"/>
              </w:rPr>
            </w:pPr>
            <w:r>
              <w:rPr>
                <w:rFonts w:hint="eastAsia"/>
                <w:b/>
                <w:bCs/>
                <w:lang w:val="en-US" w:eastAsia="zh-CN"/>
              </w:rPr>
              <w:t>13、公司作为消费品品牌，董事会是否考虑研究并讨论更改公司名称及股票代码，使二者保持一致？目前未更名存在哪些困难？</w:t>
            </w:r>
          </w:p>
          <w:p>
            <w:pPr>
              <w:rPr>
                <w:rFonts w:ascii="PingFang SC-Regular" w:hAnsi="PingFang SC-Regular" w:eastAsia="PingFang SC-Regular" w:cs="PingFang SC-Regular"/>
                <w:i w:val="0"/>
                <w:iCs w:val="0"/>
                <w:caps w:val="0"/>
                <w:color w:val="333333"/>
                <w:spacing w:val="0"/>
                <w:sz w:val="21"/>
                <w:szCs w:val="21"/>
                <w:shd w:val="clear" w:fill="FFFFFF"/>
              </w:rPr>
            </w:pPr>
            <w:r>
              <w:rPr>
                <w:rFonts w:hint="eastAsia"/>
                <w:b/>
                <w:bCs/>
                <w:lang w:val="en-US" w:eastAsia="zh-CN"/>
              </w:rPr>
              <w:t>回复：</w:t>
            </w:r>
            <w:r>
              <w:rPr>
                <w:rFonts w:ascii="PingFang SC-Regular" w:hAnsi="PingFang SC-Regular" w:eastAsia="PingFang SC-Regular" w:cs="PingFang SC-Regular"/>
                <w:i w:val="0"/>
                <w:iCs w:val="0"/>
                <w:caps w:val="0"/>
                <w:color w:val="333333"/>
                <w:spacing w:val="0"/>
                <w:sz w:val="21"/>
                <w:szCs w:val="21"/>
                <w:shd w:val="clear" w:fill="FFFFFF"/>
              </w:rPr>
              <w:t>董事长</w:t>
            </w:r>
            <w:r>
              <w:rPr>
                <w:rFonts w:hint="eastAsia" w:ascii="PingFang SC-Regular" w:hAnsi="PingFang SC-Regular" w:cs="PingFang SC-Regular"/>
                <w:i w:val="0"/>
                <w:iCs w:val="0"/>
                <w:caps w:val="0"/>
                <w:color w:val="333333"/>
                <w:spacing w:val="0"/>
                <w:sz w:val="21"/>
                <w:szCs w:val="21"/>
                <w:shd w:val="clear" w:fill="FFFFFF"/>
                <w:lang w:val="en-US" w:eastAsia="zh-CN"/>
              </w:rPr>
              <w:t>履任</w:t>
            </w:r>
            <w:r>
              <w:rPr>
                <w:rFonts w:ascii="PingFang SC-Regular" w:hAnsi="PingFang SC-Regular" w:eastAsia="PingFang SC-Regular" w:cs="PingFang SC-Regular"/>
                <w:i w:val="0"/>
                <w:iCs w:val="0"/>
                <w:caps w:val="0"/>
                <w:color w:val="333333"/>
                <w:spacing w:val="0"/>
                <w:sz w:val="21"/>
                <w:szCs w:val="21"/>
                <w:shd w:val="clear" w:fill="FFFFFF"/>
              </w:rPr>
              <w:t>两个月</w:t>
            </w:r>
            <w:r>
              <w:rPr>
                <w:rFonts w:hint="eastAsia" w:ascii="PingFang SC-Regular" w:hAnsi="PingFang SC-Regular" w:cs="PingFang SC-Regular"/>
                <w:i w:val="0"/>
                <w:iCs w:val="0"/>
                <w:caps w:val="0"/>
                <w:color w:val="333333"/>
                <w:spacing w:val="0"/>
                <w:sz w:val="21"/>
                <w:szCs w:val="21"/>
                <w:shd w:val="clear" w:fill="FFFFFF"/>
                <w:lang w:val="en-US" w:eastAsia="zh-CN"/>
              </w:rPr>
              <w:t>以来</w:t>
            </w:r>
            <w:r>
              <w:rPr>
                <w:rFonts w:ascii="PingFang SC-Regular" w:hAnsi="PingFang SC-Regular" w:eastAsia="PingFang SC-Regular" w:cs="PingFang SC-Regular"/>
                <w:i w:val="0"/>
                <w:iCs w:val="0"/>
                <w:caps w:val="0"/>
                <w:color w:val="333333"/>
                <w:spacing w:val="0"/>
                <w:sz w:val="21"/>
                <w:szCs w:val="21"/>
                <w:shd w:val="clear" w:fill="FFFFFF"/>
              </w:rPr>
              <w:t>，对公司品牌包装等有不同看法，但</w:t>
            </w:r>
            <w:r>
              <w:rPr>
                <w:rFonts w:hint="eastAsia" w:ascii="PingFang SC-Regular" w:hAnsi="PingFang SC-Regular" w:cs="PingFang SC-Regular"/>
                <w:i w:val="0"/>
                <w:iCs w:val="0"/>
                <w:caps w:val="0"/>
                <w:color w:val="333333"/>
                <w:spacing w:val="0"/>
                <w:sz w:val="21"/>
                <w:szCs w:val="21"/>
                <w:shd w:val="clear" w:fill="FFFFFF"/>
                <w:lang w:val="en-US" w:eastAsia="zh-CN"/>
              </w:rPr>
              <w:t>鉴于现在公司名称</w:t>
            </w:r>
            <w:r>
              <w:rPr>
                <w:rFonts w:ascii="PingFang SC-Regular" w:hAnsi="PingFang SC-Regular" w:eastAsia="PingFang SC-Regular" w:cs="PingFang SC-Regular"/>
                <w:i w:val="0"/>
                <w:iCs w:val="0"/>
                <w:caps w:val="0"/>
                <w:color w:val="333333"/>
                <w:spacing w:val="0"/>
                <w:sz w:val="21"/>
                <w:szCs w:val="21"/>
                <w:shd w:val="clear" w:fill="FFFFFF"/>
              </w:rPr>
              <w:t>已深入民心，是否改名还需讨论，目前先将内部管理放在首位。</w:t>
            </w:r>
          </w:p>
          <w:p>
            <w:pPr>
              <w:rPr>
                <w:rFonts w:hint="eastAsia"/>
                <w:lang w:val="en-US" w:eastAsia="zh-CN"/>
              </w:rPr>
            </w:pPr>
          </w:p>
          <w:p>
            <w:pPr>
              <w:numPr>
                <w:ilvl w:val="0"/>
                <w:numId w:val="0"/>
              </w:numPr>
              <w:ind w:leftChars="0"/>
              <w:rPr>
                <w:rFonts w:hint="default"/>
                <w:b/>
                <w:bCs/>
                <w:lang w:val="en-US" w:eastAsia="zh-CN"/>
              </w:rPr>
            </w:pPr>
            <w:r>
              <w:rPr>
                <w:rFonts w:hint="eastAsia"/>
                <w:b/>
                <w:bCs/>
                <w:lang w:val="en-US" w:eastAsia="zh-CN"/>
              </w:rPr>
              <w:t>14、目前公司股价低迷，是否有提振股价的积极措施？账上现金充沛，后续是否考虑回购股份或者提高分红比例？另外在外延并购方面，今年是否有落地的具体项目？</w:t>
            </w:r>
          </w:p>
          <w:p>
            <w:pPr>
              <w:rPr>
                <w:rFonts w:hint="default"/>
                <w:lang w:val="en-US" w:eastAsia="zh-CN"/>
              </w:rPr>
            </w:pPr>
            <w:r>
              <w:rPr>
                <w:rFonts w:hint="eastAsia"/>
                <w:b/>
                <w:bCs/>
                <w:lang w:val="en-US" w:eastAsia="zh-CN"/>
              </w:rPr>
              <w:t>回复：</w:t>
            </w:r>
            <w:r>
              <w:rPr>
                <w:rFonts w:hint="eastAsia"/>
                <w:lang w:val="en-US" w:eastAsia="zh-CN"/>
              </w:rPr>
              <w:t>董事长表示</w:t>
            </w:r>
            <w:r>
              <w:rPr>
                <w:rFonts w:hint="eastAsia"/>
              </w:rPr>
              <w:t>将审慎评估潜在并购机会</w:t>
            </w:r>
            <w:r>
              <w:rPr>
                <w:rFonts w:hint="eastAsia"/>
                <w:lang w:eastAsia="zh-CN"/>
              </w:rPr>
              <w:t>，</w:t>
            </w:r>
            <w:r>
              <w:rPr>
                <w:rFonts w:hint="eastAsia"/>
                <w:lang w:val="en-US" w:eastAsia="zh-CN"/>
              </w:rPr>
              <w:t>确保选择能够为公司带来长期战略价值的优质项目。在资金运用方面，公司将秉持稳健审慎的原则，通过科学决策和精准投资，更好创造价值回馈股东。</w:t>
            </w:r>
            <w:r>
              <w:rPr>
                <w:rFonts w:hint="eastAsia"/>
              </w:rPr>
              <w:t>这一过程需要给予充分的研究论证时间，以确保每项决策都能为公司未来发展奠定坚实基础。</w:t>
            </w:r>
          </w:p>
          <w:p>
            <w:pPr>
              <w:rPr>
                <w:rFonts w:hint="eastAsia"/>
                <w:lang w:val="en-US" w:eastAsia="zh-CN"/>
              </w:rPr>
            </w:pPr>
          </w:p>
          <w:p>
            <w:pPr>
              <w:rPr>
                <w:rFonts w:hint="default"/>
                <w:b/>
                <w:bCs/>
                <w:lang w:val="en-US" w:eastAsia="zh-CN"/>
              </w:rPr>
            </w:pPr>
            <w:r>
              <w:rPr>
                <w:rFonts w:hint="eastAsia"/>
                <w:b/>
                <w:bCs/>
                <w:lang w:val="en-US" w:eastAsia="zh-CN"/>
              </w:rPr>
              <w:t>15、公司引入战略投资人以及公司名下1600亩土地处置是否仍为本届董事会的考虑事项？</w:t>
            </w:r>
          </w:p>
          <w:p>
            <w:pPr>
              <w:rPr>
                <w:rFonts w:hint="default"/>
                <w:lang w:val="en-US" w:eastAsia="zh-CN"/>
              </w:rPr>
            </w:pPr>
            <w:r>
              <w:rPr>
                <w:rFonts w:hint="eastAsia"/>
                <w:b/>
                <w:bCs/>
                <w:lang w:val="en-US" w:eastAsia="zh-CN"/>
              </w:rPr>
              <w:t>回复：</w:t>
            </w:r>
            <w:r>
              <w:rPr>
                <w:rFonts w:hint="eastAsia"/>
                <w:lang w:val="en-US" w:eastAsia="zh-CN"/>
              </w:rPr>
              <w:t>关于战略投资者，公司一直都开放，政府也是支持的。公司名下土地的处置也会以公司及股东利益最大化的方向处置。</w:t>
            </w:r>
          </w:p>
          <w:p>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 </w:t>
            </w:r>
          </w:p>
          <w:p>
            <w:pPr>
              <w:pStyle w:val="2"/>
              <w:numPr>
                <w:ilvl w:val="0"/>
                <w:numId w:val="0"/>
              </w:numPr>
              <w:ind w:leftChars="0"/>
              <w:rPr>
                <w:rFonts w:hint="default" w:ascii="Calibri" w:hAnsi="Calibri" w:eastAsia="宋体" w:cs="Times New Roman"/>
                <w:kern w:val="2"/>
                <w:sz w:val="21"/>
                <w:szCs w:val="22"/>
                <w:lang w:val="en-US" w:eastAsia="zh-CN" w:bidi="ar-SA"/>
              </w:rPr>
            </w:pPr>
            <w:r>
              <w:rPr>
                <w:rFonts w:hint="default" w:ascii="Calibri" w:hAnsi="Calibri" w:eastAsia="宋体" w:cs="Times New Roman"/>
                <w:kern w:val="2"/>
                <w:sz w:val="21"/>
                <w:szCs w:val="22"/>
                <w:lang w:val="en-US" w:eastAsia="zh-CN" w:bidi="ar-SA"/>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before="156" w:beforeLines="50"/>
              <w:jc w:val="center"/>
              <w:rPr>
                <w:rFonts w:hint="eastAsia" w:ascii="宋体" w:hAnsi="宋体" w:eastAsia="宋体"/>
                <w:szCs w:val="21"/>
              </w:rPr>
            </w:pPr>
            <w:r>
              <w:rPr>
                <w:rFonts w:hint="eastAsia" w:ascii="宋体" w:hAnsi="宋体" w:eastAsia="宋体"/>
                <w:szCs w:val="21"/>
              </w:rPr>
              <w:t>关于本次活动是否涉及应披露重大信息的说明</w:t>
            </w:r>
          </w:p>
        </w:tc>
        <w:tc>
          <w:tcPr>
            <w:tcW w:w="7191" w:type="dxa"/>
            <w:vAlign w:val="center"/>
          </w:tcPr>
          <w:p>
            <w:pPr>
              <w:spacing w:before="156" w:beforeLines="50"/>
              <w:rPr>
                <w:rFonts w:hint="eastAsia" w:ascii="宋体" w:hAnsi="宋体" w:eastAsia="宋体"/>
                <w:szCs w:val="21"/>
              </w:rPr>
            </w:pPr>
            <w:r>
              <w:rPr>
                <w:rFonts w:hint="eastAsia" w:ascii="宋体" w:hAnsi="宋体" w:eastAsia="宋体"/>
                <w:szCs w:val="21"/>
              </w:rPr>
              <w:t>接待交流过程中，公司接待人员严格按照有关制度要求，没有出现未公开重大信息泄露等情况。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526" w:type="dxa"/>
            <w:vAlign w:val="center"/>
          </w:tcPr>
          <w:p>
            <w:pPr>
              <w:spacing w:before="156" w:beforeLines="50"/>
              <w:jc w:val="center"/>
              <w:rPr>
                <w:rFonts w:hint="eastAsia" w:ascii="宋体" w:hAnsi="宋体" w:eastAsia="宋体"/>
                <w:sz w:val="24"/>
                <w:szCs w:val="24"/>
              </w:rPr>
            </w:pPr>
            <w:r>
              <w:rPr>
                <w:rFonts w:hint="eastAsia" w:ascii="宋体" w:hAnsi="宋体" w:eastAsia="宋体"/>
                <w:szCs w:val="21"/>
              </w:rPr>
              <w:t>活动过程中所使用的演示文稿、提供文档等附件（如有）</w:t>
            </w:r>
          </w:p>
        </w:tc>
        <w:tc>
          <w:tcPr>
            <w:tcW w:w="7191" w:type="dxa"/>
            <w:vAlign w:val="center"/>
          </w:tcPr>
          <w:p>
            <w:pPr>
              <w:spacing w:line="288" w:lineRule="auto"/>
              <w:rPr>
                <w:rFonts w:hint="eastAsia" w:ascii="宋体" w:hAnsi="宋体" w:eastAsia="宋体"/>
                <w:sz w:val="24"/>
                <w:szCs w:val="24"/>
              </w:rPr>
            </w:pPr>
            <w:r>
              <w:rPr>
                <w:rFonts w:hint="eastAsia" w:ascii="宋体" w:hAnsi="宋体" w:eastAsia="宋体"/>
                <w:szCs w:val="21"/>
              </w:rPr>
              <w:t>无</w:t>
            </w:r>
          </w:p>
        </w:tc>
      </w:tr>
    </w:tbl>
    <w:p>
      <w:pPr>
        <w:rPr>
          <w:rFonts w:hint="eastAsia"/>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PingFang 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right"/>
    </w:pPr>
    <w:r>
      <w:rPr>
        <w:rFonts w:hint="eastAsia"/>
      </w:rPr>
      <w:t>中炬高新技术实业(集团)股份有限公司投资者关系活动记录表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019ED"/>
    <w:multiLevelType w:val="singleLevel"/>
    <w:tmpl w:val="EDF019ED"/>
    <w:lvl w:ilvl="0" w:tentative="0">
      <w:start w:val="7"/>
      <w:numFmt w:val="decimal"/>
      <w:suff w:val="nothing"/>
      <w:lvlText w:val="%1、"/>
      <w:lvlJc w:val="left"/>
    </w:lvl>
  </w:abstractNum>
  <w:abstractNum w:abstractNumId="1">
    <w:nsid w:val="6332CB45"/>
    <w:multiLevelType w:val="singleLevel"/>
    <w:tmpl w:val="6332CB45"/>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TMyMTIzOWRhOGU0MjczYmIyOWM2MjgxNGY3OTcifQ=="/>
    <w:docVar w:name="KSO_WPS_MARK_KEY" w:val="464116d6-85f6-45c3-a8cb-82b1493d4748"/>
  </w:docVars>
  <w:rsids>
    <w:rsidRoot w:val="00000000"/>
    <w:rsid w:val="10196F13"/>
    <w:rsid w:val="107C3892"/>
    <w:rsid w:val="14C56EA4"/>
    <w:rsid w:val="173C2EED"/>
    <w:rsid w:val="1CB2496B"/>
    <w:rsid w:val="1E854FF8"/>
    <w:rsid w:val="1F6B628B"/>
    <w:rsid w:val="22A5519F"/>
    <w:rsid w:val="314A4C88"/>
    <w:rsid w:val="40BA7B2E"/>
    <w:rsid w:val="46F920EB"/>
    <w:rsid w:val="4B06022B"/>
    <w:rsid w:val="4C27003E"/>
    <w:rsid w:val="4C33399F"/>
    <w:rsid w:val="4DC8028C"/>
    <w:rsid w:val="4E824F2D"/>
    <w:rsid w:val="4F7D74A2"/>
    <w:rsid w:val="501B3271"/>
    <w:rsid w:val="555148AC"/>
    <w:rsid w:val="57921EF7"/>
    <w:rsid w:val="61B42C51"/>
    <w:rsid w:val="65914762"/>
    <w:rsid w:val="670E1BEF"/>
    <w:rsid w:val="6DD00CF2"/>
    <w:rsid w:val="75615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_GB2312"/>
      <w:sz w:val="24"/>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3796</Words>
  <Characters>3884</Characters>
  <Lines>0</Lines>
  <Paragraphs>0</Paragraphs>
  <TotalTime>0</TotalTime>
  <ScaleCrop>false</ScaleCrop>
  <LinksUpToDate>false</LinksUpToDate>
  <CharactersWithSpaces>3922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林雁英</cp:lastModifiedBy>
  <dcterms:modified xsi:type="dcterms:W3CDTF">2025-08-29T09:21:50Z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84A306975C5E42E4967A20165393DD02_13</vt:lpwstr>
  </property>
  <property fmtid="{D5CDD505-2E9C-101B-9397-08002B2CF9AE}" pid="4" name="KSOTemplateDocerSaveRecord">
    <vt:lpwstr>eyJoZGlkIjoiNjA2M2E4NDRlNTFmNmVkZmY1N2Q2MDkzNTIzOTQ2NDkiLCJ1c2VySWQiOiIyMDExMjI3MzIifQ==</vt:lpwstr>
  </property>
</Properties>
</file>