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600558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default" w:ascii="宋体" w:hAnsi="宋体"/>
          <w:sz w:val="24"/>
          <w:szCs w:val="24"/>
          <w:lang w:val="en-US"/>
        </w:rPr>
        <w:t xml:space="preserve">  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大西洋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四川大西洋焊接材料股份有限公司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2025年半年度业绩说明会</w:t>
      </w:r>
      <w:r>
        <w:rPr>
          <w:rFonts w:hint="eastAsia" w:ascii="黑体" w:hAnsi="黑体" w:eastAsia="黑体"/>
          <w:sz w:val="36"/>
          <w:szCs w:val="36"/>
        </w:rPr>
        <w:t>活动记录表</w:t>
      </w:r>
    </w:p>
    <w:p>
      <w:pPr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4"/>
        <w:tblW w:w="90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609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6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  <w:lang w:val="en-GB"/>
              </w:rPr>
              <w:t>大西洋2025年半年度业绩说明会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6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月1日上午10:00-11:00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60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609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董事长：张晓柏</w:t>
            </w:r>
            <w:r>
              <w:rPr>
                <w:rFonts w:hint="default" w:ascii="宋体" w:hAnsi="宋体" w:cs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董事会秘书：曹铭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独立董事：张怀岭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6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投资者关系活动主要内容</w:t>
            </w:r>
          </w:p>
          <w:p>
            <w:pPr>
              <w:spacing w:line="360" w:lineRule="auto"/>
            </w:pPr>
            <w:r>
              <w:rPr>
                <w:rFonts w:hint="default" w:ascii="宋体"/>
                <w:sz w:val="24"/>
                <w:lang w:val="en-US"/>
              </w:rPr>
              <w:t>1、公司如何平衡市场扩张与应收账款风险？后续有何具体措施优化现金流管理？</w:t>
            </w:r>
          </w:p>
          <w:p>
            <w:pPr>
              <w:spacing w:line="3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答:长期以来，公司在不断追求增长的同时，确保现金流安全和资产质量，通过实施代理商分级信用管理、动态资金控制和严格审批流程等灵活而规范的有效控制措施，做到了市场扩张与应收账款风险的平衡；今后公司将根据市场竞争新态势，持续加强应收账款风险控制和优化资金回收的具体措施，不断优化现金流。谢谢关注！</w:t>
            </w:r>
          </w:p>
          <w:p>
            <w:pPr>
              <w:spacing w:line="360" w:lineRule="auto"/>
            </w:pPr>
            <w:r>
              <w:rPr>
                <w:rFonts w:hint="default" w:ascii="宋体"/>
                <w:sz w:val="24"/>
                <w:lang w:val="en-US"/>
              </w:rPr>
              <w:t>2、请问核电、水电等高端领域应用的产品当前营收占比是多少？</w:t>
            </w:r>
          </w:p>
          <w:p>
            <w:pPr>
              <w:spacing w:line="3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答:投资者您好!公司产品长期服务于核电、水电等国家重大装备制造和重点工程建设项目，但目前相关细分营收数据暂未统计。感谢关注！</w:t>
            </w:r>
          </w:p>
          <w:p>
            <w:pPr>
              <w:spacing w:line="360" w:lineRule="auto"/>
            </w:pPr>
            <w:r>
              <w:rPr>
                <w:rFonts w:hint="default" w:ascii="宋体"/>
                <w:sz w:val="24"/>
                <w:lang w:val="en-US"/>
              </w:rPr>
              <w:t>3、公司中报显示净利润大幅增长但营收基本持平，请问这种差异主要是由哪些因素驱动的？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lang w:val="en-US"/>
              </w:rPr>
              <w:t>答:公司中报显示，营收基本持平主要为产品销售价格下降所致，而净利润增长主要系产品销量增加及销售结构持续优化所致。谢谢关注！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right"/>
    </w:pPr>
    <w:r>
      <w:rPr>
        <w:rFonts w:hint="eastAsia"/>
      </w:rPr>
      <w:t>四川大西洋焊接材料股份有限公司投资者关系活动记录表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4FB0D67"/>
    <w:rsid w:val="17EC6CAD"/>
    <w:rsid w:val="1CB2496B"/>
    <w:rsid w:val="36E82105"/>
    <w:rsid w:val="388A7CB7"/>
    <w:rsid w:val="4B79163F"/>
    <w:rsid w:val="61B42C51"/>
    <w:rsid w:val="670E1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248</Characters>
  <Lines>0</Lines>
  <Paragraphs>0</Paragraphs>
  <TotalTime>2</TotalTime>
  <ScaleCrop>false</ScaleCrop>
  <LinksUpToDate>false</LinksUpToDate>
  <CharactersWithSpaces>276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张雪梅</cp:lastModifiedBy>
  <dcterms:modified xsi:type="dcterms:W3CDTF">2025-09-01T06:49:00Z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D6D5CA2A56CB41F2B14F97631B457AF6</vt:lpwstr>
  </property>
</Properties>
</file>