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C52DE" w14:textId="77777777" w:rsidR="00CA665D" w:rsidRDefault="00BD14E9">
      <w:pPr>
        <w:spacing w:before="277" w:afterLines="50" w:after="120" w:line="360" w:lineRule="auto"/>
        <w:ind w:left="108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证券代码：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600060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</w:t>
      </w:r>
      <w:r>
        <w:rPr>
          <w:rFonts w:ascii="Times New Roman" w:eastAsia="宋体" w:hAnsi="Times New Roman" w:cs="Times New Roman"/>
          <w:spacing w:val="-1"/>
          <w:sz w:val="24"/>
          <w:szCs w:val="24"/>
          <w:lang w:eastAsia="zh-CN"/>
        </w:rPr>
        <w:t>证券简称：海信视像</w:t>
      </w:r>
    </w:p>
    <w:p w14:paraId="4A63CD70" w14:textId="77777777" w:rsidR="00CA665D" w:rsidRDefault="00BD14E9">
      <w:pPr>
        <w:spacing w:before="204" w:line="225" w:lineRule="auto"/>
        <w:jc w:val="center"/>
        <w:outlineLvl w:val="0"/>
        <w:rPr>
          <w:rFonts w:ascii="Times New Roman" w:eastAsia="宋体" w:hAnsi="Times New Roman" w:cs="Times New Roman"/>
          <w:b/>
          <w:bCs/>
          <w:spacing w:val="7"/>
          <w:sz w:val="31"/>
          <w:szCs w:val="31"/>
          <w:lang w:eastAsia="zh-CN"/>
        </w:rPr>
      </w:pPr>
      <w:r>
        <w:rPr>
          <w:rFonts w:ascii="Times New Roman" w:eastAsia="宋体" w:hAnsi="Times New Roman" w:cs="Times New Roman"/>
          <w:b/>
          <w:bCs/>
          <w:spacing w:val="7"/>
          <w:sz w:val="31"/>
          <w:szCs w:val="31"/>
          <w:lang w:eastAsia="zh-CN"/>
        </w:rPr>
        <w:t>海信视像科技股份有限公司投资者关系活动记录表</w:t>
      </w:r>
    </w:p>
    <w:p w14:paraId="65E20D7D" w14:textId="77777777" w:rsidR="00CA665D" w:rsidRDefault="00BD14E9">
      <w:pPr>
        <w:spacing w:before="204" w:line="225" w:lineRule="auto"/>
        <w:jc w:val="right"/>
        <w:outlineLvl w:val="0"/>
        <w:rPr>
          <w:rFonts w:ascii="Times New Roman" w:hAnsi="Times New Roman" w:cs="Times New Roman"/>
          <w:sz w:val="2"/>
          <w:lang w:eastAsia="zh-CN"/>
        </w:rPr>
      </w:pPr>
      <w:r>
        <w:rPr>
          <w:rFonts w:ascii="Times New Roman" w:eastAsia="宋体" w:hAnsi="Times New Roman" w:cs="Times New Roman"/>
          <w:spacing w:val="-7"/>
          <w:sz w:val="24"/>
          <w:szCs w:val="24"/>
          <w:lang w:eastAsia="zh-CN"/>
        </w:rPr>
        <w:t>编号：</w:t>
      </w:r>
      <w:r>
        <w:rPr>
          <w:rFonts w:ascii="Times New Roman" w:eastAsia="宋体" w:hAnsi="Times New Roman" w:cs="Times New Roman"/>
          <w:spacing w:val="-7"/>
          <w:sz w:val="24"/>
          <w:szCs w:val="24"/>
          <w:lang w:eastAsia="zh-CN"/>
        </w:rPr>
        <w:t>2025-0</w:t>
      </w:r>
      <w:r>
        <w:rPr>
          <w:rFonts w:ascii="Times New Roman" w:eastAsia="宋体" w:hAnsi="Times New Roman" w:cs="Times New Roman" w:hint="eastAsia"/>
          <w:spacing w:val="-7"/>
          <w:sz w:val="24"/>
          <w:szCs w:val="24"/>
          <w:lang w:eastAsia="zh-CN"/>
        </w:rPr>
        <w:t>9</w:t>
      </w:r>
    </w:p>
    <w:tbl>
      <w:tblPr>
        <w:tblStyle w:val="TableNormal"/>
        <w:tblW w:w="6012" w:type="pct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982"/>
        <w:gridCol w:w="3749"/>
        <w:gridCol w:w="4499"/>
      </w:tblGrid>
      <w:tr w:rsidR="00CA665D" w14:paraId="4BDFD9B7" w14:textId="77777777">
        <w:trPr>
          <w:trHeight w:val="2348"/>
          <w:jc w:val="center"/>
        </w:trPr>
        <w:tc>
          <w:tcPr>
            <w:tcW w:w="968" w:type="pct"/>
            <w:vAlign w:val="center"/>
          </w:tcPr>
          <w:p w14:paraId="3BBFB38B" w14:textId="77777777" w:rsidR="00CA665D" w:rsidRDefault="00CA665D">
            <w:pPr>
              <w:spacing w:line="27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14:paraId="4457A381" w14:textId="77777777" w:rsidR="00CA665D" w:rsidRDefault="00CA665D">
            <w:pPr>
              <w:spacing w:line="272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14:paraId="712854B1" w14:textId="77777777" w:rsidR="00CA665D" w:rsidRDefault="00BD14E9">
            <w:pPr>
              <w:pStyle w:val="TableText"/>
              <w:spacing w:before="78" w:line="356" w:lineRule="auto"/>
              <w:ind w:left="118" w:right="110" w:firstLine="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4"/>
              </w:rPr>
              <w:t>投资者关系活</w:t>
            </w:r>
            <w:r>
              <w:rPr>
                <w:rFonts w:ascii="Times New Roman" w:hAnsi="Times New Roman" w:cs="Times New Roman"/>
                <w:spacing w:val="-3"/>
              </w:rPr>
              <w:t>动类别</w:t>
            </w:r>
            <w:proofErr w:type="spellEnd"/>
          </w:p>
        </w:tc>
        <w:tc>
          <w:tcPr>
            <w:tcW w:w="1832" w:type="pct"/>
            <w:tcBorders>
              <w:right w:val="nil"/>
            </w:tcBorders>
          </w:tcPr>
          <w:p w14:paraId="3345F96C" w14:textId="77777777" w:rsidR="00CA665D" w:rsidRDefault="00BD14E9">
            <w:pPr>
              <w:pStyle w:val="TableText"/>
              <w:spacing w:before="117" w:line="220" w:lineRule="auto"/>
              <w:ind w:left="135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-6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pacing w:val="-5"/>
                <w:lang w:eastAsia="zh-CN"/>
              </w:rPr>
              <w:t>特定对象调研</w:t>
            </w:r>
          </w:p>
          <w:p w14:paraId="1E7E6619" w14:textId="77777777" w:rsidR="00CA665D" w:rsidRDefault="00BD14E9">
            <w:pPr>
              <w:pStyle w:val="TableText"/>
              <w:spacing w:before="182" w:line="219" w:lineRule="auto"/>
              <w:ind w:left="135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-6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-6"/>
                <w:lang w:eastAsia="zh-CN"/>
              </w:rPr>
              <w:t>媒体采访</w:t>
            </w:r>
          </w:p>
          <w:p w14:paraId="721F99F5" w14:textId="77777777" w:rsidR="00CA665D" w:rsidRDefault="00BD14E9">
            <w:pPr>
              <w:pStyle w:val="TableText"/>
              <w:spacing w:before="183" w:line="219" w:lineRule="auto"/>
              <w:ind w:left="135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-6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-5"/>
                <w:lang w:eastAsia="zh-CN"/>
              </w:rPr>
              <w:t>新闻发布会</w:t>
            </w:r>
          </w:p>
          <w:p w14:paraId="416233C8" w14:textId="77777777" w:rsidR="00CA665D" w:rsidRDefault="00BD14E9">
            <w:pPr>
              <w:pStyle w:val="TableText"/>
              <w:spacing w:before="182" w:line="219" w:lineRule="auto"/>
              <w:ind w:left="135"/>
              <w:rPr>
                <w:rFonts w:ascii="Times New Roman" w:hAnsi="Times New Roman" w:cs="Times New Roman"/>
                <w:spacing w:val="-6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-6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-6"/>
                <w:lang w:eastAsia="zh-CN"/>
              </w:rPr>
              <w:t>现场参观</w:t>
            </w:r>
            <w:r>
              <w:rPr>
                <w:rFonts w:ascii="Times New Roman" w:hAnsi="Times New Roman" w:cs="Times New Roman"/>
                <w:spacing w:val="-6"/>
                <w:lang w:eastAsia="zh-CN"/>
              </w:rPr>
              <w:t xml:space="preserve"> </w:t>
            </w:r>
          </w:p>
          <w:p w14:paraId="6F694929" w14:textId="77777777" w:rsidR="00CA665D" w:rsidRDefault="00BD14E9">
            <w:pPr>
              <w:pStyle w:val="TableText"/>
              <w:spacing w:before="182" w:line="219" w:lineRule="auto"/>
              <w:ind w:left="135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Segoe UI Symbol" w:hAnsi="Segoe UI Symbol" w:cs="Segoe UI Symbol" w:hint="eastAsia"/>
                <w:spacing w:val="-5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pacing w:val="-6"/>
                <w:lang w:eastAsia="zh-CN"/>
              </w:rPr>
              <w:t>其他</w:t>
            </w:r>
            <w:r>
              <w:rPr>
                <w:rFonts w:ascii="Times New Roman" w:hAnsi="Times New Roman" w:cs="Times New Roman" w:hint="eastAsia"/>
                <w:spacing w:val="-6"/>
                <w:lang w:eastAsia="zh-CN"/>
              </w:rPr>
              <w:t>（电话会议）</w:t>
            </w:r>
          </w:p>
        </w:tc>
        <w:tc>
          <w:tcPr>
            <w:tcW w:w="2198" w:type="pct"/>
            <w:tcBorders>
              <w:left w:val="nil"/>
            </w:tcBorders>
          </w:tcPr>
          <w:p w14:paraId="35288B01" w14:textId="77777777" w:rsidR="00CA665D" w:rsidRDefault="00BD14E9">
            <w:pPr>
              <w:pStyle w:val="TableText"/>
              <w:spacing w:before="117" w:line="219" w:lineRule="auto"/>
              <w:ind w:left="484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-6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分析师会议</w:t>
            </w:r>
          </w:p>
          <w:p w14:paraId="6F69686C" w14:textId="77777777" w:rsidR="00CA665D" w:rsidRDefault="00BD14E9">
            <w:pPr>
              <w:pStyle w:val="TableText"/>
              <w:spacing w:before="183" w:line="219" w:lineRule="auto"/>
              <w:ind w:left="511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-6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pacing w:val="-5"/>
                <w:lang w:eastAsia="zh-CN"/>
              </w:rPr>
              <w:t>业绩说明会</w:t>
            </w:r>
          </w:p>
          <w:p w14:paraId="39D7E6E1" w14:textId="77777777" w:rsidR="00CA665D" w:rsidRDefault="00BD14E9">
            <w:pPr>
              <w:pStyle w:val="TableText"/>
              <w:spacing w:before="182" w:line="220" w:lineRule="auto"/>
              <w:ind w:left="511"/>
              <w:rPr>
                <w:rFonts w:ascii="Times New Roman" w:hAnsi="Times New Roman" w:cs="Times New Roman"/>
                <w:spacing w:val="-7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-6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pacing w:val="-7"/>
                <w:lang w:eastAsia="zh-CN"/>
              </w:rPr>
              <w:t>路演活动</w:t>
            </w:r>
          </w:p>
          <w:p w14:paraId="2AC11218" w14:textId="77777777" w:rsidR="00CA665D" w:rsidRDefault="00CA665D">
            <w:pPr>
              <w:pStyle w:val="TableText"/>
              <w:spacing w:before="182" w:line="220" w:lineRule="auto"/>
              <w:ind w:left="511"/>
              <w:rPr>
                <w:rFonts w:ascii="Times New Roman" w:hAnsi="Times New Roman" w:cs="Times New Roman"/>
                <w:spacing w:val="-7"/>
                <w:lang w:eastAsia="zh-CN"/>
              </w:rPr>
            </w:pPr>
          </w:p>
        </w:tc>
      </w:tr>
      <w:tr w:rsidR="00CA665D" w14:paraId="2F1C341C" w14:textId="77777777">
        <w:trPr>
          <w:trHeight w:val="941"/>
          <w:jc w:val="center"/>
        </w:trPr>
        <w:tc>
          <w:tcPr>
            <w:tcW w:w="968" w:type="pct"/>
            <w:vAlign w:val="center"/>
          </w:tcPr>
          <w:p w14:paraId="65B027C1" w14:textId="77777777" w:rsidR="00CA665D" w:rsidRDefault="00BD14E9">
            <w:pPr>
              <w:pStyle w:val="TableText"/>
              <w:spacing w:before="115" w:line="220" w:lineRule="auto"/>
              <w:ind w:left="11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参与单位名称</w:t>
            </w:r>
            <w:proofErr w:type="spellEnd"/>
          </w:p>
        </w:tc>
        <w:tc>
          <w:tcPr>
            <w:tcW w:w="4031" w:type="pct"/>
            <w:gridSpan w:val="2"/>
            <w:vAlign w:val="center"/>
          </w:tcPr>
          <w:p w14:paraId="31F214FE" w14:textId="77777777" w:rsidR="00CA665D" w:rsidRDefault="00BD14E9">
            <w:pPr>
              <w:pStyle w:val="TableText"/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易方达基金、广发基金、建信基金、长安基金、</w:t>
            </w:r>
            <w:proofErr w:type="gramStart"/>
            <w:r>
              <w:rPr>
                <w:rFonts w:hint="eastAsia"/>
                <w:spacing w:val="-1"/>
                <w:lang w:eastAsia="zh-CN"/>
              </w:rPr>
              <w:t>兴证资管、中庚</w:t>
            </w:r>
            <w:proofErr w:type="gramEnd"/>
            <w:r>
              <w:rPr>
                <w:rFonts w:hint="eastAsia"/>
                <w:spacing w:val="-1"/>
                <w:lang w:eastAsia="zh-CN"/>
              </w:rPr>
              <w:t>基金、德邦基金、</w:t>
            </w:r>
            <w:proofErr w:type="gramStart"/>
            <w:r>
              <w:rPr>
                <w:rFonts w:hint="eastAsia"/>
                <w:spacing w:val="-1"/>
                <w:lang w:eastAsia="zh-CN"/>
              </w:rPr>
              <w:t>国投瑞银</w:t>
            </w:r>
            <w:proofErr w:type="gramEnd"/>
            <w:r>
              <w:rPr>
                <w:rFonts w:hint="eastAsia"/>
                <w:spacing w:val="-1"/>
                <w:lang w:eastAsia="zh-CN"/>
              </w:rPr>
              <w:t>、长江养老、中</w:t>
            </w:r>
            <w:proofErr w:type="gramStart"/>
            <w:r>
              <w:rPr>
                <w:rFonts w:hint="eastAsia"/>
                <w:spacing w:val="-1"/>
                <w:lang w:eastAsia="zh-CN"/>
              </w:rPr>
              <w:t>金资管</w:t>
            </w:r>
            <w:proofErr w:type="gramEnd"/>
            <w:r>
              <w:rPr>
                <w:rFonts w:hint="eastAsia"/>
                <w:spacing w:val="-1"/>
                <w:lang w:eastAsia="zh-CN"/>
              </w:rPr>
              <w:t>、永诚保险基金、兴银理财、阿杏投资、</w:t>
            </w:r>
            <w:proofErr w:type="gramStart"/>
            <w:r>
              <w:rPr>
                <w:rFonts w:hint="eastAsia"/>
                <w:spacing w:val="-1"/>
                <w:lang w:eastAsia="zh-CN"/>
              </w:rPr>
              <w:t>标朴基金</w:t>
            </w:r>
            <w:proofErr w:type="gramEnd"/>
            <w:r>
              <w:rPr>
                <w:rFonts w:hint="eastAsia"/>
                <w:spacing w:val="-1"/>
                <w:lang w:eastAsia="zh-CN"/>
              </w:rPr>
              <w:t>、</w:t>
            </w:r>
            <w:proofErr w:type="gramStart"/>
            <w:r>
              <w:rPr>
                <w:rFonts w:hint="eastAsia"/>
                <w:spacing w:val="-1"/>
                <w:lang w:eastAsia="zh-CN"/>
              </w:rPr>
              <w:t>域秀投资</w:t>
            </w:r>
            <w:proofErr w:type="gramEnd"/>
            <w:r>
              <w:rPr>
                <w:rFonts w:hint="eastAsia"/>
                <w:spacing w:val="-1"/>
                <w:lang w:eastAsia="zh-CN"/>
              </w:rPr>
              <w:t>、博道基金、申万菱信基金、嘉实基金、中欧基金、农银汇理、财</w:t>
            </w:r>
            <w:proofErr w:type="gramStart"/>
            <w:r>
              <w:rPr>
                <w:rFonts w:hint="eastAsia"/>
                <w:spacing w:val="-1"/>
                <w:lang w:eastAsia="zh-CN"/>
              </w:rPr>
              <w:t>通资管</w:t>
            </w:r>
            <w:proofErr w:type="gramEnd"/>
            <w:r>
              <w:rPr>
                <w:rFonts w:hint="eastAsia"/>
                <w:spacing w:val="-1"/>
                <w:lang w:eastAsia="zh-CN"/>
              </w:rPr>
              <w:t>、</w:t>
            </w:r>
            <w:proofErr w:type="gramStart"/>
            <w:r>
              <w:rPr>
                <w:rFonts w:hint="eastAsia"/>
                <w:spacing w:val="-1"/>
                <w:lang w:eastAsia="zh-CN"/>
              </w:rPr>
              <w:t>交银施罗</w:t>
            </w:r>
            <w:proofErr w:type="gramEnd"/>
            <w:r>
              <w:rPr>
                <w:rFonts w:hint="eastAsia"/>
                <w:spacing w:val="-1"/>
                <w:lang w:eastAsia="zh-CN"/>
              </w:rPr>
              <w:t>德、富国基金、中信资管、海通国际、招商基金、太平洋资管、兴业基金、大家资产管理、中国人</w:t>
            </w:r>
            <w:proofErr w:type="gramStart"/>
            <w:r>
              <w:rPr>
                <w:rFonts w:hint="eastAsia"/>
                <w:spacing w:val="-1"/>
                <w:lang w:eastAsia="zh-CN"/>
              </w:rPr>
              <w:t>寿资产</w:t>
            </w:r>
            <w:proofErr w:type="gramEnd"/>
            <w:r>
              <w:rPr>
                <w:rFonts w:hint="eastAsia"/>
                <w:spacing w:val="-1"/>
                <w:lang w:eastAsia="zh-CN"/>
              </w:rPr>
              <w:t>管理、源峰私募、</w:t>
            </w:r>
            <w:proofErr w:type="gramStart"/>
            <w:r>
              <w:rPr>
                <w:rFonts w:hint="eastAsia"/>
                <w:spacing w:val="-1"/>
                <w:lang w:eastAsia="zh-CN"/>
              </w:rPr>
              <w:t>工银瑞信</w:t>
            </w:r>
            <w:proofErr w:type="gramEnd"/>
            <w:r>
              <w:rPr>
                <w:rFonts w:hint="eastAsia"/>
                <w:spacing w:val="-1"/>
                <w:lang w:eastAsia="zh-CN"/>
              </w:rPr>
              <w:t>、前海开源基金、</w:t>
            </w:r>
            <w:proofErr w:type="gramStart"/>
            <w:r>
              <w:rPr>
                <w:rFonts w:hint="eastAsia"/>
                <w:spacing w:val="-1"/>
                <w:lang w:eastAsia="zh-CN"/>
              </w:rPr>
              <w:t>天弘基金</w:t>
            </w:r>
            <w:proofErr w:type="gramEnd"/>
            <w:r>
              <w:rPr>
                <w:rFonts w:hint="eastAsia"/>
                <w:spacing w:val="-1"/>
                <w:lang w:eastAsia="zh-CN"/>
              </w:rPr>
              <w:t>、长城基金、鹏华基金、</w:t>
            </w:r>
            <w:proofErr w:type="gramStart"/>
            <w:r>
              <w:rPr>
                <w:rFonts w:hint="eastAsia"/>
                <w:spacing w:val="-1"/>
                <w:lang w:eastAsia="zh-CN"/>
              </w:rPr>
              <w:t>泰信基金</w:t>
            </w:r>
            <w:proofErr w:type="gramEnd"/>
            <w:r>
              <w:rPr>
                <w:rFonts w:hint="eastAsia"/>
                <w:spacing w:val="-1"/>
                <w:lang w:eastAsia="zh-CN"/>
              </w:rPr>
              <w:t>、东方财富、花旗银行、华宝基金、华安基金、路博迈基金、中泰证券资管、</w:t>
            </w:r>
            <w:proofErr w:type="gramStart"/>
            <w:r>
              <w:rPr>
                <w:rFonts w:hint="eastAsia"/>
                <w:spacing w:val="-1"/>
                <w:lang w:eastAsia="zh-CN"/>
              </w:rPr>
              <w:t>浙商证券</w:t>
            </w:r>
            <w:proofErr w:type="gramEnd"/>
            <w:r>
              <w:rPr>
                <w:rFonts w:hint="eastAsia"/>
                <w:spacing w:val="-1"/>
                <w:lang w:eastAsia="zh-CN"/>
              </w:rPr>
              <w:t>、国金证券、中信证券、国信证券、东方证</w:t>
            </w:r>
            <w:r>
              <w:rPr>
                <w:rFonts w:hint="eastAsia"/>
                <w:spacing w:val="-1"/>
                <w:lang w:eastAsia="zh-CN"/>
              </w:rPr>
              <w:t>券、野村证券、中金公司、</w:t>
            </w:r>
            <w:proofErr w:type="gramStart"/>
            <w:r>
              <w:rPr>
                <w:rFonts w:hint="eastAsia"/>
                <w:spacing w:val="-1"/>
                <w:lang w:eastAsia="zh-CN"/>
              </w:rPr>
              <w:t>兴证证券</w:t>
            </w:r>
            <w:proofErr w:type="gramEnd"/>
            <w:r>
              <w:rPr>
                <w:rFonts w:hint="eastAsia"/>
                <w:spacing w:val="-1"/>
                <w:lang w:eastAsia="zh-CN"/>
              </w:rPr>
              <w:t>、广发证券、国投证券、国泰君安证券、银河证券、国盛证券、天风证券、兴业证券</w:t>
            </w:r>
            <w:r>
              <w:rPr>
                <w:spacing w:val="-1"/>
                <w:lang w:eastAsia="zh-CN"/>
              </w:rPr>
              <w:t>等</w:t>
            </w:r>
          </w:p>
        </w:tc>
      </w:tr>
      <w:tr w:rsidR="00CA665D" w14:paraId="2B80DA64" w14:textId="77777777">
        <w:trPr>
          <w:trHeight w:val="578"/>
          <w:jc w:val="center"/>
        </w:trPr>
        <w:tc>
          <w:tcPr>
            <w:tcW w:w="968" w:type="pct"/>
            <w:vAlign w:val="center"/>
          </w:tcPr>
          <w:p w14:paraId="6807D5DC" w14:textId="77777777" w:rsidR="00CA665D" w:rsidRDefault="00BD14E9">
            <w:pPr>
              <w:pStyle w:val="TableText"/>
              <w:spacing w:before="114" w:line="222" w:lineRule="auto"/>
              <w:ind w:left="12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</w:rPr>
              <w:t>时间</w:t>
            </w:r>
            <w:proofErr w:type="spellEnd"/>
          </w:p>
        </w:tc>
        <w:tc>
          <w:tcPr>
            <w:tcW w:w="4031" w:type="pct"/>
            <w:gridSpan w:val="2"/>
            <w:vAlign w:val="center"/>
          </w:tcPr>
          <w:p w14:paraId="0FA441E6" w14:textId="77777777" w:rsidR="00CA665D" w:rsidRDefault="00BD14E9">
            <w:pPr>
              <w:pStyle w:val="TableText"/>
              <w:spacing w:before="113" w:line="22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lang w:eastAsia="zh-CN"/>
              </w:rPr>
              <w:t>2025</w:t>
            </w:r>
            <w:r>
              <w:rPr>
                <w:rFonts w:ascii="Times New Roman" w:hAnsi="Times New Roman" w:cs="Times New Roman"/>
                <w:spacing w:val="-4"/>
              </w:rPr>
              <w:t>年</w:t>
            </w:r>
            <w:r>
              <w:rPr>
                <w:rFonts w:ascii="Times New Roman" w:hAnsi="Times New Roman" w:cs="Times New Roman" w:hint="eastAsia"/>
                <w:spacing w:val="-4"/>
                <w:lang w:eastAsia="zh-CN"/>
              </w:rPr>
              <w:t>8</w:t>
            </w:r>
            <w:r>
              <w:rPr>
                <w:rFonts w:ascii="Times New Roman" w:hAnsi="Times New Roman" w:cs="Times New Roman"/>
                <w:spacing w:val="-4"/>
              </w:rPr>
              <w:t>月</w:t>
            </w:r>
            <w:r>
              <w:rPr>
                <w:rFonts w:ascii="Times New Roman" w:hAnsi="Times New Roman" w:cs="Times New Roman" w:hint="eastAsia"/>
                <w:spacing w:val="-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日</w:t>
            </w:r>
            <w:r>
              <w:rPr>
                <w:rFonts w:ascii="Times New Roman" w:hAnsi="Times New Roman" w:cs="Times New Roman" w:hint="eastAsia"/>
                <w:spacing w:val="-4"/>
                <w:lang w:eastAsia="zh-CN"/>
              </w:rPr>
              <w:t>至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2025</w:t>
            </w:r>
            <w:r>
              <w:rPr>
                <w:rFonts w:ascii="Times New Roman" w:hAnsi="Times New Roman" w:cs="Times New Roman"/>
                <w:spacing w:val="-4"/>
              </w:rPr>
              <w:t>年</w:t>
            </w:r>
            <w:r>
              <w:rPr>
                <w:rFonts w:ascii="Times New Roman" w:hAnsi="Times New Roman" w:cs="Times New Roman" w:hint="eastAsia"/>
                <w:spacing w:val="-4"/>
                <w:lang w:eastAsia="zh-CN"/>
              </w:rPr>
              <w:t>8</w:t>
            </w:r>
            <w:r>
              <w:rPr>
                <w:rFonts w:ascii="Times New Roman" w:hAnsi="Times New Roman" w:cs="Times New Roman"/>
                <w:spacing w:val="-4"/>
              </w:rPr>
              <w:t>月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3</w:t>
            </w:r>
            <w:r>
              <w:rPr>
                <w:rFonts w:ascii="Times New Roman" w:hAnsi="Times New Roman" w:cs="Times New Roman" w:hint="eastAsia"/>
                <w:spacing w:val="-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日</w:t>
            </w:r>
          </w:p>
        </w:tc>
      </w:tr>
      <w:tr w:rsidR="00CA665D" w14:paraId="3298256F" w14:textId="77777777">
        <w:trPr>
          <w:trHeight w:val="666"/>
          <w:jc w:val="center"/>
        </w:trPr>
        <w:tc>
          <w:tcPr>
            <w:tcW w:w="968" w:type="pct"/>
            <w:vAlign w:val="center"/>
          </w:tcPr>
          <w:p w14:paraId="0946ECE6" w14:textId="77777777" w:rsidR="00CA665D" w:rsidRDefault="00BD14E9">
            <w:pPr>
              <w:pStyle w:val="TableText"/>
              <w:spacing w:before="117" w:line="224" w:lineRule="auto"/>
              <w:ind w:left="11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</w:rPr>
              <w:t>地点</w:t>
            </w:r>
            <w:proofErr w:type="spellEnd"/>
          </w:p>
        </w:tc>
        <w:tc>
          <w:tcPr>
            <w:tcW w:w="4031" w:type="pct"/>
            <w:gridSpan w:val="2"/>
            <w:vAlign w:val="center"/>
          </w:tcPr>
          <w:p w14:paraId="00FADA5F" w14:textId="77777777" w:rsidR="00CA665D" w:rsidRDefault="00BD14E9">
            <w:pPr>
              <w:pStyle w:val="TableText"/>
              <w:spacing w:before="117" w:line="219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公司会议室、</w:t>
            </w:r>
            <w:r>
              <w:rPr>
                <w:rFonts w:ascii="Times New Roman" w:hAnsi="Times New Roman" w:cs="Times New Roman"/>
                <w:lang w:eastAsia="zh-CN"/>
              </w:rPr>
              <w:t>电话会议</w:t>
            </w:r>
          </w:p>
        </w:tc>
      </w:tr>
      <w:tr w:rsidR="00CA665D" w14:paraId="00C2C4FD" w14:textId="77777777">
        <w:trPr>
          <w:trHeight w:val="90"/>
          <w:jc w:val="center"/>
        </w:trPr>
        <w:tc>
          <w:tcPr>
            <w:tcW w:w="968" w:type="pct"/>
            <w:vAlign w:val="center"/>
          </w:tcPr>
          <w:p w14:paraId="11E0F2A3" w14:textId="77777777" w:rsidR="00CA665D" w:rsidRDefault="00BD14E9">
            <w:pPr>
              <w:pStyle w:val="TableText"/>
              <w:spacing w:before="116" w:line="313" w:lineRule="auto"/>
              <w:ind w:left="119" w:right="11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4"/>
                <w:lang w:eastAsia="zh-CN"/>
              </w:rPr>
              <w:t>上市公司接待</w:t>
            </w:r>
            <w:r>
              <w:rPr>
                <w:rFonts w:ascii="Times New Roman" w:hAnsi="Times New Roman" w:cs="Times New Roman"/>
                <w:spacing w:val="-3"/>
                <w:lang w:eastAsia="zh-CN"/>
              </w:rPr>
              <w:t>人员姓名</w:t>
            </w:r>
          </w:p>
        </w:tc>
        <w:tc>
          <w:tcPr>
            <w:tcW w:w="4031" w:type="pct"/>
            <w:gridSpan w:val="2"/>
            <w:vAlign w:val="center"/>
          </w:tcPr>
          <w:p w14:paraId="3E617138" w14:textId="77777777" w:rsidR="00CA665D" w:rsidRDefault="00BD14E9">
            <w:pPr>
              <w:pStyle w:val="TableText"/>
              <w:spacing w:afterLines="50" w:after="120" w:line="36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董事、总裁</w:t>
            </w:r>
            <w:r>
              <w:rPr>
                <w:rFonts w:ascii="Times New Roman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 w:hint="eastAsia"/>
                <w:lang w:eastAsia="zh-CN"/>
              </w:rPr>
              <w:t>李</w:t>
            </w:r>
            <w:r>
              <w:rPr>
                <w:rFonts w:ascii="Times New Roman" w:hAnsi="Times New Roman" w:cs="Times New Roman" w:hint="eastAsia"/>
                <w:lang w:eastAsia="zh-CN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 w:hint="eastAsia"/>
                <w:lang w:eastAsia="zh-CN"/>
              </w:rPr>
              <w:t>炜</w:t>
            </w:r>
            <w:proofErr w:type="gramEnd"/>
          </w:p>
          <w:p w14:paraId="3282EE7C" w14:textId="77777777" w:rsidR="00CA665D" w:rsidRDefault="00BD14E9">
            <w:pPr>
              <w:pStyle w:val="TableText"/>
              <w:spacing w:afterLines="50" w:after="120" w:line="36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财务负责人</w:t>
            </w:r>
            <w:r>
              <w:rPr>
                <w:rFonts w:ascii="Times New Roman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eastAsia="zh-CN"/>
              </w:rPr>
              <w:t>郑丽非</w:t>
            </w:r>
          </w:p>
          <w:p w14:paraId="69D2DD0F" w14:textId="5AF4FA23" w:rsidR="00CA665D" w:rsidRDefault="00BD14E9" w:rsidP="00BD14E9">
            <w:pPr>
              <w:pStyle w:val="TableText"/>
              <w:spacing w:afterLines="50" w:after="120" w:line="36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董事会秘书</w:t>
            </w:r>
            <w:r>
              <w:rPr>
                <w:rFonts w:ascii="Times New Roman" w:hAnsi="Times New Roman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lang w:eastAsia="zh-CN"/>
              </w:rPr>
              <w:t>范</w:t>
            </w:r>
            <w:r>
              <w:rPr>
                <w:rFonts w:ascii="Times New Roman" w:hAnsi="Times New Roman" w:cs="Times New Roman" w:hint="eastAsia"/>
                <w:lang w:eastAsia="zh-CN"/>
              </w:rPr>
              <w:t xml:space="preserve">    </w:t>
            </w:r>
            <w:r>
              <w:rPr>
                <w:rFonts w:ascii="Times New Roman" w:hAnsi="Times New Roman" w:cs="Times New Roman"/>
                <w:lang w:eastAsia="zh-CN"/>
              </w:rPr>
              <w:t>潇</w:t>
            </w:r>
            <w:r>
              <w:rPr>
                <w:rFonts w:ascii="Times New Roman" w:hAnsi="Times New Roman" w:cs="Times New Roman" w:hint="eastAsia"/>
                <w:lang w:eastAsia="zh-CN"/>
              </w:rPr>
              <w:t xml:space="preserve">  </w:t>
            </w:r>
            <w:bookmarkStart w:id="0" w:name="_GoBack"/>
            <w:bookmarkEnd w:id="0"/>
          </w:p>
        </w:tc>
      </w:tr>
      <w:tr w:rsidR="00CA665D" w14:paraId="77E34C89" w14:textId="77777777">
        <w:trPr>
          <w:trHeight w:val="15030"/>
          <w:jc w:val="center"/>
        </w:trPr>
        <w:tc>
          <w:tcPr>
            <w:tcW w:w="968" w:type="pct"/>
            <w:vAlign w:val="center"/>
          </w:tcPr>
          <w:p w14:paraId="314C7E04" w14:textId="77777777" w:rsidR="00CA665D" w:rsidRDefault="00BD14E9">
            <w:pPr>
              <w:pStyle w:val="TableText"/>
              <w:spacing w:before="116" w:line="313" w:lineRule="auto"/>
              <w:ind w:left="119" w:right="110"/>
              <w:jc w:val="both"/>
              <w:rPr>
                <w:rFonts w:ascii="Times New Roman" w:hAnsi="Times New Roman" w:cs="Times New Roman"/>
                <w:spacing w:val="4"/>
                <w:lang w:eastAsia="zh-CN"/>
              </w:rPr>
            </w:pPr>
            <w:r>
              <w:rPr>
                <w:rFonts w:ascii="Times New Roman" w:hAnsi="Times New Roman" w:cs="Times New Roman"/>
                <w:spacing w:val="4"/>
                <w:lang w:eastAsia="zh-CN"/>
              </w:rPr>
              <w:lastRenderedPageBreak/>
              <w:t>投资者关系活动主要内容介</w:t>
            </w:r>
            <w:r>
              <w:rPr>
                <w:rFonts w:ascii="Times New Roman" w:hAnsi="Times New Roman" w:cs="Times New Roman"/>
                <w:lang w:eastAsia="zh-CN"/>
              </w:rPr>
              <w:t>绍</w:t>
            </w:r>
          </w:p>
        </w:tc>
        <w:tc>
          <w:tcPr>
            <w:tcW w:w="4031" w:type="pct"/>
            <w:gridSpan w:val="2"/>
            <w:vAlign w:val="center"/>
          </w:tcPr>
          <w:p w14:paraId="0F10F3BA" w14:textId="77777777" w:rsidR="00CA665D" w:rsidRDefault="00BD14E9">
            <w:pPr>
              <w:pStyle w:val="TableText"/>
              <w:numPr>
                <w:ilvl w:val="0"/>
                <w:numId w:val="1"/>
              </w:num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lang w:eastAsia="zh-CN"/>
              </w:rPr>
              <w:t>公司</w:t>
            </w:r>
            <w:r>
              <w:rPr>
                <w:rFonts w:ascii="Times New Roman" w:hAnsi="Times New Roman" w:cs="Times New Roman" w:hint="eastAsia"/>
                <w:b/>
                <w:color w:val="auto"/>
                <w:lang w:eastAsia="zh-CN"/>
              </w:rPr>
              <w:t>2025</w:t>
            </w:r>
            <w:r>
              <w:rPr>
                <w:rFonts w:ascii="Times New Roman" w:hAnsi="Times New Roman" w:cs="Times New Roman" w:hint="eastAsia"/>
                <w:b/>
                <w:color w:val="auto"/>
                <w:lang w:eastAsia="zh-CN"/>
              </w:rPr>
              <w:t>年上半年整体业绩表现如何？</w:t>
            </w:r>
          </w:p>
          <w:p w14:paraId="2ECBEAB8" w14:textId="3AEF0199" w:rsidR="00CA665D" w:rsidRDefault="00BD14E9">
            <w:pPr>
              <w:pStyle w:val="TableText"/>
              <w:spacing w:beforeLines="50" w:before="120" w:afterLines="50" w:after="120" w:line="360" w:lineRule="auto"/>
              <w:ind w:firstLineChars="200" w:firstLine="480"/>
              <w:jc w:val="both"/>
              <w:rPr>
                <w:rFonts w:ascii="微软雅黑" w:eastAsia="微软雅黑" w:hAnsi="微软雅黑" w:cs="微软雅黑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答：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2025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年上半年，公司坚定不移推进全球化布局与高端化战略，全面推进数字化转型，逐步构建具有国际竞争力的全球化运营体系。</w:t>
            </w:r>
            <w:r w:rsidR="00E77D5C" w:rsidRPr="00E77D5C">
              <w:rPr>
                <w:rFonts w:ascii="Times New Roman" w:hAnsi="Times New Roman" w:cs="Times New Roman"/>
                <w:color w:val="auto"/>
                <w:lang w:eastAsia="zh-CN"/>
              </w:rPr>
              <w:t>2025</w:t>
            </w:r>
            <w:r w:rsidR="00E77D5C" w:rsidRPr="00E77D5C">
              <w:rPr>
                <w:rFonts w:ascii="Times New Roman" w:hAnsi="Times New Roman" w:cs="Times New Roman" w:hint="eastAsia"/>
                <w:color w:val="auto"/>
                <w:lang w:eastAsia="zh-CN"/>
              </w:rPr>
              <w:t>年上半年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，公司实现营业收入达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272.31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亿元，同比增长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6.95%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；归属于上市公司股东的净利润为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10.56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亿元，同比增长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26.63%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；经营活动现金流量净额同比大幅增长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48.59%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至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18.02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亿元，整体盈利能力和营运质量持续增强。</w:t>
            </w:r>
            <w:r>
              <w:rPr>
                <w:rFonts w:ascii="微软雅黑" w:eastAsia="微软雅黑" w:hAnsi="微软雅黑" w:cs="微软雅黑" w:hint="eastAsia"/>
                <w:lang w:eastAsia="zh-CN"/>
              </w:rPr>
              <w:br w:type="page"/>
            </w:r>
          </w:p>
          <w:p w14:paraId="3997A819" w14:textId="77777777" w:rsidR="00CA665D" w:rsidRDefault="00BD14E9" w:rsidP="00E77D5C">
            <w:pPr>
              <w:pStyle w:val="TableText"/>
              <w:numPr>
                <w:ilvl w:val="0"/>
                <w:numId w:val="1"/>
              </w:numPr>
              <w:spacing w:beforeLines="50" w:before="120" w:afterLines="50" w:after="120" w:line="360" w:lineRule="auto"/>
              <w:ind w:left="482" w:firstLine="0"/>
              <w:jc w:val="both"/>
              <w:rPr>
                <w:rFonts w:ascii="Times New Roman" w:hAnsi="Times New Roman" w:cs="Times New Roman"/>
                <w:b/>
                <w:color w:val="auto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lang w:eastAsia="zh-CN"/>
              </w:rPr>
              <w:t>公司</w:t>
            </w:r>
            <w:r>
              <w:rPr>
                <w:rFonts w:ascii="Times New Roman" w:hAnsi="Times New Roman" w:cs="Times New Roman" w:hint="eastAsia"/>
                <w:b/>
                <w:color w:val="auto"/>
                <w:lang w:eastAsia="zh-CN"/>
              </w:rPr>
              <w:t>2025</w:t>
            </w:r>
            <w:r>
              <w:rPr>
                <w:rFonts w:ascii="Times New Roman" w:hAnsi="Times New Roman" w:cs="Times New Roman" w:hint="eastAsia"/>
                <w:b/>
                <w:color w:val="auto"/>
                <w:lang w:eastAsia="zh-CN"/>
              </w:rPr>
              <w:t>年上半年内销情况如何？在国内行业竞争加剧的背景下，公司如何保持竞争力？</w:t>
            </w:r>
          </w:p>
          <w:p w14:paraId="79D5700F" w14:textId="77777777" w:rsidR="00CA665D" w:rsidRDefault="00BD14E9">
            <w:pPr>
              <w:pStyle w:val="TableText"/>
              <w:spacing w:beforeLines="50" w:before="120" w:afterLines="50" w:after="120" w:line="360" w:lineRule="auto"/>
              <w:ind w:firstLineChars="200" w:firstLine="480"/>
              <w:jc w:val="both"/>
              <w:rPr>
                <w:rFonts w:ascii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答：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2025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年上半年，公司持续领跑中国市场，产品销售结构持续优化，海信牌品牌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价格指数达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149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，同比提升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15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。奥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维云网全渠道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监测数据显示，海信系电视中国内地零售额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市占率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29.96%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、零售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量市占率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25.73%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，均稳居国内市场第一。</w:t>
            </w:r>
          </w:p>
          <w:p w14:paraId="7FD3B374" w14:textId="314220A3" w:rsidR="00CA665D" w:rsidRDefault="00BD14E9">
            <w:pPr>
              <w:pStyle w:val="TableText"/>
              <w:spacing w:beforeLines="50" w:before="120" w:afterLines="50" w:after="120" w:line="360" w:lineRule="auto"/>
              <w:ind w:firstLineChars="200" w:firstLine="480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面对国内电视市场竞争加剧，公司通过技术突破与产品结构优化不断巩固领先地位。</w:t>
            </w:r>
            <w:r w:rsidR="00E77D5C" w:rsidRPr="00E77D5C">
              <w:rPr>
                <w:rFonts w:ascii="Times New Roman" w:hAnsi="Times New Roman" w:cs="Times New Roman"/>
                <w:color w:val="auto"/>
                <w:lang w:eastAsia="zh-CN"/>
              </w:rPr>
              <w:t>2025</w:t>
            </w:r>
            <w:r w:rsidR="00E77D5C" w:rsidRPr="00E77D5C">
              <w:rPr>
                <w:rFonts w:ascii="Times New Roman" w:hAnsi="Times New Roman" w:cs="Times New Roman" w:hint="eastAsia"/>
                <w:color w:val="auto"/>
                <w:lang w:eastAsia="zh-CN"/>
              </w:rPr>
              <w:t>年上半年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，公司积极把握高端化、大屏化趋势，持续突破显示技术边界，推出多款引领行业的高端产品，如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116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吋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RGB-Mini LED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电视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UX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系列与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163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吋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Micro LED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无界巨幕，推动高端消费升级；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全渠道百吋及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以上、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75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英寸及以上、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85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英寸及以上海信系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产品市占率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均居行业第一；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Mini LE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D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产品表现突出，零售量和零售额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市占率分别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达到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33.95%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和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34.98%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，持续领跑行业，展现出强劲的结构性增长动能。同时，公司基于对用户旅程的深度洞察，积极拓展传播阵地，开展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 xml:space="preserve"> IP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及热点营销，并通过直播矩阵化运营强化效果。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2025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年线上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618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期间，小墨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E8Q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系列销量销额均位列全网第一，线下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85U7Q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上市四周即登顶并持续霸榜，通过创新营销模式将技术红利转为市场份额。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br w:type="page"/>
            </w:r>
          </w:p>
          <w:p w14:paraId="58045405" w14:textId="77777777" w:rsidR="00CA665D" w:rsidRDefault="00BD14E9">
            <w:pPr>
              <w:pStyle w:val="TableText"/>
              <w:numPr>
                <w:ilvl w:val="0"/>
                <w:numId w:val="1"/>
              </w:num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lang w:eastAsia="zh-CN"/>
              </w:rPr>
              <w:t>公司如何提升在海外的品牌影响力？</w:t>
            </w:r>
          </w:p>
          <w:p w14:paraId="38F0FA3A" w14:textId="77777777" w:rsidR="00CA665D" w:rsidRDefault="00BD14E9">
            <w:pPr>
              <w:pStyle w:val="TableText"/>
              <w:spacing w:beforeLines="50" w:before="120" w:afterLines="50" w:after="120" w:line="360" w:lineRule="auto"/>
              <w:ind w:firstLineChars="200" w:firstLine="480"/>
              <w:jc w:val="both"/>
              <w:rPr>
                <w:rFonts w:ascii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答：公司坚定推进全球化战略，强化大屏高端产品布局与技术突破，持续完善全球供应链体系。公司通过欧洲杯、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世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俱杯等顶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级体育赛事开展营销，并结合《黑神话：悟空》等热门游戏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IP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营销，实现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核心社媒平台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主机游戏人群渗透率提升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17.9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个百分点，助力公司旗舰产品实现圈层渗透，有效提升品牌在海外市场的认知度和美誉度，海信已连续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9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年位居</w:t>
            </w:r>
            <w:proofErr w:type="spellStart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BrandZ</w:t>
            </w:r>
            <w:proofErr w:type="spellEnd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™中国全球化品牌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10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强，并持续保持榜单电视品牌最高排名。</w:t>
            </w:r>
          </w:p>
          <w:p w14:paraId="7D98C6F1" w14:textId="77777777" w:rsidR="00CA665D" w:rsidRDefault="00BD14E9">
            <w:pPr>
              <w:pStyle w:val="TableText"/>
              <w:spacing w:beforeLines="50" w:before="120" w:afterLines="50" w:after="120" w:line="360" w:lineRule="auto"/>
              <w:ind w:firstLineChars="200" w:firstLine="480"/>
              <w:jc w:val="both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lastRenderedPageBreak/>
              <w:t>同时，公司重点拓展战略市场及高端渠道，根据奥维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睿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沃数据，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2025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年上半年，海信系电视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98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英寸及以上产品全球出货量同比增长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85.29%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，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Mini LED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产品出货量同比增长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108.24%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。在市场占有率方面，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75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英寸及以上大屏以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19.9%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的全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球份额领跑行业，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98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英寸及以上、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100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英寸及以上产品分别以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28.9%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和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47.7%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的份额位居世界第一。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br w:type="page"/>
            </w:r>
          </w:p>
          <w:p w14:paraId="5E64AE42" w14:textId="77777777" w:rsidR="00CA665D" w:rsidRDefault="00BD14E9">
            <w:pPr>
              <w:pStyle w:val="TableText"/>
              <w:numPr>
                <w:ilvl w:val="0"/>
                <w:numId w:val="1"/>
              </w:num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lang w:eastAsia="zh-CN"/>
              </w:rPr>
              <w:t>公司在芯片研发与产业化上的节奏如何？如何进一步形成护城河？</w:t>
            </w:r>
          </w:p>
          <w:p w14:paraId="7E0A2805" w14:textId="484A0759" w:rsidR="00CA665D" w:rsidRDefault="00BD14E9">
            <w:pPr>
              <w:pStyle w:val="TableText"/>
              <w:spacing w:beforeLines="50" w:before="120" w:afterLines="50" w:after="120" w:line="360" w:lineRule="auto"/>
              <w:ind w:firstLineChars="200" w:firstLine="480"/>
              <w:jc w:val="both"/>
              <w:rPr>
                <w:rFonts w:ascii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答：公司以实现中大尺寸显示芯片全矩阵覆盖为战略目标，持续加码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高端画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质芯片研发，积极推动显示芯片国产化。</w:t>
            </w:r>
            <w:r w:rsidR="00E77D5C" w:rsidRPr="00E77D5C">
              <w:rPr>
                <w:rFonts w:ascii="Times New Roman" w:hAnsi="Times New Roman" w:cs="Times New Roman"/>
                <w:color w:val="auto"/>
                <w:lang w:eastAsia="zh-CN"/>
              </w:rPr>
              <w:t>2025</w:t>
            </w:r>
            <w:r w:rsidR="00E77D5C" w:rsidRPr="00E77D5C">
              <w:rPr>
                <w:rFonts w:ascii="Times New Roman" w:hAnsi="Times New Roman" w:cs="Times New Roman" w:hint="eastAsia"/>
                <w:color w:val="auto"/>
                <w:lang w:eastAsia="zh-CN"/>
              </w:rPr>
              <w:t>年上半年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，公司自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研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RGB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光色同控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AI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画质芯片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H7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实现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量产并应用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于多款中高端机型，构建了技术差异化优势。同时，公司在电视和显示器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TCON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芯片领域保持全球领先地位，并积极拓展笔记本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TCON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、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高刷驱动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、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OLED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及显示器</w:t>
            </w:r>
            <w:proofErr w:type="spellStart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SoC</w:t>
            </w:r>
            <w:proofErr w:type="spellEnd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市场。在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LED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芯片领域，公司通过自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研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高性能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RGB-Mini LED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背光芯片、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 xml:space="preserve">Mini COB 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多层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氧化物控光技术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和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 xml:space="preserve"> Mini RGB 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混排方案等，带动相关业务营收同比增长约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400%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。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Micro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 xml:space="preserve"> MIP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芯片已获头部客户认证，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Micro COG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技术取得突破，并储备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AR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等产品开发能力。公司较早布局上游芯片环节，战略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控股信芯微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和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乾照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光电，深化显示产业垂直整合，缩短研发成果产业化周期，构建起横跨上游芯片、中游模组设计、下游终端应用和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云服务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的全链路自主可控能力，形成难以复制的核心护城河。</w:t>
            </w:r>
          </w:p>
          <w:p w14:paraId="552873E2" w14:textId="77777777" w:rsidR="00CA665D" w:rsidRDefault="00BD14E9">
            <w:pPr>
              <w:pStyle w:val="TableText"/>
              <w:numPr>
                <w:ilvl w:val="0"/>
                <w:numId w:val="1"/>
              </w:num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lang w:eastAsia="zh-CN"/>
              </w:rPr>
              <w:t>公司在</w:t>
            </w:r>
            <w:r>
              <w:rPr>
                <w:rFonts w:ascii="Times New Roman" w:hAnsi="Times New Roman" w:cs="Times New Roman" w:hint="eastAsia"/>
                <w:b/>
                <w:color w:val="auto"/>
                <w:lang w:eastAsia="zh-CN"/>
              </w:rPr>
              <w:t>AI</w:t>
            </w:r>
            <w:r>
              <w:rPr>
                <w:rFonts w:ascii="Times New Roman" w:hAnsi="Times New Roman" w:cs="Times New Roman" w:hint="eastAsia"/>
                <w:b/>
                <w:color w:val="auto"/>
                <w:lang w:eastAsia="zh-CN"/>
              </w:rPr>
              <w:t>电视、</w:t>
            </w:r>
            <w:proofErr w:type="gramStart"/>
            <w:r>
              <w:rPr>
                <w:rFonts w:ascii="Times New Roman" w:hAnsi="Times New Roman" w:cs="Times New Roman" w:hint="eastAsia"/>
                <w:b/>
                <w:color w:val="auto"/>
                <w:lang w:eastAsia="zh-CN"/>
              </w:rPr>
              <w:t>具身智能机器人</w:t>
            </w:r>
            <w:proofErr w:type="gramEnd"/>
            <w:r>
              <w:rPr>
                <w:rFonts w:ascii="Times New Roman" w:hAnsi="Times New Roman" w:cs="Times New Roman" w:hint="eastAsia"/>
                <w:b/>
                <w:color w:val="auto"/>
                <w:lang w:eastAsia="zh-CN"/>
              </w:rPr>
              <w:t>等新兴领域，如何把握机会？</w:t>
            </w:r>
          </w:p>
          <w:p w14:paraId="3173D9E6" w14:textId="4F79AE20" w:rsidR="00CA665D" w:rsidRDefault="00BD14E9" w:rsidP="00E77D5C">
            <w:pPr>
              <w:pStyle w:val="TableText"/>
              <w:spacing w:beforeLines="50" w:before="120" w:afterLines="50" w:after="120" w:line="360" w:lineRule="auto"/>
              <w:ind w:firstLineChars="200" w:firstLine="480"/>
              <w:jc w:val="both"/>
              <w:rPr>
                <w:rFonts w:ascii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答：公司依托自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研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芯片、大模型算法及场景化应用，构建“端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云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芯”一体化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AI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能力体系。在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AI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电视领域，公司聚焦“高效交互”“个性化服务”“场景延伸”三大方向，推动服务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能力升级，已在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AI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电视领域确立领先地位。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公司主导首个智能电视系统软件性能评价国际标准《智能电视系统软件性能评价规范》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IEEE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国际标准正式立项，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与清华大学智能产业研究院、中国电子视像行业协会、中关村标准化协会联合发布了全球首个《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AI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电视白皮书》，推动电视向家庭智能中枢演进。未来，公司将不断深化技术突破与生态完善，推动电视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行业智能化变革，为用户提供更智能、便捷的家居生活体验。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在具身智能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及机器人领域，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8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月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20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日，海信集团与福耀科技大学联合成立“未来工厂与具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身智能机器人联合创新中心”，致力于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推动具身智能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技术在制造领域的应用落地。公司亦</w:t>
            </w:r>
            <w:r w:rsidR="00E77D5C">
              <w:rPr>
                <w:rFonts w:ascii="Times New Roman" w:hAnsi="Times New Roman" w:cs="Times New Roman" w:hint="eastAsia"/>
                <w:color w:val="auto"/>
                <w:lang w:eastAsia="zh-CN"/>
              </w:rPr>
              <w:t>参与</w:t>
            </w:r>
            <w:r>
              <w:rPr>
                <w:rFonts w:ascii="Times New Roman" w:hAnsi="Times New Roman" w:cs="Times New Roman" w:hint="eastAsia"/>
                <w:color w:val="auto"/>
                <w:lang w:eastAsia="zh-CN"/>
              </w:rPr>
              <w:t>投资设立“海信星海科技（杭州）有限公司”，布局智能机器人、工业机器人、服务消费机器人等相关业务，积极拓展未来产业生态。</w:t>
            </w:r>
          </w:p>
        </w:tc>
      </w:tr>
    </w:tbl>
    <w:p w14:paraId="7D3A022D" w14:textId="77777777" w:rsidR="00CA665D" w:rsidRDefault="00CA665D">
      <w:pPr>
        <w:jc w:val="center"/>
        <w:rPr>
          <w:rFonts w:ascii="Times New Roman" w:hAnsi="Times New Roman" w:cs="Times New Roman"/>
          <w:lang w:eastAsia="zh-CN"/>
        </w:rPr>
      </w:pPr>
    </w:p>
    <w:sectPr w:rsidR="00CA665D">
      <w:pgSz w:w="11907" w:h="16839"/>
      <w:pgMar w:top="737" w:right="1694" w:bottom="737" w:left="169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Helvetica Neue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040000" w:usb3="04000000" w:csb0="00000001" w:csb1="4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53066"/>
    <w:multiLevelType w:val="multilevel"/>
    <w:tmpl w:val="AB64AFBE"/>
    <w:lvl w:ilvl="0">
      <w:start w:val="1"/>
      <w:numFmt w:val="decimal"/>
      <w:lvlText w:val="%1."/>
      <w:lvlJc w:val="left"/>
      <w:pPr>
        <w:ind w:left="0" w:firstLine="48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isplayBackgroundShape/>
  <w:proofState w:spelling="clean" w:grammar="clean"/>
  <w:defaultTabStop w:val="420"/>
  <w:noPunctuationKerning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27"/>
    <w:rsid w:val="CFFA9BEF"/>
    <w:rsid w:val="DFDBE67B"/>
    <w:rsid w:val="DFFF6725"/>
    <w:rsid w:val="F5A7D12F"/>
    <w:rsid w:val="FFDF8FA6"/>
    <w:rsid w:val="FFEFFB37"/>
    <w:rsid w:val="00013270"/>
    <w:rsid w:val="000258DA"/>
    <w:rsid w:val="00026A3C"/>
    <w:rsid w:val="00027473"/>
    <w:rsid w:val="000433B0"/>
    <w:rsid w:val="000528A6"/>
    <w:rsid w:val="000566D4"/>
    <w:rsid w:val="00063A98"/>
    <w:rsid w:val="000648F2"/>
    <w:rsid w:val="000720F6"/>
    <w:rsid w:val="000878B0"/>
    <w:rsid w:val="00095EE6"/>
    <w:rsid w:val="00096328"/>
    <w:rsid w:val="000A12D3"/>
    <w:rsid w:val="000B5B1D"/>
    <w:rsid w:val="000C4CE2"/>
    <w:rsid w:val="000D7D44"/>
    <w:rsid w:val="000F6158"/>
    <w:rsid w:val="001010F6"/>
    <w:rsid w:val="00102283"/>
    <w:rsid w:val="00115C8E"/>
    <w:rsid w:val="00116842"/>
    <w:rsid w:val="00132FD5"/>
    <w:rsid w:val="001339D6"/>
    <w:rsid w:val="00135E16"/>
    <w:rsid w:val="00152FD0"/>
    <w:rsid w:val="00153A81"/>
    <w:rsid w:val="00161E1E"/>
    <w:rsid w:val="00180497"/>
    <w:rsid w:val="0018684E"/>
    <w:rsid w:val="001878F1"/>
    <w:rsid w:val="001A7542"/>
    <w:rsid w:val="001B1907"/>
    <w:rsid w:val="001B21C1"/>
    <w:rsid w:val="001B58A9"/>
    <w:rsid w:val="001C061C"/>
    <w:rsid w:val="001C5778"/>
    <w:rsid w:val="001D1F73"/>
    <w:rsid w:val="001D66E8"/>
    <w:rsid w:val="001F443D"/>
    <w:rsid w:val="001F7D21"/>
    <w:rsid w:val="00202EDC"/>
    <w:rsid w:val="002078FE"/>
    <w:rsid w:val="00215D42"/>
    <w:rsid w:val="00227F8A"/>
    <w:rsid w:val="002330D1"/>
    <w:rsid w:val="002419CA"/>
    <w:rsid w:val="00251171"/>
    <w:rsid w:val="0025222F"/>
    <w:rsid w:val="00253848"/>
    <w:rsid w:val="00254B68"/>
    <w:rsid w:val="00255864"/>
    <w:rsid w:val="002630E1"/>
    <w:rsid w:val="002639ED"/>
    <w:rsid w:val="002665EF"/>
    <w:rsid w:val="00282F35"/>
    <w:rsid w:val="002943D3"/>
    <w:rsid w:val="002E7A10"/>
    <w:rsid w:val="002F1506"/>
    <w:rsid w:val="002F636D"/>
    <w:rsid w:val="003041E7"/>
    <w:rsid w:val="00304697"/>
    <w:rsid w:val="00313B73"/>
    <w:rsid w:val="003211D9"/>
    <w:rsid w:val="0033713F"/>
    <w:rsid w:val="00347596"/>
    <w:rsid w:val="00364753"/>
    <w:rsid w:val="00365786"/>
    <w:rsid w:val="003727CA"/>
    <w:rsid w:val="0038006B"/>
    <w:rsid w:val="00381231"/>
    <w:rsid w:val="003A1EDC"/>
    <w:rsid w:val="003A6954"/>
    <w:rsid w:val="003B32E2"/>
    <w:rsid w:val="003B42D1"/>
    <w:rsid w:val="003C6F36"/>
    <w:rsid w:val="003D14E6"/>
    <w:rsid w:val="003D524D"/>
    <w:rsid w:val="003D7D3D"/>
    <w:rsid w:val="003F10D8"/>
    <w:rsid w:val="003F4193"/>
    <w:rsid w:val="003F77B0"/>
    <w:rsid w:val="00400638"/>
    <w:rsid w:val="00405F80"/>
    <w:rsid w:val="00416404"/>
    <w:rsid w:val="004264B0"/>
    <w:rsid w:val="00445ED0"/>
    <w:rsid w:val="004466A9"/>
    <w:rsid w:val="0045514D"/>
    <w:rsid w:val="0046515E"/>
    <w:rsid w:val="0047436B"/>
    <w:rsid w:val="00483747"/>
    <w:rsid w:val="004902CD"/>
    <w:rsid w:val="0049271B"/>
    <w:rsid w:val="00497D95"/>
    <w:rsid w:val="004A074D"/>
    <w:rsid w:val="004A6B28"/>
    <w:rsid w:val="004A6E80"/>
    <w:rsid w:val="004D379F"/>
    <w:rsid w:val="004D650C"/>
    <w:rsid w:val="004E110E"/>
    <w:rsid w:val="004F0040"/>
    <w:rsid w:val="005018B5"/>
    <w:rsid w:val="00503B28"/>
    <w:rsid w:val="00511139"/>
    <w:rsid w:val="005155C1"/>
    <w:rsid w:val="005203B6"/>
    <w:rsid w:val="005242AD"/>
    <w:rsid w:val="005436D0"/>
    <w:rsid w:val="00555B77"/>
    <w:rsid w:val="0057355D"/>
    <w:rsid w:val="00582B2F"/>
    <w:rsid w:val="00593B99"/>
    <w:rsid w:val="0059784C"/>
    <w:rsid w:val="005978C7"/>
    <w:rsid w:val="005A20E2"/>
    <w:rsid w:val="005A7D2E"/>
    <w:rsid w:val="005B57CE"/>
    <w:rsid w:val="005B5D5C"/>
    <w:rsid w:val="005C35F8"/>
    <w:rsid w:val="005E02BA"/>
    <w:rsid w:val="005F3B68"/>
    <w:rsid w:val="00602685"/>
    <w:rsid w:val="00603B0A"/>
    <w:rsid w:val="0060571A"/>
    <w:rsid w:val="0061331C"/>
    <w:rsid w:val="006262FC"/>
    <w:rsid w:val="00642804"/>
    <w:rsid w:val="0064439F"/>
    <w:rsid w:val="00646BDD"/>
    <w:rsid w:val="0065359E"/>
    <w:rsid w:val="00654F37"/>
    <w:rsid w:val="00660ACD"/>
    <w:rsid w:val="006642E7"/>
    <w:rsid w:val="006771F2"/>
    <w:rsid w:val="0068377E"/>
    <w:rsid w:val="00691AF0"/>
    <w:rsid w:val="00694F83"/>
    <w:rsid w:val="00697AF8"/>
    <w:rsid w:val="006A40AC"/>
    <w:rsid w:val="006B0432"/>
    <w:rsid w:val="006B1E29"/>
    <w:rsid w:val="006B3BF4"/>
    <w:rsid w:val="006B5826"/>
    <w:rsid w:val="006B6C0C"/>
    <w:rsid w:val="006C6E82"/>
    <w:rsid w:val="006D6CFE"/>
    <w:rsid w:val="006D76E5"/>
    <w:rsid w:val="006F253E"/>
    <w:rsid w:val="006F3A6B"/>
    <w:rsid w:val="00701A97"/>
    <w:rsid w:val="00701CDE"/>
    <w:rsid w:val="007069FF"/>
    <w:rsid w:val="0071271A"/>
    <w:rsid w:val="0071680F"/>
    <w:rsid w:val="00721A3C"/>
    <w:rsid w:val="007235DA"/>
    <w:rsid w:val="007253E1"/>
    <w:rsid w:val="00734E08"/>
    <w:rsid w:val="00735CFA"/>
    <w:rsid w:val="00735FB6"/>
    <w:rsid w:val="0073618F"/>
    <w:rsid w:val="00747F36"/>
    <w:rsid w:val="007514AB"/>
    <w:rsid w:val="00754290"/>
    <w:rsid w:val="00754498"/>
    <w:rsid w:val="0075590F"/>
    <w:rsid w:val="00756484"/>
    <w:rsid w:val="00763464"/>
    <w:rsid w:val="00776833"/>
    <w:rsid w:val="0078668C"/>
    <w:rsid w:val="00790039"/>
    <w:rsid w:val="007A0FB9"/>
    <w:rsid w:val="007B14E0"/>
    <w:rsid w:val="007C57A9"/>
    <w:rsid w:val="007C6CB9"/>
    <w:rsid w:val="007D2BC0"/>
    <w:rsid w:val="007D3C9B"/>
    <w:rsid w:val="007F30CB"/>
    <w:rsid w:val="007F60B3"/>
    <w:rsid w:val="008035EF"/>
    <w:rsid w:val="008062D6"/>
    <w:rsid w:val="008071CB"/>
    <w:rsid w:val="0081198C"/>
    <w:rsid w:val="008254FF"/>
    <w:rsid w:val="00830360"/>
    <w:rsid w:val="00832AC0"/>
    <w:rsid w:val="008435C9"/>
    <w:rsid w:val="008449E3"/>
    <w:rsid w:val="00855870"/>
    <w:rsid w:val="0087238E"/>
    <w:rsid w:val="00877B66"/>
    <w:rsid w:val="00887818"/>
    <w:rsid w:val="00897825"/>
    <w:rsid w:val="008A4DB6"/>
    <w:rsid w:val="008B4BD6"/>
    <w:rsid w:val="008B68E8"/>
    <w:rsid w:val="008C224B"/>
    <w:rsid w:val="008C24E6"/>
    <w:rsid w:val="008C2D1A"/>
    <w:rsid w:val="008C4D9D"/>
    <w:rsid w:val="008D5C2C"/>
    <w:rsid w:val="008D6412"/>
    <w:rsid w:val="008D768F"/>
    <w:rsid w:val="008F0267"/>
    <w:rsid w:val="00900F18"/>
    <w:rsid w:val="00912E03"/>
    <w:rsid w:val="0091785A"/>
    <w:rsid w:val="009301CB"/>
    <w:rsid w:val="0093392E"/>
    <w:rsid w:val="00935084"/>
    <w:rsid w:val="009445BA"/>
    <w:rsid w:val="009570DB"/>
    <w:rsid w:val="00963F33"/>
    <w:rsid w:val="009715D6"/>
    <w:rsid w:val="00971B3B"/>
    <w:rsid w:val="0098378D"/>
    <w:rsid w:val="00985409"/>
    <w:rsid w:val="00987326"/>
    <w:rsid w:val="00994859"/>
    <w:rsid w:val="009A1671"/>
    <w:rsid w:val="009A66CD"/>
    <w:rsid w:val="009A7ED2"/>
    <w:rsid w:val="009B2534"/>
    <w:rsid w:val="009B5B12"/>
    <w:rsid w:val="009B7B0F"/>
    <w:rsid w:val="009C1127"/>
    <w:rsid w:val="009E77AC"/>
    <w:rsid w:val="009F5C67"/>
    <w:rsid w:val="009F6113"/>
    <w:rsid w:val="00A007F4"/>
    <w:rsid w:val="00A23B10"/>
    <w:rsid w:val="00A25571"/>
    <w:rsid w:val="00A25AB4"/>
    <w:rsid w:val="00A262F1"/>
    <w:rsid w:val="00A30CCF"/>
    <w:rsid w:val="00A3641B"/>
    <w:rsid w:val="00A4434C"/>
    <w:rsid w:val="00A634F6"/>
    <w:rsid w:val="00A77627"/>
    <w:rsid w:val="00AA0E52"/>
    <w:rsid w:val="00AA70F6"/>
    <w:rsid w:val="00AB32CF"/>
    <w:rsid w:val="00AB5A40"/>
    <w:rsid w:val="00AC7BB4"/>
    <w:rsid w:val="00B16D06"/>
    <w:rsid w:val="00B42227"/>
    <w:rsid w:val="00B54DEB"/>
    <w:rsid w:val="00B608BD"/>
    <w:rsid w:val="00B635FD"/>
    <w:rsid w:val="00B75C0D"/>
    <w:rsid w:val="00B77915"/>
    <w:rsid w:val="00B82CFC"/>
    <w:rsid w:val="00B84A94"/>
    <w:rsid w:val="00B90D34"/>
    <w:rsid w:val="00B97E05"/>
    <w:rsid w:val="00BA54F6"/>
    <w:rsid w:val="00BC36E1"/>
    <w:rsid w:val="00BC7451"/>
    <w:rsid w:val="00BD14E9"/>
    <w:rsid w:val="00BE2107"/>
    <w:rsid w:val="00BE5771"/>
    <w:rsid w:val="00C012C4"/>
    <w:rsid w:val="00C04086"/>
    <w:rsid w:val="00C06DF6"/>
    <w:rsid w:val="00C12561"/>
    <w:rsid w:val="00C21C58"/>
    <w:rsid w:val="00C22DFC"/>
    <w:rsid w:val="00C235CF"/>
    <w:rsid w:val="00C248D5"/>
    <w:rsid w:val="00C3085F"/>
    <w:rsid w:val="00C330F9"/>
    <w:rsid w:val="00C54CCF"/>
    <w:rsid w:val="00C55CE5"/>
    <w:rsid w:val="00C721DD"/>
    <w:rsid w:val="00C80C4A"/>
    <w:rsid w:val="00C8294D"/>
    <w:rsid w:val="00C92ECE"/>
    <w:rsid w:val="00C9419A"/>
    <w:rsid w:val="00C95359"/>
    <w:rsid w:val="00CA5D74"/>
    <w:rsid w:val="00CA665D"/>
    <w:rsid w:val="00CB6B05"/>
    <w:rsid w:val="00CB7634"/>
    <w:rsid w:val="00CB78FF"/>
    <w:rsid w:val="00CC30E7"/>
    <w:rsid w:val="00CC6824"/>
    <w:rsid w:val="00CD4A4E"/>
    <w:rsid w:val="00D05F96"/>
    <w:rsid w:val="00D0641B"/>
    <w:rsid w:val="00D15993"/>
    <w:rsid w:val="00D21F86"/>
    <w:rsid w:val="00D25D6B"/>
    <w:rsid w:val="00D30CD2"/>
    <w:rsid w:val="00D434B6"/>
    <w:rsid w:val="00D46F9C"/>
    <w:rsid w:val="00D51F0B"/>
    <w:rsid w:val="00D6574B"/>
    <w:rsid w:val="00D70681"/>
    <w:rsid w:val="00D82759"/>
    <w:rsid w:val="00D96A06"/>
    <w:rsid w:val="00DE0B40"/>
    <w:rsid w:val="00DE3D73"/>
    <w:rsid w:val="00DE5956"/>
    <w:rsid w:val="00DF152D"/>
    <w:rsid w:val="00DF24CF"/>
    <w:rsid w:val="00E104C3"/>
    <w:rsid w:val="00E116A1"/>
    <w:rsid w:val="00E13EDA"/>
    <w:rsid w:val="00E22F5A"/>
    <w:rsid w:val="00E2376B"/>
    <w:rsid w:val="00E273C3"/>
    <w:rsid w:val="00E33296"/>
    <w:rsid w:val="00E36234"/>
    <w:rsid w:val="00E40699"/>
    <w:rsid w:val="00E4143F"/>
    <w:rsid w:val="00E503CA"/>
    <w:rsid w:val="00E61428"/>
    <w:rsid w:val="00E61436"/>
    <w:rsid w:val="00E72277"/>
    <w:rsid w:val="00E73F47"/>
    <w:rsid w:val="00E77D5C"/>
    <w:rsid w:val="00E80FFB"/>
    <w:rsid w:val="00EA0E43"/>
    <w:rsid w:val="00EB2569"/>
    <w:rsid w:val="00EC2BB0"/>
    <w:rsid w:val="00F01655"/>
    <w:rsid w:val="00F04FBD"/>
    <w:rsid w:val="00F066C2"/>
    <w:rsid w:val="00F078B0"/>
    <w:rsid w:val="00F1678C"/>
    <w:rsid w:val="00F16B8C"/>
    <w:rsid w:val="00F27911"/>
    <w:rsid w:val="00F564FC"/>
    <w:rsid w:val="00F60D2B"/>
    <w:rsid w:val="00F6150B"/>
    <w:rsid w:val="00F63A0D"/>
    <w:rsid w:val="00F65269"/>
    <w:rsid w:val="00F654B8"/>
    <w:rsid w:val="00F65985"/>
    <w:rsid w:val="00F67A80"/>
    <w:rsid w:val="00FB37BD"/>
    <w:rsid w:val="00FC266A"/>
    <w:rsid w:val="00FD1A68"/>
    <w:rsid w:val="00FD4774"/>
    <w:rsid w:val="00FD7C16"/>
    <w:rsid w:val="00FE1CDA"/>
    <w:rsid w:val="00FE4037"/>
    <w:rsid w:val="00FE57BF"/>
    <w:rsid w:val="00FF4DC1"/>
    <w:rsid w:val="012B4701"/>
    <w:rsid w:val="01A473FF"/>
    <w:rsid w:val="01D628BE"/>
    <w:rsid w:val="036A7762"/>
    <w:rsid w:val="037C716B"/>
    <w:rsid w:val="03930A79"/>
    <w:rsid w:val="03E219EE"/>
    <w:rsid w:val="04137DFA"/>
    <w:rsid w:val="066C1739"/>
    <w:rsid w:val="076C7F34"/>
    <w:rsid w:val="08A70B11"/>
    <w:rsid w:val="091A424A"/>
    <w:rsid w:val="09671F72"/>
    <w:rsid w:val="09E10052"/>
    <w:rsid w:val="09FB7366"/>
    <w:rsid w:val="0B15662E"/>
    <w:rsid w:val="0CDA7707"/>
    <w:rsid w:val="0F8B28D2"/>
    <w:rsid w:val="12AA1929"/>
    <w:rsid w:val="1384217A"/>
    <w:rsid w:val="14E629C1"/>
    <w:rsid w:val="150D0E85"/>
    <w:rsid w:val="155D48B9"/>
    <w:rsid w:val="160E6673"/>
    <w:rsid w:val="1708666A"/>
    <w:rsid w:val="19037FE5"/>
    <w:rsid w:val="19C24C2F"/>
    <w:rsid w:val="19F33BB6"/>
    <w:rsid w:val="1A8D7508"/>
    <w:rsid w:val="1AC437A4"/>
    <w:rsid w:val="1B5A59F0"/>
    <w:rsid w:val="1CFA16FF"/>
    <w:rsid w:val="1D5202A2"/>
    <w:rsid w:val="1E000793"/>
    <w:rsid w:val="1E370533"/>
    <w:rsid w:val="1F182311"/>
    <w:rsid w:val="1F5844BB"/>
    <w:rsid w:val="1F69491A"/>
    <w:rsid w:val="1F980D5B"/>
    <w:rsid w:val="1FA3063F"/>
    <w:rsid w:val="208D2876"/>
    <w:rsid w:val="20F46465"/>
    <w:rsid w:val="210B63F6"/>
    <w:rsid w:val="211D3DA7"/>
    <w:rsid w:val="21FB3F4F"/>
    <w:rsid w:val="22291FCF"/>
    <w:rsid w:val="22AB6B3F"/>
    <w:rsid w:val="23E00F22"/>
    <w:rsid w:val="24B0361B"/>
    <w:rsid w:val="267F67D1"/>
    <w:rsid w:val="2B822FEC"/>
    <w:rsid w:val="2BDA654F"/>
    <w:rsid w:val="2CA15303"/>
    <w:rsid w:val="2E7B3D35"/>
    <w:rsid w:val="2EA927A9"/>
    <w:rsid w:val="2EAB0AAB"/>
    <w:rsid w:val="2F991CA5"/>
    <w:rsid w:val="315076E8"/>
    <w:rsid w:val="35E674FA"/>
    <w:rsid w:val="3652180C"/>
    <w:rsid w:val="378659C1"/>
    <w:rsid w:val="37922808"/>
    <w:rsid w:val="38F60B75"/>
    <w:rsid w:val="3A2B2AA0"/>
    <w:rsid w:val="3B874CE3"/>
    <w:rsid w:val="3C3519B4"/>
    <w:rsid w:val="3DC6320C"/>
    <w:rsid w:val="3EFB0C93"/>
    <w:rsid w:val="3F7B000C"/>
    <w:rsid w:val="3FBDE036"/>
    <w:rsid w:val="3FF3309B"/>
    <w:rsid w:val="41B45A71"/>
    <w:rsid w:val="437E6337"/>
    <w:rsid w:val="44537B7B"/>
    <w:rsid w:val="45B846D6"/>
    <w:rsid w:val="46813FDD"/>
    <w:rsid w:val="47F008D6"/>
    <w:rsid w:val="48C46704"/>
    <w:rsid w:val="492D2391"/>
    <w:rsid w:val="49D62A28"/>
    <w:rsid w:val="49E8450A"/>
    <w:rsid w:val="4A6E0CD3"/>
    <w:rsid w:val="4AD60806"/>
    <w:rsid w:val="4BF74ED8"/>
    <w:rsid w:val="4C013FBC"/>
    <w:rsid w:val="4C5FC75B"/>
    <w:rsid w:val="4C7402D7"/>
    <w:rsid w:val="4C8B22A5"/>
    <w:rsid w:val="4F0F2539"/>
    <w:rsid w:val="4F1B7FA7"/>
    <w:rsid w:val="4F7C497F"/>
    <w:rsid w:val="51581605"/>
    <w:rsid w:val="529B7BC9"/>
    <w:rsid w:val="53E06252"/>
    <w:rsid w:val="55F10BEA"/>
    <w:rsid w:val="5C2B2A4F"/>
    <w:rsid w:val="5CC83CEB"/>
    <w:rsid w:val="5CEB76B4"/>
    <w:rsid w:val="5D464BE3"/>
    <w:rsid w:val="5DE30E18"/>
    <w:rsid w:val="5F3D2D8C"/>
    <w:rsid w:val="5FF39DF9"/>
    <w:rsid w:val="60B13450"/>
    <w:rsid w:val="60FE2644"/>
    <w:rsid w:val="625E7607"/>
    <w:rsid w:val="63021D41"/>
    <w:rsid w:val="63057A83"/>
    <w:rsid w:val="63AD76F5"/>
    <w:rsid w:val="64F551FD"/>
    <w:rsid w:val="657F3B1C"/>
    <w:rsid w:val="660D1128"/>
    <w:rsid w:val="66553BDD"/>
    <w:rsid w:val="67397F49"/>
    <w:rsid w:val="677671A1"/>
    <w:rsid w:val="691A4E3E"/>
    <w:rsid w:val="6E2D7E8C"/>
    <w:rsid w:val="6E712470"/>
    <w:rsid w:val="6E7B6E4B"/>
    <w:rsid w:val="6F024E2E"/>
    <w:rsid w:val="6F2A4AF9"/>
    <w:rsid w:val="701513F0"/>
    <w:rsid w:val="722B4B4E"/>
    <w:rsid w:val="72E5624E"/>
    <w:rsid w:val="752244C4"/>
    <w:rsid w:val="75285696"/>
    <w:rsid w:val="770045CD"/>
    <w:rsid w:val="77212C85"/>
    <w:rsid w:val="77534E09"/>
    <w:rsid w:val="775F515F"/>
    <w:rsid w:val="796B2DFE"/>
    <w:rsid w:val="7AB67B89"/>
    <w:rsid w:val="7CE26037"/>
    <w:rsid w:val="7D8C038C"/>
    <w:rsid w:val="7DD30D3F"/>
    <w:rsid w:val="7E1153D8"/>
    <w:rsid w:val="7EAB7A4E"/>
    <w:rsid w:val="7FA28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BCBE"/>
  <w15:docId w15:val="{A5AAC267-A09A-4AF3-85CC-FA35C8CD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sz w:val="24"/>
      <w:szCs w:val="24"/>
      <w:lang w:eastAsia="zh-CN"/>
    </w:rPr>
  </w:style>
  <w:style w:type="paragraph" w:styleId="ab">
    <w:name w:val="Normal (Web)"/>
    <w:basedOn w:val="a"/>
    <w:uiPriority w:val="99"/>
    <w:qFormat/>
    <w:pPr>
      <w:widowControl w:val="0"/>
      <w:kinsoku/>
      <w:autoSpaceDE/>
      <w:autoSpaceDN/>
      <w:adjustRightInd/>
      <w:snapToGrid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24"/>
      <w:szCs w:val="24"/>
      <w:lang w:eastAsia="zh-CN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qFormat/>
    <w:rPr>
      <w:sz w:val="21"/>
      <w:szCs w:val="2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a8">
    <w:name w:val="页脚 字符"/>
    <w:basedOn w:val="a0"/>
    <w:link w:val="a7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customStyle="1" w:styleId="1">
    <w:name w:val="修订1"/>
    <w:hidden/>
    <w:uiPriority w:val="99"/>
    <w:semiHidden/>
    <w:qFormat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customStyle="1" w:styleId="ad">
    <w:name w:val="批注主题 字符"/>
    <w:basedOn w:val="a4"/>
    <w:link w:val="ac"/>
    <w:qFormat/>
    <w:rPr>
      <w:rFonts w:ascii="Arial" w:eastAsia="Arial" w:hAnsi="Arial" w:cs="Arial"/>
      <w:b/>
      <w:bCs/>
      <w:snapToGrid w:val="0"/>
      <w:color w:val="000000"/>
      <w:sz w:val="21"/>
      <w:szCs w:val="21"/>
      <w:lang w:eastAsia="en-US"/>
    </w:rPr>
  </w:style>
  <w:style w:type="character" w:customStyle="1" w:styleId="a6">
    <w:name w:val="批注框文本 字符"/>
    <w:basedOn w:val="a0"/>
    <w:link w:val="a5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customStyle="1" w:styleId="2">
    <w:name w:val="修订2"/>
    <w:hidden/>
    <w:uiPriority w:val="99"/>
    <w:unhideWhenUsed/>
    <w:qFormat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customStyle="1" w:styleId="3">
    <w:name w:val="修订3"/>
    <w:hidden/>
    <w:uiPriority w:val="99"/>
    <w:semiHidden/>
    <w:qFormat/>
    <w:rPr>
      <w:rFonts w:ascii="Arial" w:eastAsia="Arial" w:hAnsi="Arial" w:cs="Arial"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BF2633F6-88A7-46F6-9DC9-9E6EF88E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李胜军</cp:lastModifiedBy>
  <cp:revision>4</cp:revision>
  <dcterms:created xsi:type="dcterms:W3CDTF">2025-04-30T15:42:00Z</dcterms:created>
  <dcterms:modified xsi:type="dcterms:W3CDTF">2025-09-01T09:36:00Z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2024-08-12T09:26:14Z</vt:filetime>
  </property>
  <property fmtid="{D5CDD505-2E9C-101B-9397-08002B2CF9AE}" pid="4" name="KSOProductBuildVer">
    <vt:lpwstr>2052-7.5.1.8994</vt:lpwstr>
  </property>
  <property fmtid="{D5CDD505-2E9C-101B-9397-08002B2CF9AE}" pid="5" name="ICV">
    <vt:lpwstr>64148A718BECC438D903B5680FD0177A_43</vt:lpwstr>
  </property>
  <property fmtid="{D5CDD505-2E9C-101B-9397-08002B2CF9AE}" pid="6" name="KSOTemplateDocerSaveRecord">
    <vt:lpwstr>eyJoZGlkIjoiNzU0YWEzZTBmNGEwMDVhOTBmODg2ZGQ4OWJjNTJiMGEiLCJ1c2VySWQiOiIzOTkwMDU2MjcifQ==</vt:lpwstr>
  </property>
</Properties>
</file>