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07E82" w14:textId="77777777" w:rsidR="003B4658" w:rsidRDefault="00000000">
      <w:pPr>
        <w:spacing w:afterLines="50" w:after="156" w:line="400" w:lineRule="exact"/>
        <w:jc w:val="center"/>
        <w:rPr>
          <w:rFonts w:cs="方正小标宋_GBK"/>
          <w:b/>
          <w:bCs/>
          <w:iCs/>
          <w:color w:val="000000"/>
          <w:sz w:val="24"/>
        </w:rPr>
      </w:pPr>
      <w:r>
        <w:rPr>
          <w:rFonts w:cs="方正小标宋_GBK" w:hint="eastAsia"/>
          <w:b/>
          <w:bCs/>
          <w:iCs/>
          <w:color w:val="000000"/>
          <w:sz w:val="24"/>
        </w:rPr>
        <w:t>证券代码：</w:t>
      </w:r>
      <w:r>
        <w:rPr>
          <w:rFonts w:cs="方正小标宋_GBK" w:hint="eastAsia"/>
          <w:b/>
          <w:bCs/>
          <w:iCs/>
          <w:color w:val="000000"/>
          <w:sz w:val="24"/>
        </w:rPr>
        <w:t>60</w:t>
      </w:r>
      <w:r>
        <w:rPr>
          <w:rFonts w:cs="方正小标宋_GBK"/>
          <w:b/>
          <w:bCs/>
          <w:iCs/>
          <w:color w:val="000000"/>
          <w:sz w:val="24"/>
        </w:rPr>
        <w:t>0970</w:t>
      </w:r>
      <w:r>
        <w:rPr>
          <w:rFonts w:cs="方正小标宋_GBK" w:hint="eastAsia"/>
          <w:b/>
          <w:bCs/>
          <w:iCs/>
          <w:color w:val="000000"/>
          <w:sz w:val="24"/>
        </w:rPr>
        <w:t xml:space="preserve">                                    </w:t>
      </w:r>
      <w:r>
        <w:rPr>
          <w:rFonts w:cs="方正小标宋_GBK" w:hint="eastAsia"/>
          <w:b/>
          <w:bCs/>
          <w:iCs/>
          <w:color w:val="000000"/>
          <w:sz w:val="24"/>
        </w:rPr>
        <w:t>证券简称：中材国际</w:t>
      </w:r>
    </w:p>
    <w:p w14:paraId="34822149" w14:textId="77777777" w:rsidR="003B4658" w:rsidRDefault="00000000">
      <w:pPr>
        <w:spacing w:beforeLines="150" w:before="468" w:afterLines="50" w:after="156" w:line="400" w:lineRule="exact"/>
        <w:jc w:val="center"/>
        <w:rPr>
          <w:rFonts w:ascii="方正小标宋_GBK" w:eastAsia="方正小标宋_GBK" w:hAnsi="方正小标宋_GBK" w:cs="方正小标宋_GBK" w:hint="eastAsia"/>
          <w:bCs/>
          <w:iCs/>
          <w:color w:val="000000"/>
          <w:sz w:val="32"/>
          <w:szCs w:val="32"/>
        </w:rPr>
      </w:pPr>
      <w:r>
        <w:rPr>
          <w:rFonts w:ascii="方正小标宋_GBK" w:eastAsia="方正小标宋_GBK" w:hAnsi="方正小标宋_GBK" w:cs="方正小标宋_GBK" w:hint="eastAsia"/>
          <w:bCs/>
          <w:iCs/>
          <w:color w:val="000000"/>
          <w:sz w:val="32"/>
          <w:szCs w:val="32"/>
        </w:rPr>
        <w:t>中国中材国际工程股份有限公司投资者沟通情况</w:t>
      </w:r>
    </w:p>
    <w:p w14:paraId="7F43C21C" w14:textId="77777777" w:rsidR="003B4658" w:rsidRDefault="003B4658">
      <w:pPr>
        <w:rPr>
          <w:sz w:val="15"/>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8363"/>
      </w:tblGrid>
      <w:tr w:rsidR="003B4658" w14:paraId="356530FA" w14:textId="77777777">
        <w:trPr>
          <w:trHeight w:val="1071"/>
          <w:jc w:val="center"/>
        </w:trPr>
        <w:tc>
          <w:tcPr>
            <w:tcW w:w="1814" w:type="dxa"/>
            <w:vAlign w:val="center"/>
          </w:tcPr>
          <w:p w14:paraId="657AAF25" w14:textId="77777777" w:rsidR="003B4658" w:rsidRDefault="00000000">
            <w:pPr>
              <w:snapToGrid w:val="0"/>
              <w:rPr>
                <w:rFonts w:cs="方正黑体_GBK"/>
                <w:bCs/>
                <w:iCs/>
                <w:color w:val="000000"/>
                <w:sz w:val="24"/>
              </w:rPr>
            </w:pPr>
            <w:r>
              <w:rPr>
                <w:rFonts w:cs="方正黑体_GBK" w:hint="eastAsia"/>
                <w:bCs/>
                <w:iCs/>
                <w:color w:val="000000"/>
                <w:sz w:val="24"/>
              </w:rPr>
              <w:t>活动类别</w:t>
            </w:r>
          </w:p>
        </w:tc>
        <w:tc>
          <w:tcPr>
            <w:tcW w:w="8363" w:type="dxa"/>
            <w:tcBorders>
              <w:bottom w:val="single" w:sz="4" w:space="0" w:color="auto"/>
            </w:tcBorders>
            <w:vAlign w:val="center"/>
          </w:tcPr>
          <w:p w14:paraId="2E9E0BC3" w14:textId="77777777" w:rsidR="003B4658" w:rsidRDefault="00000000">
            <w:pPr>
              <w:autoSpaceDE w:val="0"/>
              <w:autoSpaceDN w:val="0"/>
              <w:adjustRightInd w:val="0"/>
              <w:snapToGrid w:val="0"/>
              <w:spacing w:line="440" w:lineRule="exact"/>
              <w:rPr>
                <w:rFonts w:cs="MS Mincho"/>
                <w:sz w:val="24"/>
              </w:rPr>
            </w:pPr>
            <w:r>
              <w:rPr>
                <w:rFonts w:cs="MS Mincho" w:hint="eastAsia"/>
                <w:sz w:val="24"/>
              </w:rPr>
              <w:t>□特定对象调研</w:t>
            </w:r>
            <w:r>
              <w:rPr>
                <w:rFonts w:cs="MS Mincho"/>
                <w:sz w:val="24"/>
              </w:rPr>
              <w:t xml:space="preserve">      </w:t>
            </w:r>
            <w:r>
              <w:rPr>
                <w:rFonts w:cs="MS Mincho" w:hint="eastAsia"/>
                <w:sz w:val="24"/>
              </w:rPr>
              <w:t>□现场参观</w:t>
            </w:r>
            <w:r>
              <w:rPr>
                <w:rFonts w:cs="MS Mincho" w:hint="eastAsia"/>
                <w:sz w:val="24"/>
              </w:rPr>
              <w:t xml:space="preserve">        </w:t>
            </w:r>
            <w:r>
              <w:rPr>
                <w:rFonts w:cs="MS Mincho" w:hint="eastAsia"/>
                <w:sz w:val="24"/>
              </w:rPr>
              <w:t>□媒体采访</w:t>
            </w:r>
            <w:r>
              <w:rPr>
                <w:rFonts w:cs="MS Mincho"/>
                <w:sz w:val="24"/>
              </w:rPr>
              <w:t xml:space="preserve">     </w:t>
            </w:r>
            <w:r>
              <w:rPr>
                <w:rFonts w:cs="MS Mincho" w:hint="eastAsia"/>
                <w:sz w:val="24"/>
              </w:rPr>
              <w:sym w:font="Wingdings" w:char="F0FE"/>
            </w:r>
            <w:r>
              <w:rPr>
                <w:rFonts w:cs="MS Mincho" w:hint="eastAsia"/>
                <w:sz w:val="24"/>
              </w:rPr>
              <w:t>券商策略会</w:t>
            </w:r>
          </w:p>
          <w:p w14:paraId="00361235" w14:textId="77777777" w:rsidR="003B4658" w:rsidRDefault="00000000">
            <w:pPr>
              <w:autoSpaceDE w:val="0"/>
              <w:autoSpaceDN w:val="0"/>
              <w:adjustRightInd w:val="0"/>
              <w:snapToGrid w:val="0"/>
              <w:spacing w:line="440" w:lineRule="exact"/>
              <w:rPr>
                <w:bCs/>
                <w:iCs/>
                <w:color w:val="000000"/>
                <w:sz w:val="24"/>
              </w:rPr>
            </w:pPr>
            <w:r>
              <w:rPr>
                <w:rFonts w:cs="MS Mincho" w:hint="eastAsia"/>
                <w:sz w:val="24"/>
              </w:rPr>
              <w:sym w:font="Wingdings" w:char="F0FE"/>
            </w:r>
            <w:r>
              <w:rPr>
                <w:rFonts w:cs="MS Mincho" w:hint="eastAsia"/>
                <w:sz w:val="24"/>
              </w:rPr>
              <w:t>业绩说明会</w:t>
            </w:r>
            <w:r>
              <w:rPr>
                <w:rFonts w:cs="MS Mincho" w:hint="eastAsia"/>
                <w:sz w:val="24"/>
              </w:rPr>
              <w:t xml:space="preserve">        </w:t>
            </w:r>
            <w:r>
              <w:rPr>
                <w:rFonts w:cs="MS Mincho" w:hint="eastAsia"/>
                <w:sz w:val="24"/>
              </w:rPr>
              <w:t>□新闻发布会</w:t>
            </w:r>
            <w:r>
              <w:rPr>
                <w:rFonts w:cs="MS Mincho"/>
                <w:sz w:val="24"/>
              </w:rPr>
              <w:t xml:space="preserve">      </w:t>
            </w:r>
            <w:r>
              <w:rPr>
                <w:rFonts w:cs="MS Mincho" w:hint="eastAsia"/>
                <w:sz w:val="24"/>
              </w:rPr>
              <w:sym w:font="Wingdings" w:char="F0FE"/>
            </w:r>
            <w:r>
              <w:rPr>
                <w:rFonts w:cs="MS Mincho" w:hint="eastAsia"/>
                <w:sz w:val="24"/>
              </w:rPr>
              <w:t>路演活动</w:t>
            </w:r>
            <w:r>
              <w:rPr>
                <w:rFonts w:cs="MS Mincho"/>
                <w:sz w:val="24"/>
              </w:rPr>
              <w:t xml:space="preserve">     </w:t>
            </w:r>
            <w:r>
              <w:rPr>
                <w:rFonts w:cs="MS Mincho" w:hint="eastAsia"/>
                <w:sz w:val="24"/>
              </w:rPr>
              <w:sym w:font="Wingdings" w:char="F0FE"/>
            </w:r>
            <w:r>
              <w:rPr>
                <w:rFonts w:cs="MS Mincho" w:hint="eastAsia"/>
                <w:sz w:val="24"/>
              </w:rPr>
              <w:t>电话会议</w:t>
            </w:r>
          </w:p>
        </w:tc>
      </w:tr>
      <w:tr w:rsidR="003B4658" w14:paraId="1AE38A82" w14:textId="77777777">
        <w:trPr>
          <w:trHeight w:val="430"/>
          <w:jc w:val="center"/>
        </w:trPr>
        <w:tc>
          <w:tcPr>
            <w:tcW w:w="1814" w:type="dxa"/>
            <w:vAlign w:val="center"/>
          </w:tcPr>
          <w:p w14:paraId="0614C9BB" w14:textId="77777777" w:rsidR="003B4658" w:rsidRDefault="00000000">
            <w:pPr>
              <w:snapToGrid w:val="0"/>
              <w:rPr>
                <w:rFonts w:ascii="宋体" w:hAnsi="宋体" w:cs="方正黑体_GBK" w:hint="eastAsia"/>
                <w:bCs/>
                <w:iCs/>
                <w:color w:val="000000"/>
                <w:sz w:val="24"/>
              </w:rPr>
            </w:pPr>
            <w:r>
              <w:rPr>
                <w:rFonts w:ascii="宋体" w:hAnsi="宋体" w:cs="方正黑体_GBK" w:hint="eastAsia"/>
                <w:bCs/>
                <w:iCs/>
                <w:color w:val="000000"/>
                <w:sz w:val="24"/>
              </w:rPr>
              <w:t>活动时间</w:t>
            </w:r>
          </w:p>
        </w:tc>
        <w:tc>
          <w:tcPr>
            <w:tcW w:w="8363" w:type="dxa"/>
            <w:tcBorders>
              <w:top w:val="single" w:sz="4" w:space="0" w:color="auto"/>
            </w:tcBorders>
            <w:vAlign w:val="center"/>
          </w:tcPr>
          <w:p w14:paraId="668BC3CD" w14:textId="77777777" w:rsidR="003B4658" w:rsidRDefault="00000000">
            <w:pPr>
              <w:autoSpaceDE w:val="0"/>
              <w:autoSpaceDN w:val="0"/>
              <w:adjustRightInd w:val="0"/>
              <w:snapToGrid w:val="0"/>
              <w:rPr>
                <w:rFonts w:ascii="宋体" w:hAnsi="宋体" w:hint="eastAsia"/>
                <w:bCs/>
                <w:iCs/>
                <w:color w:val="000000"/>
                <w:sz w:val="24"/>
              </w:rPr>
            </w:pPr>
            <w:r>
              <w:rPr>
                <w:rFonts w:ascii="宋体" w:hAnsi="宋体" w:cs="MS Mincho" w:hint="eastAsia"/>
                <w:sz w:val="24"/>
              </w:rPr>
              <w:t>2025年</w:t>
            </w:r>
            <w:r>
              <w:rPr>
                <w:rFonts w:ascii="宋体" w:hAnsi="宋体" w:cs="MS Mincho"/>
                <w:sz w:val="24"/>
              </w:rPr>
              <w:t>8</w:t>
            </w:r>
            <w:r>
              <w:rPr>
                <w:rFonts w:ascii="宋体" w:hAnsi="宋体" w:cs="MS Mincho" w:hint="eastAsia"/>
                <w:sz w:val="24"/>
              </w:rPr>
              <w:t>月27日-2025年8月29日</w:t>
            </w:r>
          </w:p>
        </w:tc>
      </w:tr>
      <w:tr w:rsidR="003B4658" w14:paraId="48E393FD" w14:textId="77777777">
        <w:trPr>
          <w:trHeight w:val="564"/>
          <w:jc w:val="center"/>
        </w:trPr>
        <w:tc>
          <w:tcPr>
            <w:tcW w:w="1814" w:type="dxa"/>
            <w:vAlign w:val="center"/>
          </w:tcPr>
          <w:p w14:paraId="26455A72" w14:textId="77777777" w:rsidR="003B4658" w:rsidRDefault="00000000">
            <w:pPr>
              <w:autoSpaceDE w:val="0"/>
              <w:autoSpaceDN w:val="0"/>
              <w:adjustRightInd w:val="0"/>
              <w:snapToGrid w:val="0"/>
              <w:rPr>
                <w:rFonts w:ascii="宋体" w:hAnsi="宋体" w:cs="MS Mincho" w:hint="eastAsia"/>
                <w:sz w:val="24"/>
              </w:rPr>
            </w:pPr>
            <w:r>
              <w:rPr>
                <w:rFonts w:ascii="宋体" w:hAnsi="宋体" w:cs="MS Mincho" w:hint="eastAsia"/>
                <w:sz w:val="24"/>
              </w:rPr>
              <w:t>公司接待人员</w:t>
            </w:r>
          </w:p>
        </w:tc>
        <w:tc>
          <w:tcPr>
            <w:tcW w:w="8363" w:type="dxa"/>
            <w:vAlign w:val="center"/>
          </w:tcPr>
          <w:p w14:paraId="4DAB8A40" w14:textId="119B25C0" w:rsidR="003B4658" w:rsidRDefault="00000000">
            <w:pPr>
              <w:autoSpaceDE w:val="0"/>
              <w:autoSpaceDN w:val="0"/>
              <w:adjustRightInd w:val="0"/>
              <w:snapToGrid w:val="0"/>
              <w:spacing w:beforeLines="50" w:before="156" w:afterLines="50" w:after="156"/>
              <w:rPr>
                <w:rFonts w:ascii="宋体" w:hAnsi="宋体" w:cs="MS Mincho" w:hint="eastAsia"/>
                <w:sz w:val="24"/>
              </w:rPr>
            </w:pPr>
            <w:r>
              <w:rPr>
                <w:rFonts w:ascii="宋体" w:hAnsi="宋体" w:cs="MS Mincho" w:hint="eastAsia"/>
                <w:sz w:val="24"/>
              </w:rPr>
              <w:t>董事、总裁朱兵，独立董事焦点，常务副总裁刘仁越，副总裁隋同波，副总裁、董事会秘书曾暄，副总裁、财务总监尹凌及相关人员</w:t>
            </w:r>
          </w:p>
        </w:tc>
      </w:tr>
      <w:tr w:rsidR="003B4658" w14:paraId="0511D57D" w14:textId="77777777">
        <w:trPr>
          <w:trHeight w:val="1044"/>
          <w:jc w:val="center"/>
        </w:trPr>
        <w:tc>
          <w:tcPr>
            <w:tcW w:w="1814" w:type="dxa"/>
            <w:vAlign w:val="center"/>
          </w:tcPr>
          <w:p w14:paraId="5DB12979" w14:textId="77777777" w:rsidR="003B4658" w:rsidRDefault="00000000">
            <w:pPr>
              <w:autoSpaceDE w:val="0"/>
              <w:autoSpaceDN w:val="0"/>
              <w:adjustRightInd w:val="0"/>
              <w:snapToGrid w:val="0"/>
              <w:rPr>
                <w:rFonts w:ascii="宋体" w:hAnsi="宋体" w:cs="MS Mincho" w:hint="eastAsia"/>
                <w:sz w:val="24"/>
              </w:rPr>
            </w:pPr>
            <w:r>
              <w:rPr>
                <w:rFonts w:ascii="宋体" w:hAnsi="宋体" w:cs="MS Mincho" w:hint="eastAsia"/>
                <w:sz w:val="24"/>
              </w:rPr>
              <w:t>参与单位名称及人员</w:t>
            </w:r>
          </w:p>
        </w:tc>
        <w:tc>
          <w:tcPr>
            <w:tcW w:w="8363" w:type="dxa"/>
            <w:vAlign w:val="center"/>
          </w:tcPr>
          <w:p w14:paraId="7090FB9E" w14:textId="77777777" w:rsidR="003B4658" w:rsidRDefault="00000000">
            <w:pPr>
              <w:autoSpaceDE w:val="0"/>
              <w:autoSpaceDN w:val="0"/>
              <w:adjustRightInd w:val="0"/>
              <w:snapToGrid w:val="0"/>
              <w:spacing w:beforeLines="50" w:before="156" w:afterLines="50" w:after="156" w:line="300" w:lineRule="auto"/>
              <w:rPr>
                <w:rFonts w:ascii="宋体" w:hAnsi="宋体" w:cs="MS Mincho" w:hint="eastAsia"/>
                <w:sz w:val="24"/>
              </w:rPr>
            </w:pPr>
            <w:r>
              <w:rPr>
                <w:rFonts w:ascii="宋体" w:hAnsi="宋体" w:cs="MS Mincho" w:hint="eastAsia"/>
                <w:sz w:val="24"/>
              </w:rPr>
              <w:t>长江证券、东吴证券、光大证券、广发证券、国联民生、国盛证券、天风证券、西部证券、华泰证券、国泰海通、华龙证券、中国银河、中金公司、中信证券、永赢基金、</w:t>
            </w:r>
            <w:bookmarkStart w:id="0" w:name="_Hlk207617191"/>
            <w:r>
              <w:rPr>
                <w:rFonts w:ascii="宋体" w:hAnsi="宋体" w:cs="MS Mincho" w:hint="eastAsia"/>
                <w:sz w:val="24"/>
              </w:rPr>
              <w:t>招商基金</w:t>
            </w:r>
            <w:bookmarkEnd w:id="0"/>
            <w:r>
              <w:rPr>
                <w:rFonts w:ascii="宋体" w:hAnsi="宋体" w:cs="MS Mincho" w:hint="eastAsia"/>
                <w:sz w:val="24"/>
              </w:rPr>
              <w:t>、汇丰晋信、平安资产、国泰基金、招银理财、博时基金、创金合信、工银瑞信、国海富兰克林、国金基金、国联基金、泓德基金、华富基金、华商基金、嘉实基金、交银施罗德、九泰基金、诺德基金、同泰基金、信达澳亚、银河基金、银华基金、中欧基金、人保资产、长江养老、浙商资管、中金资管、新华资产、大家资产、半夏投资、港丽投资、光大自营、广汇缘、汉和投资、恒悦资产、宏道投资、泓澄投资、汇创投资、汇信聚盈、惠正投资、混沌投资、理成资产、利安人寿、明河投资、明世伙伴、磐厚动量、青骊投资、睿珺资产、睿胜投资、双安投资、盈峰资本、云门投资、长安汇通、正圆投资、中华联合、中邮理财、东吴证券、Nomura Asset、POINT72、</w:t>
            </w:r>
            <w:r>
              <w:rPr>
                <w:rFonts w:ascii="宋体" w:hAnsi="宋体" w:cs="MS Mincho"/>
                <w:sz w:val="24"/>
              </w:rPr>
              <w:t>JP Morgan</w:t>
            </w:r>
          </w:p>
        </w:tc>
      </w:tr>
      <w:tr w:rsidR="003B4658" w14:paraId="3D9D3E91" w14:textId="77777777">
        <w:trPr>
          <w:jc w:val="center"/>
        </w:trPr>
        <w:tc>
          <w:tcPr>
            <w:tcW w:w="1814" w:type="dxa"/>
            <w:vAlign w:val="center"/>
          </w:tcPr>
          <w:p w14:paraId="1837BDE8" w14:textId="77777777" w:rsidR="003B4658" w:rsidRDefault="00000000">
            <w:pPr>
              <w:spacing w:line="440" w:lineRule="exact"/>
              <w:rPr>
                <w:rFonts w:ascii="宋体" w:hAnsi="宋体" w:cs="方正黑体_GBK" w:hint="eastAsia"/>
                <w:bCs/>
                <w:iCs/>
                <w:color w:val="000000"/>
                <w:sz w:val="24"/>
              </w:rPr>
            </w:pPr>
            <w:r>
              <w:rPr>
                <w:rFonts w:ascii="宋体" w:hAnsi="宋体" w:cs="方正黑体_GBK" w:hint="eastAsia"/>
                <w:bCs/>
                <w:iCs/>
                <w:color w:val="000000"/>
                <w:sz w:val="24"/>
              </w:rPr>
              <w:t>主要内容</w:t>
            </w:r>
          </w:p>
        </w:tc>
        <w:tc>
          <w:tcPr>
            <w:tcW w:w="8363" w:type="dxa"/>
          </w:tcPr>
          <w:p w14:paraId="2D7D282D" w14:textId="3790845D" w:rsidR="003B4658" w:rsidRDefault="00000000">
            <w:pPr>
              <w:autoSpaceDE w:val="0"/>
              <w:autoSpaceDN w:val="0"/>
              <w:adjustRightInd w:val="0"/>
              <w:snapToGrid w:val="0"/>
              <w:spacing w:beforeLines="50" w:before="156" w:line="360" w:lineRule="auto"/>
              <w:rPr>
                <w:rFonts w:ascii="宋体" w:hAnsi="宋体" w:cs="Arial" w:hint="eastAsia"/>
                <w:b/>
                <w:sz w:val="24"/>
              </w:rPr>
            </w:pPr>
            <w:r>
              <w:rPr>
                <w:rFonts w:ascii="宋体" w:hAnsi="宋体" w:cs="Arial" w:hint="eastAsia"/>
                <w:b/>
                <w:sz w:val="24"/>
              </w:rPr>
              <w:t>一、</w:t>
            </w:r>
            <w:r w:rsidRPr="00163D5D">
              <w:rPr>
                <w:rFonts w:ascii="宋体" w:hAnsi="宋体" w:cs="Arial" w:hint="eastAsia"/>
                <w:b/>
                <w:sz w:val="24"/>
              </w:rPr>
              <w:t>介绍公司2025年上半年经营</w:t>
            </w:r>
            <w:r w:rsidR="00212713" w:rsidRPr="00163D5D">
              <w:rPr>
                <w:rFonts w:ascii="宋体" w:hAnsi="宋体" w:cs="Arial" w:hint="eastAsia"/>
                <w:b/>
                <w:sz w:val="24"/>
              </w:rPr>
              <w:t>亮点及未来展望</w:t>
            </w:r>
          </w:p>
          <w:p w14:paraId="6313143A" w14:textId="43AA4ACC" w:rsidR="00225D84" w:rsidRPr="00163D5D" w:rsidRDefault="00225D84">
            <w:pPr>
              <w:autoSpaceDE w:val="0"/>
              <w:autoSpaceDN w:val="0"/>
              <w:adjustRightInd w:val="0"/>
              <w:snapToGrid w:val="0"/>
              <w:spacing w:line="360" w:lineRule="auto"/>
              <w:ind w:firstLineChars="200" w:firstLine="482"/>
              <w:rPr>
                <w:rFonts w:ascii="宋体" w:hAnsi="宋体" w:hint="eastAsia"/>
                <w:b/>
                <w:bCs/>
                <w:sz w:val="24"/>
              </w:rPr>
            </w:pPr>
            <w:r w:rsidRPr="00163D5D">
              <w:rPr>
                <w:rFonts w:ascii="宋体" w:hAnsi="宋体" w:hint="eastAsia"/>
                <w:b/>
                <w:bCs/>
                <w:sz w:val="24"/>
              </w:rPr>
              <w:t>经营亮点：</w:t>
            </w:r>
          </w:p>
          <w:p w14:paraId="0C4D8029" w14:textId="6A8A9F6D" w:rsidR="00AE210D" w:rsidRPr="00163D5D" w:rsidRDefault="00AE210D">
            <w:pPr>
              <w:autoSpaceDE w:val="0"/>
              <w:autoSpaceDN w:val="0"/>
              <w:adjustRightInd w:val="0"/>
              <w:snapToGrid w:val="0"/>
              <w:spacing w:line="360" w:lineRule="auto"/>
              <w:ind w:firstLineChars="200" w:firstLine="482"/>
              <w:rPr>
                <w:rFonts w:ascii="宋体" w:hAnsi="宋体" w:hint="eastAsia"/>
                <w:b/>
                <w:bCs/>
                <w:sz w:val="24"/>
              </w:rPr>
            </w:pPr>
            <w:r w:rsidRPr="00163D5D">
              <w:rPr>
                <w:rFonts w:ascii="宋体" w:hAnsi="宋体" w:hint="eastAsia"/>
                <w:b/>
                <w:bCs/>
                <w:sz w:val="24"/>
              </w:rPr>
              <w:t>（一）经营业绩稳健增长，领先地位持续稳固</w:t>
            </w:r>
          </w:p>
          <w:p w14:paraId="161DCCED" w14:textId="5D5C3D9F" w:rsidR="00AE210D" w:rsidRDefault="00AE210D">
            <w:pPr>
              <w:autoSpaceDE w:val="0"/>
              <w:autoSpaceDN w:val="0"/>
              <w:adjustRightInd w:val="0"/>
              <w:snapToGrid w:val="0"/>
              <w:spacing w:line="360" w:lineRule="auto"/>
              <w:ind w:firstLineChars="200" w:firstLine="480"/>
              <w:rPr>
                <w:rFonts w:ascii="宋体" w:hAnsi="宋体" w:hint="eastAsia"/>
                <w:sz w:val="24"/>
              </w:rPr>
            </w:pPr>
            <w:r w:rsidRPr="00AE210D">
              <w:rPr>
                <w:rFonts w:ascii="宋体" w:hAnsi="宋体" w:hint="eastAsia"/>
                <w:sz w:val="24"/>
              </w:rPr>
              <w:t>上半年，公司紧盯全年目标与“十四五”战略收官任务，凝心聚力、奋勇攻坚，实现新签合同、营业收入和净利润再创新高。水泥工程服务市场份额连续17年稳居世界第一，2025年ENR榜单排名提升至全球第38位、同比上升5位。公司高质量举办第三届水泥绿色智能发展大会，发布了全氧燃烧技术、煤矸石的悬浮煅烧制备陶瓷原料技术、移动式反击破设备及优控系统与优化控制技术共计四项科技创新成果，科技引领能力和国际影响力持续提升。</w:t>
            </w:r>
            <w:r w:rsidR="00091E04">
              <w:rPr>
                <w:rFonts w:ascii="宋体" w:hAnsi="宋体" w:hint="eastAsia"/>
                <w:sz w:val="24"/>
              </w:rPr>
              <w:t xml:space="preserve"> </w:t>
            </w:r>
          </w:p>
          <w:p w14:paraId="166C9466" w14:textId="27949B4E" w:rsidR="00AE210D" w:rsidRPr="00163D5D" w:rsidRDefault="00AE210D">
            <w:pPr>
              <w:autoSpaceDE w:val="0"/>
              <w:autoSpaceDN w:val="0"/>
              <w:adjustRightInd w:val="0"/>
              <w:snapToGrid w:val="0"/>
              <w:spacing w:line="360" w:lineRule="auto"/>
              <w:ind w:firstLineChars="200" w:firstLine="482"/>
              <w:rPr>
                <w:rFonts w:ascii="宋体" w:hAnsi="宋体" w:cs="Arial" w:hint="eastAsia"/>
                <w:b/>
                <w:bCs/>
                <w:sz w:val="24"/>
              </w:rPr>
            </w:pPr>
            <w:r w:rsidRPr="00163D5D">
              <w:rPr>
                <w:rFonts w:ascii="宋体" w:hAnsi="宋体" w:cs="Arial" w:hint="eastAsia"/>
                <w:b/>
                <w:bCs/>
                <w:sz w:val="24"/>
              </w:rPr>
              <w:lastRenderedPageBreak/>
              <w:t>（二）产业思维筑牢优势，结构转型提升价值</w:t>
            </w:r>
          </w:p>
          <w:p w14:paraId="7DA4244F" w14:textId="77777777" w:rsidR="00AE210D" w:rsidRPr="00AE210D" w:rsidRDefault="00AE210D" w:rsidP="00AE210D">
            <w:pPr>
              <w:autoSpaceDE w:val="0"/>
              <w:autoSpaceDN w:val="0"/>
              <w:adjustRightInd w:val="0"/>
              <w:snapToGrid w:val="0"/>
              <w:spacing w:line="360" w:lineRule="auto"/>
              <w:ind w:firstLineChars="200" w:firstLine="482"/>
              <w:rPr>
                <w:rFonts w:ascii="宋体" w:hAnsi="宋体" w:cs="Arial" w:hint="eastAsia"/>
                <w:sz w:val="24"/>
              </w:rPr>
            </w:pPr>
            <w:r w:rsidRPr="00163D5D">
              <w:rPr>
                <w:rFonts w:ascii="宋体" w:hAnsi="宋体" w:cs="Arial" w:hint="eastAsia"/>
                <w:b/>
                <w:bCs/>
                <w:sz w:val="24"/>
              </w:rPr>
              <w:t>工程技术服务：</w:t>
            </w:r>
            <w:r w:rsidRPr="00AE210D">
              <w:rPr>
                <w:rFonts w:ascii="宋体" w:hAnsi="宋体" w:cs="Arial" w:hint="eastAsia"/>
                <w:sz w:val="24"/>
              </w:rPr>
              <w:t>深挖有效需求，实现多点突破。持续巩固主业核心优势，加快从“工程项目思维”到“产业经营思维”的转变，从关注单一项目履约，转向关注业务的整体价值创造、全生命周期系统服务。成功获取13个境外水泥整线项目，新签水泥工程技改合同实现翻倍、境外多元化工程合同实现倍增，成功签署国内首例千万吨级绿色建筑产品开发及煤矸石综合处置一体化项目、联想沙特智能制造基地项目，全球首条万吨级异地搬迁生产线顺利封顶，608个在执行项目平稳高效履约。</w:t>
            </w:r>
          </w:p>
          <w:p w14:paraId="1D11E8BB" w14:textId="77777777" w:rsidR="00AE210D" w:rsidRPr="00AE210D" w:rsidRDefault="00AE210D" w:rsidP="00AE210D">
            <w:pPr>
              <w:autoSpaceDE w:val="0"/>
              <w:autoSpaceDN w:val="0"/>
              <w:adjustRightInd w:val="0"/>
              <w:snapToGrid w:val="0"/>
              <w:spacing w:line="360" w:lineRule="auto"/>
              <w:ind w:firstLineChars="200" w:firstLine="482"/>
              <w:rPr>
                <w:rFonts w:ascii="宋体" w:hAnsi="宋体" w:cs="Arial" w:hint="eastAsia"/>
                <w:sz w:val="24"/>
              </w:rPr>
            </w:pPr>
            <w:r w:rsidRPr="00163D5D">
              <w:rPr>
                <w:rFonts w:ascii="宋体" w:hAnsi="宋体" w:cs="Arial" w:hint="eastAsia"/>
                <w:b/>
                <w:bCs/>
                <w:sz w:val="24"/>
              </w:rPr>
              <w:t>高端装备制造：</w:t>
            </w:r>
            <w:r w:rsidRPr="00AE210D">
              <w:rPr>
                <w:rFonts w:ascii="宋体" w:hAnsi="宋体" w:cs="Arial" w:hint="eastAsia"/>
                <w:sz w:val="24"/>
              </w:rPr>
              <w:t>数智升级赋能，“两外一服”加速。以关键核心技术攻关推动装备产品不断迭代升级，持续强化全价值链本土化布局和数智赋能，加速从“中国制造”向“全球智造”的价值跃迁，全力打造高端装备研发平台和全球领先的装备产业高地。境外新签装备合同再翻番，外行业拓展成效显著，成功签署摩洛哥磷酸盐原矿破碎系列项目，全球9大技术装备服务中心建设稳步推进。</w:t>
            </w:r>
          </w:p>
          <w:p w14:paraId="0716F937" w14:textId="77777777" w:rsidR="00AE210D" w:rsidRDefault="00AE210D" w:rsidP="00AE210D">
            <w:pPr>
              <w:autoSpaceDE w:val="0"/>
              <w:autoSpaceDN w:val="0"/>
              <w:adjustRightInd w:val="0"/>
              <w:snapToGrid w:val="0"/>
              <w:spacing w:line="360" w:lineRule="auto"/>
              <w:ind w:firstLineChars="200" w:firstLine="482"/>
              <w:rPr>
                <w:rFonts w:ascii="宋体" w:hAnsi="宋体" w:cs="Arial" w:hint="eastAsia"/>
                <w:sz w:val="24"/>
              </w:rPr>
            </w:pPr>
            <w:r w:rsidRPr="00163D5D">
              <w:rPr>
                <w:rFonts w:ascii="宋体" w:hAnsi="宋体" w:cs="Arial" w:hint="eastAsia"/>
                <w:b/>
                <w:bCs/>
                <w:sz w:val="24"/>
              </w:rPr>
              <w:t>生产运营服务：</w:t>
            </w:r>
            <w:r w:rsidRPr="00AE210D">
              <w:rPr>
                <w:rFonts w:ascii="宋体" w:hAnsi="宋体" w:cs="Arial" w:hint="eastAsia"/>
                <w:sz w:val="24"/>
              </w:rPr>
              <w:t>聚焦全链服务，强化业务协同。全面对接客户全生命周期生产需求，形成“智能工厂+数字化矿山+专家系统”全场景解决方案，进一步增强客户粘性。深入挖掘产业链协同资源，聚焦客户需求，打造高附加值产品和服务，通过可量化、可感知的数字化价值案例，以点带面辐射全球市场。报告期，公司全球水泥工厂运维平台建设按期推进，数字化矿山及水泥工厂智能化实验室完成5条示范线推广，服务收入实现稳定增长。</w:t>
            </w:r>
          </w:p>
          <w:p w14:paraId="1025B646" w14:textId="5750FB92" w:rsidR="00AE210D" w:rsidRPr="00163D5D" w:rsidRDefault="00AE210D" w:rsidP="00AE210D">
            <w:pPr>
              <w:autoSpaceDE w:val="0"/>
              <w:autoSpaceDN w:val="0"/>
              <w:adjustRightInd w:val="0"/>
              <w:snapToGrid w:val="0"/>
              <w:spacing w:line="360" w:lineRule="auto"/>
              <w:ind w:firstLineChars="200" w:firstLine="482"/>
              <w:rPr>
                <w:rFonts w:ascii="宋体" w:hAnsi="宋体" w:cs="Arial" w:hint="eastAsia"/>
                <w:b/>
                <w:bCs/>
                <w:sz w:val="24"/>
              </w:rPr>
            </w:pPr>
            <w:r w:rsidRPr="00163D5D">
              <w:rPr>
                <w:rFonts w:ascii="宋体" w:hAnsi="宋体" w:cs="Arial" w:hint="eastAsia"/>
                <w:b/>
                <w:bCs/>
                <w:sz w:val="24"/>
              </w:rPr>
              <w:t>（三）科技创新引领发展，属地经营夯实根基</w:t>
            </w:r>
          </w:p>
          <w:p w14:paraId="0ACC3779" w14:textId="11CE4ACA" w:rsidR="00AA2F37" w:rsidRDefault="00AE210D" w:rsidP="00AE210D">
            <w:pPr>
              <w:autoSpaceDE w:val="0"/>
              <w:autoSpaceDN w:val="0"/>
              <w:adjustRightInd w:val="0"/>
              <w:snapToGrid w:val="0"/>
              <w:spacing w:line="360" w:lineRule="auto"/>
              <w:ind w:firstLineChars="200" w:firstLine="480"/>
              <w:rPr>
                <w:rFonts w:ascii="宋体" w:hAnsi="宋体" w:cs="Arial" w:hint="eastAsia"/>
                <w:sz w:val="24"/>
              </w:rPr>
            </w:pPr>
            <w:r w:rsidRPr="00AE210D">
              <w:rPr>
                <w:rFonts w:ascii="宋体" w:hAnsi="宋体" w:cs="Arial" w:hint="eastAsia"/>
                <w:sz w:val="24"/>
              </w:rPr>
              <w:t>上半年，公司持续强化关键核心技术攻关，增加高质量科技供给，提高应用场景针对性，加大水泥低碳、全氧燃烧、大宗固废处置等绿色技术装备的研发推广，除尘、脱硫、脱硝超净排放最新技术的示范应用，探索煤矸石梯级利用多技术路径系统解决方案，“水泥工程+绿能”系统解决方案在南非项目成功落地。推进属地价值链延伸发展，健全属地资源共享机制，强化产业协同和平台赋能，坚持合作共赢，以打造标杆项目带动国别市场、以做强国别市场辐射区域市场，持续稳定推进海外市场布局，实现境外合同、收入、人员同比大幅</w:t>
            </w:r>
            <w:r w:rsidRPr="00AE210D">
              <w:rPr>
                <w:rFonts w:ascii="宋体" w:hAnsi="宋体" w:cs="Arial" w:hint="eastAsia"/>
                <w:sz w:val="24"/>
              </w:rPr>
              <w:lastRenderedPageBreak/>
              <w:t>提升，国际化指数稳步增长。</w:t>
            </w:r>
          </w:p>
          <w:p w14:paraId="2CCB8E3C" w14:textId="0D462978" w:rsidR="00110E91" w:rsidRPr="00163D5D" w:rsidRDefault="00110E91" w:rsidP="00682DD0">
            <w:pPr>
              <w:autoSpaceDE w:val="0"/>
              <w:autoSpaceDN w:val="0"/>
              <w:adjustRightInd w:val="0"/>
              <w:snapToGrid w:val="0"/>
              <w:spacing w:line="360" w:lineRule="auto"/>
              <w:ind w:firstLineChars="200" w:firstLine="482"/>
              <w:rPr>
                <w:rFonts w:ascii="宋体" w:hAnsi="宋体" w:cs="Arial" w:hint="eastAsia"/>
                <w:b/>
                <w:bCs/>
                <w:sz w:val="24"/>
              </w:rPr>
            </w:pPr>
            <w:r w:rsidRPr="00163D5D">
              <w:rPr>
                <w:rFonts w:ascii="宋体" w:hAnsi="宋体" w:cs="Arial" w:hint="eastAsia"/>
                <w:b/>
                <w:bCs/>
                <w:sz w:val="24"/>
              </w:rPr>
              <w:t>未来展望：</w:t>
            </w:r>
          </w:p>
          <w:p w14:paraId="56238B43" w14:textId="77777777" w:rsidR="00845BFE" w:rsidRPr="00163D5D" w:rsidRDefault="00845BFE" w:rsidP="00682DD0">
            <w:pPr>
              <w:autoSpaceDE w:val="0"/>
              <w:autoSpaceDN w:val="0"/>
              <w:adjustRightInd w:val="0"/>
              <w:snapToGrid w:val="0"/>
              <w:spacing w:line="360" w:lineRule="auto"/>
              <w:ind w:firstLineChars="200" w:firstLine="482"/>
              <w:rPr>
                <w:rFonts w:ascii="宋体" w:hAnsi="宋体" w:cs="Arial" w:hint="eastAsia"/>
                <w:b/>
                <w:bCs/>
                <w:sz w:val="24"/>
              </w:rPr>
            </w:pPr>
            <w:r w:rsidRPr="00163D5D">
              <w:rPr>
                <w:rFonts w:ascii="宋体" w:hAnsi="宋体" w:cs="Arial" w:hint="eastAsia"/>
                <w:b/>
                <w:bCs/>
                <w:sz w:val="24"/>
              </w:rPr>
              <w:t>（一）</w:t>
            </w:r>
            <w:r w:rsidR="00110E91" w:rsidRPr="00163D5D">
              <w:rPr>
                <w:rFonts w:ascii="宋体" w:hAnsi="宋体" w:cs="Arial" w:hint="eastAsia"/>
                <w:b/>
                <w:bCs/>
                <w:sz w:val="24"/>
              </w:rPr>
              <w:t>行业趋势</w:t>
            </w:r>
          </w:p>
          <w:p w14:paraId="6EDA9C20" w14:textId="6AAB2D99" w:rsidR="00110E91" w:rsidRPr="007B6763" w:rsidRDefault="00110E91" w:rsidP="007B6763">
            <w:pPr>
              <w:autoSpaceDE w:val="0"/>
              <w:autoSpaceDN w:val="0"/>
              <w:adjustRightInd w:val="0"/>
              <w:snapToGrid w:val="0"/>
              <w:spacing w:line="360" w:lineRule="auto"/>
              <w:ind w:firstLineChars="200" w:firstLine="482"/>
              <w:rPr>
                <w:rFonts w:ascii="宋体" w:hAnsi="宋体" w:cs="Arial" w:hint="eastAsia"/>
                <w:sz w:val="24"/>
              </w:rPr>
            </w:pPr>
            <w:r w:rsidRPr="00163D5D">
              <w:rPr>
                <w:rFonts w:ascii="宋体" w:hAnsi="宋体" w:cs="Arial" w:hint="eastAsia"/>
                <w:b/>
                <w:bCs/>
                <w:sz w:val="24"/>
              </w:rPr>
              <w:t>从国际形势看，</w:t>
            </w:r>
            <w:r w:rsidR="00845BFE" w:rsidRPr="00845BFE">
              <w:rPr>
                <w:rFonts w:ascii="宋体" w:hAnsi="宋体" w:cs="Arial" w:hint="eastAsia"/>
                <w:sz w:val="24"/>
              </w:rPr>
              <w:t>全球经济或将面临更多下行压力，地缘政治冲突加剧冲击影响，“一带一路”倡议在全球范围的认同进一步加深，全球绿色转型处于重要窗口期</w:t>
            </w:r>
            <w:r w:rsidR="00845BFE">
              <w:rPr>
                <w:rFonts w:ascii="宋体" w:hAnsi="宋体" w:cs="Arial" w:hint="eastAsia"/>
                <w:sz w:val="24"/>
              </w:rPr>
              <w:t>；</w:t>
            </w:r>
            <w:r w:rsidR="007B6763" w:rsidRPr="00163D5D">
              <w:rPr>
                <w:rFonts w:ascii="宋体" w:hAnsi="宋体" w:cs="Arial" w:hint="eastAsia"/>
                <w:b/>
                <w:bCs/>
                <w:sz w:val="24"/>
              </w:rPr>
              <w:t>从国内形势看，</w:t>
            </w:r>
            <w:r w:rsidR="007B6763" w:rsidRPr="007B6763">
              <w:rPr>
                <w:rFonts w:ascii="宋体" w:hAnsi="宋体" w:cs="Arial" w:hint="eastAsia"/>
                <w:sz w:val="24"/>
              </w:rPr>
              <w:t>经济运行总体平稳、回升向好，高质量发展在平抑波动中展现出强大韧性和活力</w:t>
            </w:r>
            <w:r w:rsidR="007B6763">
              <w:rPr>
                <w:rFonts w:ascii="宋体" w:hAnsi="宋体" w:cs="Arial" w:hint="eastAsia"/>
                <w:sz w:val="24"/>
              </w:rPr>
              <w:t>；</w:t>
            </w:r>
            <w:r w:rsidR="007B6763" w:rsidRPr="00163D5D">
              <w:rPr>
                <w:rFonts w:ascii="宋体" w:hAnsi="宋体" w:cs="Arial" w:hint="eastAsia"/>
                <w:b/>
                <w:bCs/>
                <w:sz w:val="24"/>
              </w:rPr>
              <w:t>从</w:t>
            </w:r>
            <w:r w:rsidRPr="00163D5D">
              <w:rPr>
                <w:rFonts w:ascii="宋体" w:hAnsi="宋体" w:cs="Arial" w:hint="eastAsia"/>
                <w:b/>
                <w:bCs/>
                <w:sz w:val="24"/>
              </w:rPr>
              <w:t>行业</w:t>
            </w:r>
            <w:r w:rsidR="00A87664" w:rsidRPr="00163D5D">
              <w:rPr>
                <w:rFonts w:ascii="宋体" w:hAnsi="宋体" w:cs="Arial" w:hint="eastAsia"/>
                <w:b/>
                <w:bCs/>
                <w:sz w:val="24"/>
              </w:rPr>
              <w:t>形势</w:t>
            </w:r>
            <w:r w:rsidRPr="00163D5D">
              <w:rPr>
                <w:rFonts w:ascii="宋体" w:hAnsi="宋体" w:cs="Arial" w:hint="eastAsia"/>
                <w:b/>
                <w:bCs/>
                <w:sz w:val="24"/>
              </w:rPr>
              <w:t>看，</w:t>
            </w:r>
            <w:r w:rsidR="007B6763" w:rsidRPr="007B6763">
              <w:rPr>
                <w:rFonts w:ascii="宋体" w:hAnsi="宋体" w:cs="Arial" w:hint="eastAsia"/>
                <w:sz w:val="24"/>
              </w:rPr>
              <w:t>“绿色低碳、数字智能、可持续发展”已成为全球水泥行业的共识，水泥企业对新技术、新装备的需求持续释放</w:t>
            </w:r>
            <w:r w:rsidR="007B6763">
              <w:rPr>
                <w:rFonts w:ascii="宋体" w:hAnsi="宋体" w:cs="Arial" w:hint="eastAsia"/>
                <w:sz w:val="24"/>
              </w:rPr>
              <w:t>，同时，</w:t>
            </w:r>
            <w:r w:rsidR="007B6763" w:rsidRPr="007B6763">
              <w:rPr>
                <w:rFonts w:ascii="宋体" w:hAnsi="宋体" w:cs="Arial" w:hint="eastAsia"/>
                <w:sz w:val="24"/>
              </w:rPr>
              <w:t>雅江水电、新藏铁路等重大项目有望带动区域增量</w:t>
            </w:r>
            <w:r w:rsidR="007B6763">
              <w:rPr>
                <w:rFonts w:ascii="宋体" w:hAnsi="宋体" w:cs="Arial" w:hint="eastAsia"/>
                <w:sz w:val="24"/>
              </w:rPr>
              <w:t>。</w:t>
            </w:r>
          </w:p>
          <w:p w14:paraId="3241A621" w14:textId="2EC2410B" w:rsidR="00110E91" w:rsidRPr="00163D5D" w:rsidRDefault="005A4085" w:rsidP="00682DD0">
            <w:pPr>
              <w:autoSpaceDE w:val="0"/>
              <w:autoSpaceDN w:val="0"/>
              <w:adjustRightInd w:val="0"/>
              <w:snapToGrid w:val="0"/>
              <w:spacing w:line="360" w:lineRule="auto"/>
              <w:ind w:firstLineChars="200" w:firstLine="482"/>
              <w:rPr>
                <w:rFonts w:ascii="宋体" w:hAnsi="宋体" w:cs="Arial" w:hint="eastAsia"/>
                <w:b/>
                <w:bCs/>
                <w:sz w:val="24"/>
              </w:rPr>
            </w:pPr>
            <w:r w:rsidRPr="00163D5D">
              <w:rPr>
                <w:rFonts w:ascii="宋体" w:hAnsi="宋体" w:cs="Arial" w:hint="eastAsia"/>
                <w:b/>
                <w:bCs/>
                <w:sz w:val="24"/>
              </w:rPr>
              <w:t>（二）业务展望</w:t>
            </w:r>
          </w:p>
          <w:p w14:paraId="2FAB74E3" w14:textId="5D661A20" w:rsidR="005A4085" w:rsidRPr="005A4085" w:rsidRDefault="005A4085" w:rsidP="005A4085">
            <w:pPr>
              <w:autoSpaceDE w:val="0"/>
              <w:autoSpaceDN w:val="0"/>
              <w:adjustRightInd w:val="0"/>
              <w:snapToGrid w:val="0"/>
              <w:spacing w:line="360" w:lineRule="auto"/>
              <w:ind w:firstLineChars="200" w:firstLine="482"/>
              <w:rPr>
                <w:rFonts w:ascii="宋体" w:hAnsi="宋体" w:cs="Arial" w:hint="eastAsia"/>
                <w:sz w:val="24"/>
              </w:rPr>
            </w:pPr>
            <w:r>
              <w:rPr>
                <w:rFonts w:ascii="宋体" w:hAnsi="宋体" w:cs="Arial" w:hint="eastAsia"/>
                <w:b/>
                <w:bCs/>
                <w:sz w:val="24"/>
              </w:rPr>
              <w:t>工程技术服务：</w:t>
            </w:r>
            <w:r w:rsidRPr="00163D5D">
              <w:rPr>
                <w:rFonts w:ascii="宋体" w:hAnsi="宋体" w:cs="Arial" w:hint="eastAsia"/>
                <w:sz w:val="24"/>
              </w:rPr>
              <w:t>加快“思维转变”，</w:t>
            </w:r>
            <w:r w:rsidRPr="005A4085">
              <w:rPr>
                <w:rFonts w:ascii="宋体" w:hAnsi="宋体" w:cs="Arial" w:hint="eastAsia"/>
                <w:sz w:val="24"/>
              </w:rPr>
              <w:t>从“工程项目思维”向“产业经营思维”转变，从关注单一项目履约，转向关注全生命周期系统服务。</w:t>
            </w:r>
            <w:r w:rsidRPr="00163D5D">
              <w:rPr>
                <w:rFonts w:ascii="宋体" w:hAnsi="宋体" w:cs="Arial" w:hint="eastAsia"/>
                <w:sz w:val="24"/>
              </w:rPr>
              <w:t>强化“两端延伸”</w:t>
            </w:r>
            <w:r w:rsidRPr="005A4085">
              <w:rPr>
                <w:rFonts w:ascii="宋体" w:hAnsi="宋体" w:cs="Arial" w:hint="eastAsia"/>
                <w:sz w:val="24"/>
              </w:rPr>
              <w:t>，价值链前端提高自主技术供给和研发创新能力、提供差异化定制服务方案，价值链后端加快建立全球服务网络，为客户提供更快更好的服务。</w:t>
            </w:r>
            <w:r w:rsidRPr="00163D5D">
              <w:rPr>
                <w:rFonts w:ascii="宋体" w:hAnsi="宋体" w:cs="Arial" w:hint="eastAsia"/>
                <w:sz w:val="24"/>
              </w:rPr>
              <w:t>坚持“两端发力”</w:t>
            </w:r>
            <w:r w:rsidRPr="005A4085">
              <w:rPr>
                <w:rFonts w:ascii="宋体" w:hAnsi="宋体" w:cs="Arial" w:hint="eastAsia"/>
                <w:sz w:val="24"/>
              </w:rPr>
              <w:t>，强化产业链各个核心环节的协同发展，积极探索新的业务模式，提供一揽子综合解决方案。</w:t>
            </w:r>
          </w:p>
          <w:p w14:paraId="4F1F0FD9" w14:textId="72640AAF" w:rsidR="005A4085" w:rsidRDefault="00CA5E83" w:rsidP="00CA5E83">
            <w:pPr>
              <w:autoSpaceDE w:val="0"/>
              <w:autoSpaceDN w:val="0"/>
              <w:adjustRightInd w:val="0"/>
              <w:snapToGrid w:val="0"/>
              <w:spacing w:line="360" w:lineRule="auto"/>
              <w:ind w:firstLineChars="200" w:firstLine="482"/>
              <w:rPr>
                <w:rFonts w:ascii="宋体" w:hAnsi="宋体" w:cs="Arial" w:hint="eastAsia"/>
                <w:sz w:val="24"/>
              </w:rPr>
            </w:pPr>
            <w:r w:rsidRPr="00163D5D">
              <w:rPr>
                <w:rFonts w:ascii="宋体" w:hAnsi="宋体" w:cs="Arial" w:hint="eastAsia"/>
                <w:b/>
                <w:bCs/>
                <w:sz w:val="24"/>
              </w:rPr>
              <w:t>高端装备制造：</w:t>
            </w:r>
            <w:r w:rsidRPr="00CA5E83">
              <w:rPr>
                <w:rFonts w:ascii="宋体" w:hAnsi="宋体" w:cs="Arial" w:hint="eastAsia"/>
                <w:sz w:val="24"/>
              </w:rPr>
              <w:t>加快推动“两外一服”落地，形成装备与工程双向联动，打造全球领先的高端装备平台。不断完善原创技术供给能力。加快关键技术及装备研发应用,打造一批先进示范工程和验证平台,将装备智造园打造成为全球标杆基地。强化战略层面对“两外一服”的顶层设计，提升两外收入占比。大力推进全球营销网络和服务中心建设。扎实做好专业化整合融合，充分释放规模效应和协同价值。大力践行“内生增长+投资并购+资本运作”多条腿走路理念,聚焦产业链关键核心环节实施延链补链强链。</w:t>
            </w:r>
          </w:p>
          <w:p w14:paraId="4E76768D" w14:textId="67614062" w:rsidR="00CA5E83" w:rsidRPr="00CA5E83" w:rsidRDefault="00CA5E83" w:rsidP="00CA5E83">
            <w:pPr>
              <w:autoSpaceDE w:val="0"/>
              <w:autoSpaceDN w:val="0"/>
              <w:adjustRightInd w:val="0"/>
              <w:snapToGrid w:val="0"/>
              <w:spacing w:line="360" w:lineRule="auto"/>
              <w:ind w:firstLineChars="200" w:firstLine="482"/>
              <w:rPr>
                <w:rFonts w:ascii="宋体" w:hAnsi="宋体" w:cs="Arial" w:hint="eastAsia"/>
                <w:sz w:val="24"/>
              </w:rPr>
            </w:pPr>
            <w:r w:rsidRPr="00163D5D">
              <w:rPr>
                <w:rFonts w:ascii="宋体" w:hAnsi="宋体" w:cs="Arial" w:hint="eastAsia"/>
                <w:b/>
                <w:bCs/>
                <w:sz w:val="24"/>
              </w:rPr>
              <w:t>生产运营服务：</w:t>
            </w:r>
            <w:r w:rsidRPr="00CA5E83">
              <w:rPr>
                <w:rFonts w:ascii="宋体" w:hAnsi="宋体" w:cs="Arial" w:hint="eastAsia"/>
                <w:sz w:val="24"/>
              </w:rPr>
              <w:t>以“EPC+数智+运维”集成服务模式，提供定制化综合解决方案，进一步增强客户粘性，提升EPC向运维转化率</w:t>
            </w:r>
            <w:r>
              <w:rPr>
                <w:rFonts w:ascii="宋体" w:hAnsi="宋体" w:cs="Arial" w:hint="eastAsia"/>
                <w:sz w:val="24"/>
              </w:rPr>
              <w:t>。</w:t>
            </w:r>
            <w:r w:rsidRPr="00CA5E83">
              <w:rPr>
                <w:rFonts w:ascii="宋体" w:hAnsi="宋体" w:cs="Arial" w:hint="eastAsia"/>
                <w:sz w:val="24"/>
              </w:rPr>
              <w:t>强化区域资源共享，统一智慧运维平台标准，降低成本，打造标准化运维服务模式和标杆示范项目。构建“大运维”服务生态，加大向综合服务商转型力度，构建覆盖多领域的集成服务体系。</w:t>
            </w:r>
          </w:p>
          <w:p w14:paraId="599F7376" w14:textId="77777777" w:rsidR="003B4658" w:rsidRDefault="00000000">
            <w:pPr>
              <w:autoSpaceDE w:val="0"/>
              <w:autoSpaceDN w:val="0"/>
              <w:adjustRightInd w:val="0"/>
              <w:snapToGrid w:val="0"/>
              <w:spacing w:line="360" w:lineRule="auto"/>
              <w:rPr>
                <w:rFonts w:ascii="宋体" w:hAnsi="宋体" w:cs="Arial" w:hint="eastAsia"/>
                <w:b/>
                <w:sz w:val="24"/>
              </w:rPr>
            </w:pPr>
            <w:r>
              <w:rPr>
                <w:rFonts w:ascii="宋体" w:hAnsi="宋体" w:cs="Arial" w:hint="eastAsia"/>
                <w:b/>
                <w:sz w:val="24"/>
              </w:rPr>
              <w:lastRenderedPageBreak/>
              <w:t>二、互动交流</w:t>
            </w:r>
          </w:p>
          <w:p w14:paraId="20F7EA97" w14:textId="77777777" w:rsidR="003B4658" w:rsidRDefault="00000000">
            <w:pPr>
              <w:autoSpaceDE w:val="0"/>
              <w:autoSpaceDN w:val="0"/>
              <w:adjustRightInd w:val="0"/>
              <w:snapToGrid w:val="0"/>
              <w:spacing w:line="360" w:lineRule="auto"/>
              <w:ind w:firstLineChars="200" w:firstLine="482"/>
              <w:rPr>
                <w:rFonts w:ascii="宋体" w:hAnsi="宋体" w:hint="eastAsia"/>
                <w:b/>
                <w:bCs/>
                <w:sz w:val="24"/>
              </w:rPr>
            </w:pPr>
            <w:r>
              <w:rPr>
                <w:rFonts w:ascii="宋体" w:hAnsi="宋体" w:hint="eastAsia"/>
                <w:b/>
                <w:bCs/>
                <w:sz w:val="24"/>
              </w:rPr>
              <w:t>1.</w:t>
            </w:r>
            <w:r>
              <w:rPr>
                <w:rFonts w:ascii="siyuan" w:hAnsi="siyuan"/>
                <w:color w:val="00040D"/>
                <w:szCs w:val="21"/>
                <w:shd w:val="clear" w:color="auto" w:fill="FFFFFF"/>
              </w:rPr>
              <w:t xml:space="preserve"> </w:t>
            </w:r>
            <w:r>
              <w:rPr>
                <w:rFonts w:ascii="宋体" w:hAnsi="宋体"/>
                <w:b/>
                <w:bCs/>
                <w:sz w:val="24"/>
              </w:rPr>
              <w:t>请问公司2025年上半年营收情况如何？是否完成预期?</w:t>
            </w:r>
          </w:p>
          <w:p w14:paraId="36E6A002" w14:textId="77777777" w:rsidR="003B4658" w:rsidRDefault="00000000">
            <w:pPr>
              <w:autoSpaceDE w:val="0"/>
              <w:autoSpaceDN w:val="0"/>
              <w:adjustRightInd w:val="0"/>
              <w:snapToGrid w:val="0"/>
              <w:spacing w:line="360" w:lineRule="auto"/>
              <w:ind w:firstLineChars="200" w:firstLine="480"/>
              <w:rPr>
                <w:rFonts w:ascii="宋体" w:hAnsi="宋体" w:hint="eastAsia"/>
                <w:b/>
                <w:bCs/>
                <w:sz w:val="24"/>
              </w:rPr>
            </w:pPr>
            <w:r>
              <w:rPr>
                <w:rFonts w:ascii="宋体" w:hAnsi="宋体" w:hint="eastAsia"/>
                <w:sz w:val="24"/>
              </w:rPr>
              <w:t>答：</w:t>
            </w:r>
            <w:r>
              <w:rPr>
                <w:rFonts w:ascii="宋体" w:hAnsi="宋体"/>
                <w:sz w:val="24"/>
              </w:rPr>
              <w:t>2025年上半年，公司坚持“稳中求进、以进促稳”工作总基调，牢牢把握高质量发展主题，紧盯“一利五率”，锚定“一增一稳四提升”目标，积极克服内需不足、外需不稳等困难挑战，强化战略引领、业务协同及资源共享，赋能全球市场拓展和商业模式创新，行业领先地位进一步巩固，经营业绩实现稳健增长。报告期，公司实现新签合同额411.64亿元，同比增长11%。截至报告期末，公司有效结转合同额620.37亿元，较上一报告期末增长5.94%，为公司未来发展奠定了坚实基础。报告期，公司实现营业收入216.76亿元，同比增长3.74%；实现归属于上市公司股东的净利润14.21亿元，同比增长1.56%</w:t>
            </w:r>
            <w:r>
              <w:rPr>
                <w:rFonts w:ascii="宋体" w:hAnsi="宋体" w:hint="eastAsia"/>
                <w:sz w:val="24"/>
              </w:rPr>
              <w:t>。</w:t>
            </w:r>
          </w:p>
          <w:p w14:paraId="080ACA1A" w14:textId="77777777" w:rsidR="003B4658" w:rsidRDefault="00000000">
            <w:pPr>
              <w:autoSpaceDE w:val="0"/>
              <w:autoSpaceDN w:val="0"/>
              <w:adjustRightInd w:val="0"/>
              <w:snapToGrid w:val="0"/>
              <w:spacing w:line="360" w:lineRule="auto"/>
              <w:ind w:firstLineChars="200" w:firstLine="482"/>
              <w:rPr>
                <w:rFonts w:ascii="宋体" w:hAnsi="宋体" w:hint="eastAsia"/>
                <w:b/>
                <w:bCs/>
                <w:sz w:val="24"/>
              </w:rPr>
            </w:pPr>
            <w:r>
              <w:rPr>
                <w:rFonts w:ascii="宋体" w:hAnsi="宋体" w:hint="eastAsia"/>
                <w:b/>
                <w:bCs/>
                <w:sz w:val="24"/>
              </w:rPr>
              <w:t>2.</w:t>
            </w:r>
            <w:r>
              <w:rPr>
                <w:rFonts w:ascii="siyuan" w:hAnsi="siyuan"/>
                <w:color w:val="00040D"/>
                <w:szCs w:val="21"/>
                <w:shd w:val="clear" w:color="auto" w:fill="FFFFFF"/>
              </w:rPr>
              <w:t xml:space="preserve"> </w:t>
            </w:r>
            <w:r>
              <w:rPr>
                <w:rFonts w:ascii="宋体" w:hAnsi="宋体"/>
                <w:b/>
                <w:bCs/>
                <w:sz w:val="24"/>
              </w:rPr>
              <w:t>关于国务院8月25日印发的《关于推进绿色低碳转型加强全国碳市场建设的意见》会对公司经营产生哪些影响？</w:t>
            </w:r>
          </w:p>
          <w:p w14:paraId="1566CB51" w14:textId="77777777" w:rsidR="003B4658" w:rsidRDefault="00000000">
            <w:pPr>
              <w:autoSpaceDE w:val="0"/>
              <w:autoSpaceDN w:val="0"/>
              <w:adjustRightInd w:val="0"/>
              <w:snapToGrid w:val="0"/>
              <w:spacing w:line="360" w:lineRule="auto"/>
              <w:ind w:firstLineChars="200" w:firstLine="480"/>
              <w:rPr>
                <w:rFonts w:ascii="宋体" w:hAnsi="宋体" w:hint="eastAsia"/>
                <w:sz w:val="24"/>
              </w:rPr>
            </w:pPr>
            <w:r>
              <w:rPr>
                <w:rFonts w:ascii="宋体" w:hAnsi="宋体" w:hint="eastAsia"/>
                <w:sz w:val="24"/>
              </w:rPr>
              <w:t>答：</w:t>
            </w:r>
            <w:r>
              <w:rPr>
                <w:rFonts w:ascii="宋体" w:hAnsi="宋体"/>
                <w:sz w:val="24"/>
              </w:rPr>
              <w:t>这份意见明确，碳市场是利用市场机制积极应对气候变化、加快经济社会发展全面绿色转型的重要政策工具。目前，我国已建立重点排放单位履行强制减排责任的全国碳排放权交易市场和激励社会自主减排的全国温室气体自愿减排交易市场。水泥行业纳入碳市场管理，可通过“激励先进、约束落后”加快出清落后产能，推动行业从“高碳依赖”传统路径向“低碳竞争力”新赛道转变，加快低碳技术创新和应用，助力走出“内卷式”竞争模式，不断提高行业发展的“含金量、含新量、含绿量”。 一方面，中材国际作为推动全球水泥行业绿色低碳发展的系统集成服务商，依托强大科技创新能力和海量应用场景，形成了从试验到应用、从源头到末端的全产业链条、全生命周期减碳脱碳路线，上述文件的出台或将加速淘汰低效产能，优化行业格局，有助于公司绿色低碳技术的推广。另一方面，公司始终将绿色发展融入企业战略，积极响应国家“双碳”目标，通过技术创新推动清洁生产，构建绿色低碳、可持续的发展模式。感谢您对公司的关注。 中材国际在水泥行业拥有大量绿色低碳项目的成功实践，未来，公司将积极赋能国内水泥行业绿色低碳转型，推动水泥行业碳达峰、碳中和的落地实现。</w:t>
            </w:r>
          </w:p>
          <w:p w14:paraId="61014D20" w14:textId="77777777" w:rsidR="003B4658" w:rsidRDefault="00000000">
            <w:pPr>
              <w:autoSpaceDE w:val="0"/>
              <w:autoSpaceDN w:val="0"/>
              <w:adjustRightInd w:val="0"/>
              <w:snapToGrid w:val="0"/>
              <w:spacing w:line="360" w:lineRule="auto"/>
              <w:ind w:firstLineChars="200" w:firstLine="482"/>
              <w:rPr>
                <w:rFonts w:ascii="宋体" w:hAnsi="宋体" w:cs="Arial" w:hint="eastAsia"/>
                <w:b/>
                <w:bCs/>
                <w:sz w:val="24"/>
              </w:rPr>
            </w:pPr>
            <w:r>
              <w:rPr>
                <w:rFonts w:ascii="宋体" w:hAnsi="宋体" w:cs="Arial" w:hint="eastAsia"/>
                <w:b/>
                <w:bCs/>
                <w:sz w:val="24"/>
              </w:rPr>
              <w:t>3.</w:t>
            </w:r>
            <w:r>
              <w:rPr>
                <w:rFonts w:ascii="siyuan" w:hAnsi="siyuan"/>
                <w:color w:val="00040D"/>
                <w:szCs w:val="21"/>
                <w:shd w:val="clear" w:color="auto" w:fill="FFFFFF"/>
              </w:rPr>
              <w:t xml:space="preserve"> </w:t>
            </w:r>
            <w:r>
              <w:rPr>
                <w:rFonts w:ascii="宋体" w:hAnsi="宋体" w:cs="Arial"/>
                <w:b/>
                <w:bCs/>
                <w:sz w:val="24"/>
              </w:rPr>
              <w:t>公司在雅下水电站、新藏铁路等国家级重点工程建设中均颗粒无收</w:t>
            </w:r>
            <w:r>
              <w:rPr>
                <w:rFonts w:ascii="宋体" w:hAnsi="宋体" w:cs="Arial"/>
                <w:b/>
                <w:bCs/>
                <w:sz w:val="24"/>
              </w:rPr>
              <w:lastRenderedPageBreak/>
              <w:t>吗？</w:t>
            </w:r>
          </w:p>
          <w:p w14:paraId="09F8A403" w14:textId="36B4E882"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答：</w:t>
            </w:r>
            <w:r>
              <w:rPr>
                <w:rFonts w:ascii="宋体" w:hAnsi="宋体" w:cs="Arial"/>
                <w:sz w:val="24"/>
              </w:rPr>
              <w:t>中材国际是全球最大的水泥技术装备工程集成服务商，是全球水泥技术装备及工程服务市场唯一具有完整产业链的企业，拥有覆盖矿山开采和水泥生产线技术研发、数字设计、智能制造、智慧建设、智慧运维、售后服务的完整产业链资源、专业人才队伍和系统解决方案。公司拥有国际领先的自主知识产权的新型干法水泥生产线技术以及完整的水泥技术装备工程“全产业链”资源，为客户提供矿山开采和水泥生产线技术研发、数字设计、智能制造、智慧建设、智慧运维、售后服务全过程的系统集成服务，多年来，公司与西藏建工建材集团、华新水泥、祁连山水泥等所属的藏区水泥建材企业在工程技术服务业务方面保持了良好合作，公司在高海拔等复杂地质条件建设领域具有独特优势，承建的日喀则雅曲项目获得“最高海拔的水泥生产线”吉尼斯世界纪录称号。雅鲁藏布江下游水电站工程开工建设目前未对公司产生重大影响，公司高度重视并积极跟进国家重大工程、国家战略领域市场需求，重点跟踪优质项目机会；加强全产业链协同，深化现有合作，升维战略合作，未来将持续发挥公司水泥技术工程服务全产业链优势，积极拓展相关业务。公司将密切关注相关市场机遇</w:t>
            </w:r>
            <w:r>
              <w:rPr>
                <w:rFonts w:ascii="宋体" w:hAnsi="宋体" w:cs="Arial" w:hint="eastAsia"/>
                <w:sz w:val="24"/>
              </w:rPr>
              <w:t>。</w:t>
            </w:r>
          </w:p>
          <w:p w14:paraId="6FC0262F" w14:textId="77777777" w:rsidR="003B4658" w:rsidRDefault="00000000">
            <w:pPr>
              <w:autoSpaceDE w:val="0"/>
              <w:autoSpaceDN w:val="0"/>
              <w:adjustRightInd w:val="0"/>
              <w:snapToGrid w:val="0"/>
              <w:spacing w:line="360" w:lineRule="auto"/>
              <w:ind w:firstLineChars="200" w:firstLine="482"/>
              <w:rPr>
                <w:rFonts w:ascii="宋体" w:hAnsi="宋体" w:cs="Arial" w:hint="eastAsia"/>
                <w:b/>
                <w:bCs/>
                <w:sz w:val="24"/>
              </w:rPr>
            </w:pPr>
            <w:r>
              <w:rPr>
                <w:rFonts w:ascii="宋体" w:hAnsi="宋体" w:cs="Arial" w:hint="eastAsia"/>
                <w:b/>
                <w:bCs/>
                <w:sz w:val="24"/>
              </w:rPr>
              <w:t>4. 公司应收账款及合同资产有所增长，请问公司对应收账款及合同资产主要有哪些管控措施？</w:t>
            </w:r>
          </w:p>
          <w:p w14:paraId="3985D767"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答：公司两金规模受行业特点、业务模式及客户结算周期等多种因素影响。报告期，国内下游行业景气度及部分业主融资进度一定程度上影响了收入结算进度，公司应收账款及合同资产呈上升趋势。公司管理层高度重视，并确立了以下七项重点管控举措：</w:t>
            </w:r>
          </w:p>
          <w:p w14:paraId="5EA56DD9"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一是强化组织保障：公司已成立由董事长为第一责任人，相关领导和部门共同组成的“两金”压降工作组牵头“两金”压降工作。</w:t>
            </w:r>
          </w:p>
          <w:p w14:paraId="0B73F919"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二是严格考核机制：公司管理制度将“两金”压降成效与所属企业领导班子薪酬相挂钩、强匹配，并将“两金”压降目标纳入各单位考核目标，实现全级次100%覆盖，并严格落实考核机制，推动挖潜增效。</w:t>
            </w:r>
          </w:p>
          <w:p w14:paraId="7B27F0B2"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三是持续跟踪通报：在月度会上持续对所属单位压降情况进行通报，适时</w:t>
            </w:r>
            <w:r>
              <w:rPr>
                <w:rFonts w:ascii="宋体" w:hAnsi="宋体" w:cs="Arial" w:hint="eastAsia"/>
                <w:sz w:val="24"/>
              </w:rPr>
              <w:lastRenderedPageBreak/>
              <w:t>召开专题会议、对压降不力的单位进行专题调研，剖析原因、制定措施、督导落实。</w:t>
            </w:r>
          </w:p>
          <w:p w14:paraId="4649DAD8"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四是开展内部协同：对于长账龄、回收难度较大的款项，后续公司会进一步利用好司库等系统，发挥内部协同作用，重点梳理应收应付双挂的情况，协调相关单位探索通过三方抵债等方式进行压降。</w:t>
            </w:r>
          </w:p>
          <w:p w14:paraId="1A5D65D1"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五是保持“三务”联动：公司已建立了业务、法务、财务“三务”联动机制，持续强化客户信用分级管理、严控高风险业务以及强化法律清收等回款管理，下半年还将持续保持“三务”联动，共享信息、共商措施。</w:t>
            </w:r>
          </w:p>
          <w:p w14:paraId="0C17B222"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六是各单位具体落实：根据实际业务情况制定针对性的压降目标与措施，重点跟踪关键客户，强化动态监测和预警，制定催收计划，加强沟通协作，及时落实结算、收款工作。</w:t>
            </w:r>
          </w:p>
          <w:p w14:paraId="04198677"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七是纪委审计监督：公司审计部持续加强对重点子企业“两金”压降的审计检查，纪委巡察部门继续发挥监督作用。</w:t>
            </w:r>
          </w:p>
          <w:p w14:paraId="62483AFA"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公司会持续将应收账款与合同资产管控作为重点工作，为公司高质量发展保驾护航。</w:t>
            </w:r>
          </w:p>
          <w:p w14:paraId="080B680F" w14:textId="77777777" w:rsidR="003B4658" w:rsidRDefault="00000000">
            <w:pPr>
              <w:autoSpaceDE w:val="0"/>
              <w:autoSpaceDN w:val="0"/>
              <w:adjustRightInd w:val="0"/>
              <w:snapToGrid w:val="0"/>
              <w:spacing w:line="360" w:lineRule="auto"/>
              <w:ind w:firstLineChars="200" w:firstLine="482"/>
              <w:rPr>
                <w:rFonts w:ascii="宋体" w:hAnsi="宋体" w:cs="Arial" w:hint="eastAsia"/>
                <w:b/>
                <w:bCs/>
                <w:sz w:val="24"/>
              </w:rPr>
            </w:pPr>
            <w:r>
              <w:rPr>
                <w:rFonts w:ascii="宋体" w:hAnsi="宋体" w:cs="Arial" w:hint="eastAsia"/>
                <w:b/>
                <w:bCs/>
                <w:sz w:val="24"/>
              </w:rPr>
              <w:t>5. 十四五期间，公司经营业绩持续增长。公司对于十四五期间取得的优异成绩有哪些经验总结？以及对“十五五”发展有哪些期待展望？</w:t>
            </w:r>
          </w:p>
          <w:p w14:paraId="38A3B5C1"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答：“十四五”期间，在各位股东的鼎力支持和信任鞭策下，在上级单位的正确领导和大力支持下，在全体职工的凝心聚力和砥砺奋进下，中材国际实现了三个方面的转变。主要包括：</w:t>
            </w:r>
          </w:p>
          <w:p w14:paraId="7B8090B1"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一是跨越发展，跳出发展平台期。“十四五”初期，公司营收225亿，利总近14亿。“十四五”战略确立后，经过四年多努力，公司实现营收翻番，利总倍增，复合增长率分别达到了20%和29%，成功实现了从发展平台期到快速发展期的转变。</w:t>
            </w:r>
          </w:p>
          <w:p w14:paraId="0E3BBF81"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二是全链整合，巩固行业竞争优势。“十四五”期间，公司聚焦工程、装备、运维三大主业，进行了相关重组，完成了“全产业链”资源的深度整合，进一步提升核心竞争力。通过技术突破持续赋能产业跃升，装备、运维业务规模稳步扩大，截至2025年6月末，两项业务合计收入占比40%，毛利占比达48%，新签</w:t>
            </w:r>
            <w:r>
              <w:rPr>
                <w:rFonts w:ascii="宋体" w:hAnsi="宋体" w:cs="Arial" w:hint="eastAsia"/>
                <w:sz w:val="24"/>
              </w:rPr>
              <w:lastRenderedPageBreak/>
              <w:t>合同占比达31%，成功实现从单一水泥工程总包商向系统集成服务商的转变。</w:t>
            </w:r>
          </w:p>
          <w:p w14:paraId="252E6C3D"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三是战略提升,培育增长新动能。打造高端装备、运维服务、数字智能、绿能环保四大专业化平台，培育新的利润增长点，逐步实现从单一业务向多条增长曲线的转变。</w:t>
            </w:r>
          </w:p>
          <w:p w14:paraId="00FB38BB"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回望“十四五”，我们取得了优异的成绩，同时，也清醒地看到，公司目前仍存在整合融合、业务转型成效尚未完全显现，新增长点培育发展迟缓等问题，这些问题会在“十五五”期间重点提升。</w:t>
            </w:r>
          </w:p>
          <w:p w14:paraId="40BC05DF"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关于“十五五”规划，公司从2024年底开始谋划部署，期间召开战略规划系列研讨会，集团和股份领导多次莅临指导，外部董事、独立董事积极建言献策，外部专业咨询机构保驾护航。经过多方充分研讨，已经形成了初步发展思路：公司会继续秉持稳中求进工作总基调，推动业绩向上、结构向优、质效向好，全面融入集团产业布局，作为集团海外再造先锋官，在集团海外再造中发挥更大的作用；建强“十五五”战略科技力量，创新是发展第一动力，我们要增加高质量科技供给，扎实推动科技创新和产业创新深度融合，以新产业、新市场打开增量空间；坚持发展速度与发展质量并重，强基固本，夯实高质量发展根基，奋力实现新一轮跨越发展。</w:t>
            </w:r>
          </w:p>
          <w:p w14:paraId="083A0EBD"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目前公司“十五五”战略仍在讨论制定中，正式发布后会再向资本市场进行全面解读，欢迎广大投资者持续关注。</w:t>
            </w:r>
          </w:p>
          <w:p w14:paraId="3654159E" w14:textId="77777777" w:rsidR="003B4658" w:rsidRDefault="00000000">
            <w:pPr>
              <w:autoSpaceDE w:val="0"/>
              <w:autoSpaceDN w:val="0"/>
              <w:adjustRightInd w:val="0"/>
              <w:snapToGrid w:val="0"/>
              <w:spacing w:line="360" w:lineRule="auto"/>
              <w:ind w:firstLineChars="200" w:firstLine="482"/>
              <w:rPr>
                <w:rFonts w:ascii="宋体" w:hAnsi="宋体" w:cs="Arial" w:hint="eastAsia"/>
                <w:b/>
                <w:bCs/>
                <w:sz w:val="24"/>
              </w:rPr>
            </w:pPr>
            <w:r>
              <w:rPr>
                <w:rFonts w:ascii="宋体" w:hAnsi="宋体" w:cs="Arial" w:hint="eastAsia"/>
                <w:b/>
                <w:bCs/>
                <w:sz w:val="24"/>
              </w:rPr>
              <w:t>6. 上半年生产运营服务业务收入保持高增，但境内外订单均呈下滑趋势，请公司对运维业务未来发展进行展望？</w:t>
            </w:r>
          </w:p>
          <w:p w14:paraId="52CE27A3"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答：运维业务是公司战略的重要支撑，公司运维业务目前已经形成一定的规模优势，并进一步促进规模优势转化成价值优势。</w:t>
            </w:r>
          </w:p>
          <w:p w14:paraId="49D37EDE"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在水泥工厂运维方面，公司将重点推动业务“由点及面”发展，通过推广“EPC+数智+运维”集成服务模式，打造标准化、智能化的运维服务示范；围绕客户需求，形成区域规模化发展范式；坚持存量与增量市场并重，通过绿智改造提升，推动水泥工厂运维存量优化和增量拓展；强化区域资源共享和协同，打造智能运维平台，通过数字化、智能化技术应用，降低运营成本，增强客户粘度，构建“大运维”服务生态，形成全球联动的运维服务网络。</w:t>
            </w:r>
          </w:p>
          <w:p w14:paraId="51B6DEA4"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lastRenderedPageBreak/>
              <w:t>在矿山运维方面，公司将在巩固传统业务优势的基础之上，进一步完善核心能力和专业化人才队伍，从新签合同看，境外矿山业务量稳步增长，另外，持续推进业务模式创新，拓展“采选一体”模式，加大“两外”拓展力度和步伐，构建统一的矿山运维品牌和业务发展体系。</w:t>
            </w:r>
          </w:p>
          <w:p w14:paraId="6F882B2B"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此外，公司将提升矿山业务发展的战略视野，立足中国建材集团非金属材料制造及相关资本投资公司的战略定位，结合公司战略发展目标和全球业务布局，系统推进全链条矿山业务发展，充分发挥中材矿山、装备集团及工程企业综合优势和能力，发挥全球属地化经营的优势，构建覆盖矿山技术与装备研发、矿山工程总承包及运维服务等领域的核心业务架构，打造一体化矿山业务生态。</w:t>
            </w:r>
          </w:p>
          <w:p w14:paraId="55ECF88C"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公司已经初步构建起覆盖水泥工程、矿山、数智、绿能、环保等多领域的集成服务体系，未来将持续强化技术创新和内部协同，推出“运维+技改”“运维+供应链”等增值产品服务，锁定长期服务价值，扩大运维业务规模，打造全产业链一站式服务方案，加快推进向综合服务商的战略转型。</w:t>
            </w:r>
          </w:p>
          <w:p w14:paraId="7F07EA4C" w14:textId="77777777" w:rsidR="003B4658" w:rsidRDefault="00000000">
            <w:pPr>
              <w:autoSpaceDE w:val="0"/>
              <w:autoSpaceDN w:val="0"/>
              <w:adjustRightInd w:val="0"/>
              <w:snapToGrid w:val="0"/>
              <w:spacing w:line="360" w:lineRule="auto"/>
              <w:ind w:firstLineChars="200" w:firstLine="482"/>
              <w:rPr>
                <w:rFonts w:ascii="宋体" w:hAnsi="宋体" w:cs="Arial" w:hint="eastAsia"/>
                <w:b/>
                <w:bCs/>
                <w:sz w:val="24"/>
              </w:rPr>
            </w:pPr>
            <w:r>
              <w:rPr>
                <w:rFonts w:ascii="宋体" w:hAnsi="宋体" w:cs="Arial" w:hint="eastAsia"/>
                <w:b/>
                <w:bCs/>
                <w:sz w:val="24"/>
              </w:rPr>
              <w:t>7. 上半年公司装备业务订单恢复增长，境外订单及境外收入保持高增，公司对未来装备业务发展有何种规划？</w:t>
            </w:r>
          </w:p>
          <w:p w14:paraId="6DB464D6"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答：今年上半年，公司装备业务坚持“向新求质”，以关键核心技术攻关推动装备产品不断迭代升级，持续强化全价值链本土化布局，高端装备智造园全面投运，装备智能制造工业互联网平台在智造园全面落地，全力打造高端装备研发平台和全球领先的装备产业高地。“两外一服”战略深化落地，外延式发展成效显著。高端装备境外业务收入占比提升至51%、装备外行业收入占比达37%，全球9大技术装备服务中心加快推进。成功签署摩洛哥磷酸盐原矿破碎系列项目，实现海外矿山装备市场的重大突破，已建成的沙特、印尼服务中心启动技改业务运营。</w:t>
            </w:r>
          </w:p>
          <w:p w14:paraId="3C8D5011"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展望“十五五”，公司将持续深化装备产业平台建设，重点围绕以下三个方面全力推进：</w:t>
            </w:r>
          </w:p>
          <w:p w14:paraId="14456C6D"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一是完善原创技术供给能力。依托装备集团的深厚发展基础和科研创新能力，坚持以“科技驱动+数智赋能”为核心，持续提升装备质量、性能和服务水</w:t>
            </w:r>
            <w:r>
              <w:rPr>
                <w:rFonts w:ascii="宋体" w:hAnsi="宋体" w:cs="Arial" w:hint="eastAsia"/>
                <w:sz w:val="24"/>
              </w:rPr>
              <w:lastRenderedPageBreak/>
              <w:t>平；系统规划“十五五”装备技术发展路径，完善国内外知识产权战略布局；深入实施科技成果应用拓展工程，建设一批先进示范工程和验证平台，将装备智造园打造成为全球智造的标杆基地。</w:t>
            </w:r>
          </w:p>
          <w:p w14:paraId="465D59AE"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二是加速推进“两外一服”战略落地。加强顶层设计与战略统筹，实现客户管理、对外宣传与品牌建设的一体化运作，加快从产品思维向服务思维转变。持续优化全球业务布局，加快建设全球营销网络与服务体系，强化资源投入与配套保障，通过“国内市场先行验证，海外市场精准适配”，推动重点区域服务中心在境外技改及备品备件业务拓展方面实现新突破。</w:t>
            </w:r>
          </w:p>
          <w:p w14:paraId="06463803"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三是深化专业整合与融合发展。充分释放规模效应和协同价值，加快推进高端装备制造数字化、绿色化、国际化、服务化转型升级，构建装备与工程双向赋能、良性互促的发展格局。持续推进“强链补链”，多渠道、多途径拓展装备多元业务，加强对集团战新产业支撑，实现设备的国产化替代与成本优化，为公司发展提供坚实有力支撑。</w:t>
            </w:r>
          </w:p>
          <w:p w14:paraId="4EDF8FB9"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公司装备业务将持续稳扎稳打，以扎实的技术突破、高效的战略落地与深度的资源整合，为公司构建更具竞争力的发展格局筑牢基础。</w:t>
            </w:r>
          </w:p>
          <w:p w14:paraId="719994BB" w14:textId="77777777" w:rsidR="003B4658" w:rsidRDefault="00000000">
            <w:pPr>
              <w:autoSpaceDE w:val="0"/>
              <w:autoSpaceDN w:val="0"/>
              <w:adjustRightInd w:val="0"/>
              <w:snapToGrid w:val="0"/>
              <w:spacing w:line="360" w:lineRule="auto"/>
              <w:ind w:firstLineChars="200" w:firstLine="482"/>
              <w:rPr>
                <w:rFonts w:ascii="宋体" w:hAnsi="宋体" w:cs="Arial" w:hint="eastAsia"/>
                <w:b/>
                <w:bCs/>
                <w:sz w:val="24"/>
              </w:rPr>
            </w:pPr>
            <w:r>
              <w:rPr>
                <w:rFonts w:ascii="宋体" w:hAnsi="宋体" w:cs="Arial" w:hint="eastAsia"/>
                <w:b/>
                <w:bCs/>
                <w:sz w:val="24"/>
              </w:rPr>
              <w:t>8. 2025年3月，生态环境部印发《全国碳排放权交易市场覆盖钢铁、水泥、铝冶炼行业工作方案》，随着水泥全面纳入全国碳交易市场，将对国内水泥行业有何重大影响？中材国际主要做哪些工作来协助水泥行业低碳转型？</w:t>
            </w:r>
          </w:p>
          <w:p w14:paraId="2BEBB2AF"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答：碳市场是利用市场机制积极应对气候变化、推动经济社会绿色低碳转型的重大制度安排，是国际通行的气候治理政策工具。目前，我国已建立重点排放单位履行强制减排责任的全国碳排放权交易市场和激励社会自主减排的全国温室气体自愿减排交易市场。碳排放权交易市场利用碳排放总量设定和配额分配制度，可将国家碳减排目标直接转化为企业的减排责任，通过精准核算碳排放、科学设置碳排放目标、灵活选择碳减排手段，实现对碳市场覆盖行业碳排放总量和强度的有效控制。在实现双碳目标方面，目前碳排放权交易市场发电行业管控二氧化碳排放占全国总量比重约40%，纳入钢铁、水泥、铝冶炼行业后，覆盖全国二氧化碳排放总量占比达到60%以上。水泥行业纳入碳市场管理，可通过“激励先进、约束落后”加快出清落后产能，推动行业从“高碳依</w:t>
            </w:r>
            <w:r>
              <w:rPr>
                <w:rFonts w:ascii="宋体" w:hAnsi="宋体" w:cs="Arial" w:hint="eastAsia"/>
                <w:sz w:val="24"/>
              </w:rPr>
              <w:lastRenderedPageBreak/>
              <w:t>赖”传统路径向“低碳竞争力”新赛道转变，加快低碳技术创新和应用，助力走出“内卷式”竞争模式，不断提高行业发展的“含金量、含新量、含绿量”，也有利于凝聚社会以资源形成“投资—减排—收益—投资”的技术创新和应用良性模式。</w:t>
            </w:r>
          </w:p>
          <w:p w14:paraId="0C32BB05"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中材国际作为推动全球水泥行业绿色低碳发展的系统集成服务商，依托强大科技创新能力和海量应用场景，形成了从试验到应用、从源头到末端的全产业链条、全生命周期减碳脱碳路线。</w:t>
            </w:r>
          </w:p>
          <w:p w14:paraId="113D6152"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一是提升能源利用效率。积极推进低能耗水泥生产技术研发及应用，从减少水泥产线化石能源消耗、降低系统高碳电力电耗、提高系统余热利用效率和全流程数字化智能化等方面，进一步提升行业能源效用。强化核心技术攻关及产业推广，公司加大水泥低碳、全氧燃烧、大宗固废处置等绿色技术装备的研发推广，以多样化应用场景引领行业绿色低碳应用示范。大力发展绿能产业，大力推进“水泥工程+绿能”系统解决方案落地和风光储一体化微电网建设，助力打造“零购电”工厂。</w:t>
            </w:r>
          </w:p>
          <w:p w14:paraId="7ACB4A99"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二是推广替代原燃料技术。公司所属中材环境积极布局替代燃料产业，建成14个替代燃料加工中心，替代燃料销售量同比增幅超2.1倍。持续研发新型技术装备及工艺，助力各类替代燃料、固废替代原料在水泥工厂成功应用。中材国际在国内外累积了丰富的替代原燃料项目经验，在欧洲已经实现了替代燃料比例90%以上的实践应用。</w:t>
            </w:r>
          </w:p>
          <w:p w14:paraId="63F9B82E"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三是推行熟料替代应用。中材国际自行研发的黏土煅烧技术和水泥粉磨工艺，能显著降低单位水泥熟料系数，推动水泥行业采用熟料替代的方案实现低碳的制备，这也是目前单位水泥排放强度降低的最直接有效的方案，</w:t>
            </w:r>
          </w:p>
          <w:p w14:paraId="7E1BAC6D"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四是推动碳捕集利用技术。碳交易市场扩容后，碳捕集、利用、封存（CCUS）技术将成为水泥行业碳配额抵消关键路径。公司已经在欧洲项目实现了CCUS技术的产业应用，自主研发的水泥全氧燃烧耦合碳捕集成套技术及关键装备在青州中联落地应用，该项目也获得了世界水泥协会（WCA）气候行动奖。</w:t>
            </w:r>
          </w:p>
          <w:p w14:paraId="06B2CB23"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中材国际在水泥行业拥有大量绿色低碳项目的成功实践，未来，公司将积极赋能国内水泥行业绿色低碳转型，推动水泥行业碳达峰、碳中和的落地实现。</w:t>
            </w:r>
          </w:p>
          <w:p w14:paraId="1427A2CF" w14:textId="77777777" w:rsidR="003B4658" w:rsidRDefault="00000000">
            <w:pPr>
              <w:autoSpaceDE w:val="0"/>
              <w:autoSpaceDN w:val="0"/>
              <w:adjustRightInd w:val="0"/>
              <w:snapToGrid w:val="0"/>
              <w:spacing w:line="360" w:lineRule="auto"/>
              <w:ind w:firstLineChars="200" w:firstLine="482"/>
              <w:rPr>
                <w:rFonts w:ascii="宋体" w:hAnsi="宋体" w:cs="Arial" w:hint="eastAsia"/>
                <w:b/>
                <w:bCs/>
                <w:sz w:val="24"/>
              </w:rPr>
            </w:pPr>
            <w:r>
              <w:rPr>
                <w:rFonts w:ascii="宋体" w:hAnsi="宋体" w:cs="Arial" w:hint="eastAsia"/>
                <w:b/>
                <w:bCs/>
                <w:sz w:val="24"/>
              </w:rPr>
              <w:lastRenderedPageBreak/>
              <w:t>9. 在数字经济时代背景下，公司如何通过数字化转型驱动增长，并通过创新数字化服务来优化业务模式、提升未来价值？</w:t>
            </w:r>
          </w:p>
          <w:p w14:paraId="4F9D8F4D"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答：首先，中材国际这些年在数字化转型方面开展了大量研究和应用，在推动水泥行业智能化、绿色化发展方面形成了一定的成果。</w:t>
            </w:r>
          </w:p>
          <w:p w14:paraId="6A8F6E56"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一是在工程建造领域，数字化设计已经全面成熟应用，通过BIM、AI一键出图、可视化设计等，工程设计的效率和质量得到了大幅度的提升。在施工方面，通过数字孪生平台、点云技术和AI算法打造“数字化平台+智能应用场景”的智能建造模式，大幅提高工效和质量。</w:t>
            </w:r>
          </w:p>
          <w:p w14:paraId="1B88D2A1"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二是在工程交付领域，公司已经实现覆盖建筑、设备、工艺等全维度的数字孪生交付。</w:t>
            </w:r>
          </w:p>
          <w:p w14:paraId="6B0527DA"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三是在工厂运维领域，像工业互联网平台、智能工厂的技术，实时的专家优化、预测性维护、质量预控等一些先进的智能技术的应用，为运维业务提质增效起到了非常好的作用。</w:t>
            </w:r>
          </w:p>
          <w:p w14:paraId="3FD6CD55"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四是在装备智能制造方面，应用智能建造设备、端到端的数据集成和全过程AI交互，搭建以客户为中心的“研-产-服”体系，满足客户定制化需求，服务响应速度大幅提升。</w:t>
            </w:r>
          </w:p>
          <w:p w14:paraId="2E900887"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数字化转型工作的推进不仅为主业发展带来了效率提升、成本优化、模式创新，还为我们在全球业务和资源协同、绿色低碳发展等方面提供了优化实践。</w:t>
            </w:r>
          </w:p>
          <w:p w14:paraId="66A3E3EE"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目前，我们已经在智能工厂、智能运维、智慧矿山、智能制造等领域打造了多个国内国外的标杆项目。以数智赋能主业作为价值创造的发展模式。同时，我们也在研究围绕数字化服务、数据资产运营、绿智融合与产业生态建设等方面，推动公司数字经济迈向新发展模式。</w:t>
            </w:r>
          </w:p>
          <w:p w14:paraId="386C06D7"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一是业态数字化。中材国际在运用数字化技术推动传统服务向订阅化发展的同时，也在积极探索工程数字化交付、工厂数字化运维、智能制造的业态升级，让工程、运维、制造成为数字化产品和服务的载体。</w:t>
            </w:r>
          </w:p>
          <w:p w14:paraId="234F36BB"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二是平台生态化。中材国际是一个全球性的企业，我们要积极探索打造开放平台，整合人财物等资源，构建全球敏捷服务体系，推动未来业态转换。</w:t>
            </w:r>
          </w:p>
          <w:p w14:paraId="30F3687F"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三是数据产品化。将数据资产转化为可直接驱动业务价值、支持决策或优</w:t>
            </w:r>
            <w:r>
              <w:rPr>
                <w:rFonts w:ascii="宋体" w:hAnsi="宋体" w:cs="Arial" w:hint="eastAsia"/>
                <w:sz w:val="24"/>
              </w:rPr>
              <w:lastRenderedPageBreak/>
              <w:t>化流程的可复用数据服务产品与解决方案。比如工程安全管理平台，可以提高安全管控效果，比如全球运维平台，未来可以通过数据产品化实现业务的升级。</w:t>
            </w:r>
          </w:p>
          <w:p w14:paraId="04FC8B56"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四是技术场景化。随着人工智能的发展，中材国际将大力推进AI与垂直场景深度耦合。比如在管理、经营、生产、制造等环节，以智能体形式嵌入，实现能力升级和服务增值。</w:t>
            </w:r>
          </w:p>
          <w:p w14:paraId="1586683F" w14:textId="77777777" w:rsidR="003B4658" w:rsidRDefault="00000000">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中材国际将在数字化服务产业方面，持续探索打造数字经济发展的新模式，以期形成全新的中材国际数字空间和未来增长点。</w:t>
            </w:r>
          </w:p>
          <w:p w14:paraId="6059EDA3" w14:textId="77777777" w:rsidR="003B4658" w:rsidRDefault="00000000">
            <w:pPr>
              <w:autoSpaceDE w:val="0"/>
              <w:autoSpaceDN w:val="0"/>
              <w:adjustRightInd w:val="0"/>
              <w:snapToGrid w:val="0"/>
              <w:spacing w:line="360" w:lineRule="auto"/>
              <w:ind w:firstLineChars="200" w:firstLine="482"/>
              <w:rPr>
                <w:rFonts w:ascii="宋体" w:hAnsi="宋体" w:hint="eastAsia"/>
                <w:b/>
                <w:bCs/>
                <w:sz w:val="24"/>
              </w:rPr>
            </w:pPr>
            <w:r>
              <w:rPr>
                <w:rFonts w:ascii="宋体" w:hAnsi="宋体" w:hint="eastAsia"/>
                <w:b/>
                <w:bCs/>
                <w:sz w:val="24"/>
              </w:rPr>
              <w:t>10. 2025年上半年公司非经常性损益主要是什么？</w:t>
            </w:r>
          </w:p>
          <w:p w14:paraId="2F5A7DEA" w14:textId="77777777" w:rsidR="003B4658" w:rsidRDefault="00000000">
            <w:pPr>
              <w:autoSpaceDE w:val="0"/>
              <w:autoSpaceDN w:val="0"/>
              <w:adjustRightInd w:val="0"/>
              <w:snapToGrid w:val="0"/>
              <w:spacing w:line="360" w:lineRule="auto"/>
              <w:ind w:firstLineChars="200" w:firstLine="480"/>
              <w:rPr>
                <w:rFonts w:ascii="宋体" w:hAnsi="宋体" w:hint="eastAsia"/>
                <w:sz w:val="24"/>
              </w:rPr>
            </w:pPr>
            <w:r>
              <w:rPr>
                <w:rFonts w:ascii="宋体" w:hAnsi="宋体" w:hint="eastAsia"/>
                <w:sz w:val="24"/>
              </w:rPr>
              <w:t>答：2025年上半年公司非经常性损益主要是处理闲置的房产和土地所产生的非流动资产的处置收益。</w:t>
            </w:r>
          </w:p>
        </w:tc>
      </w:tr>
    </w:tbl>
    <w:p w14:paraId="5476223B" w14:textId="77777777" w:rsidR="003B4658" w:rsidRDefault="003B4658"/>
    <w:sectPr w:rsidR="003B4658">
      <w:footerReference w:type="default" r:id="rId6"/>
      <w:pgSz w:w="11906" w:h="16838"/>
      <w:pgMar w:top="1758" w:right="1701" w:bottom="175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54C7A" w14:textId="77777777" w:rsidR="005541B8" w:rsidRDefault="005541B8">
      <w:r>
        <w:separator/>
      </w:r>
    </w:p>
  </w:endnote>
  <w:endnote w:type="continuationSeparator" w:id="0">
    <w:p w14:paraId="5F14CEDF" w14:textId="77777777" w:rsidR="005541B8" w:rsidRDefault="0055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altName w:val="Microsoft YaHei UI"/>
    <w:charset w:val="86"/>
    <w:family w:val="script"/>
    <w:pitch w:val="default"/>
    <w:sig w:usb0="00000000" w:usb1="00000000" w:usb2="00000010" w:usb3="00000000" w:csb0="00040000" w:csb1="00000000"/>
  </w:font>
  <w:font w:name="方正黑体_GBK">
    <w:charset w:val="86"/>
    <w:family w:val="script"/>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yuan">
    <w:altName w:val="Cambria"/>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469B" w14:textId="77777777" w:rsidR="003B4658" w:rsidRDefault="00000000">
    <w:pPr>
      <w:pStyle w:val="a5"/>
      <w:jc w:val="center"/>
    </w:pPr>
    <w:r>
      <w:rPr>
        <w:lang w:val="zh-CN"/>
      </w:rPr>
      <w:t xml:space="preserve"> </w:t>
    </w:r>
    <w:r>
      <w:rPr>
        <w:sz w:val="24"/>
        <w:szCs w:val="24"/>
      </w:rPr>
      <w:fldChar w:fldCharType="begin"/>
    </w:r>
    <w:r>
      <w:instrText>PAGE</w:instrText>
    </w:r>
    <w:r>
      <w:rPr>
        <w:sz w:val="24"/>
        <w:szCs w:val="24"/>
      </w:rPr>
      <w:fldChar w:fldCharType="separate"/>
    </w:r>
    <w:r>
      <w:rPr>
        <w:lang w:val="zh-CN"/>
      </w:rPr>
      <w:t>2</w:t>
    </w:r>
    <w:r>
      <w:rPr>
        <w:sz w:val="24"/>
        <w:szCs w:val="24"/>
      </w:rPr>
      <w:fldChar w:fldCharType="end"/>
    </w:r>
    <w:r>
      <w:rPr>
        <w:lang w:val="zh-CN"/>
      </w:rPr>
      <w:t xml:space="preserve"> / </w:t>
    </w:r>
    <w:r>
      <w:rPr>
        <w:sz w:val="24"/>
        <w:szCs w:val="24"/>
      </w:rPr>
      <w:fldChar w:fldCharType="begin"/>
    </w:r>
    <w:r>
      <w:instrText>NUMPAGES</w:instrText>
    </w:r>
    <w:r>
      <w:rPr>
        <w:sz w:val="24"/>
        <w:szCs w:val="24"/>
      </w:rPr>
      <w:fldChar w:fldCharType="separate"/>
    </w:r>
    <w:r>
      <w:rPr>
        <w:lang w:val="zh-CN"/>
      </w:rPr>
      <w:t>2</w:t>
    </w:r>
    <w:r>
      <w:rPr>
        <w:sz w:val="24"/>
        <w:szCs w:val="24"/>
      </w:rPr>
      <w:fldChar w:fldCharType="end"/>
    </w:r>
  </w:p>
  <w:p w14:paraId="7BC9AC1B" w14:textId="77777777" w:rsidR="003B4658" w:rsidRDefault="003B46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DF5F8" w14:textId="77777777" w:rsidR="005541B8" w:rsidRDefault="005541B8">
      <w:r>
        <w:separator/>
      </w:r>
    </w:p>
  </w:footnote>
  <w:footnote w:type="continuationSeparator" w:id="0">
    <w:p w14:paraId="7DBD57D8" w14:textId="77777777" w:rsidR="005541B8" w:rsidRDefault="00554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F0"/>
    <w:rsid w:val="00002802"/>
    <w:rsid w:val="00002B34"/>
    <w:rsid w:val="00014D5D"/>
    <w:rsid w:val="000171D8"/>
    <w:rsid w:val="000202D2"/>
    <w:rsid w:val="000249B8"/>
    <w:rsid w:val="00030675"/>
    <w:rsid w:val="00033235"/>
    <w:rsid w:val="00033C3B"/>
    <w:rsid w:val="00042EB9"/>
    <w:rsid w:val="000439F0"/>
    <w:rsid w:val="000449D9"/>
    <w:rsid w:val="000450F8"/>
    <w:rsid w:val="00050320"/>
    <w:rsid w:val="00050AB4"/>
    <w:rsid w:val="00051294"/>
    <w:rsid w:val="00053205"/>
    <w:rsid w:val="00054525"/>
    <w:rsid w:val="0006603F"/>
    <w:rsid w:val="000677D1"/>
    <w:rsid w:val="000704E5"/>
    <w:rsid w:val="00071E86"/>
    <w:rsid w:val="00077B27"/>
    <w:rsid w:val="00081816"/>
    <w:rsid w:val="000852AE"/>
    <w:rsid w:val="00090204"/>
    <w:rsid w:val="000912CF"/>
    <w:rsid w:val="00091E04"/>
    <w:rsid w:val="0009357A"/>
    <w:rsid w:val="0009369E"/>
    <w:rsid w:val="0009501C"/>
    <w:rsid w:val="000A340E"/>
    <w:rsid w:val="000B4496"/>
    <w:rsid w:val="000B44EA"/>
    <w:rsid w:val="000B6016"/>
    <w:rsid w:val="000C13B3"/>
    <w:rsid w:val="000C3B04"/>
    <w:rsid w:val="000C56EA"/>
    <w:rsid w:val="000C6DA3"/>
    <w:rsid w:val="000D049A"/>
    <w:rsid w:val="000D4A48"/>
    <w:rsid w:val="000D5F17"/>
    <w:rsid w:val="000D618E"/>
    <w:rsid w:val="000D6D81"/>
    <w:rsid w:val="000E0B5C"/>
    <w:rsid w:val="000E18BE"/>
    <w:rsid w:val="000E3D9C"/>
    <w:rsid w:val="000E4B96"/>
    <w:rsid w:val="000E5F86"/>
    <w:rsid w:val="000F41A3"/>
    <w:rsid w:val="000F4FF1"/>
    <w:rsid w:val="000F51A5"/>
    <w:rsid w:val="00100CBC"/>
    <w:rsid w:val="00102BAA"/>
    <w:rsid w:val="001035A8"/>
    <w:rsid w:val="00104B43"/>
    <w:rsid w:val="001061C9"/>
    <w:rsid w:val="00107518"/>
    <w:rsid w:val="00110E91"/>
    <w:rsid w:val="00111420"/>
    <w:rsid w:val="0011782C"/>
    <w:rsid w:val="00117ACA"/>
    <w:rsid w:val="0012287B"/>
    <w:rsid w:val="00122BB5"/>
    <w:rsid w:val="00123486"/>
    <w:rsid w:val="00124774"/>
    <w:rsid w:val="00133438"/>
    <w:rsid w:val="0013395B"/>
    <w:rsid w:val="00135ABC"/>
    <w:rsid w:val="001443BB"/>
    <w:rsid w:val="00147D08"/>
    <w:rsid w:val="00147FE2"/>
    <w:rsid w:val="0015217D"/>
    <w:rsid w:val="00153724"/>
    <w:rsid w:val="00153D49"/>
    <w:rsid w:val="00154687"/>
    <w:rsid w:val="0015750F"/>
    <w:rsid w:val="0016015D"/>
    <w:rsid w:val="00161B34"/>
    <w:rsid w:val="00163D5D"/>
    <w:rsid w:val="0016626E"/>
    <w:rsid w:val="00166CEF"/>
    <w:rsid w:val="00167EB5"/>
    <w:rsid w:val="001814DF"/>
    <w:rsid w:val="0018673B"/>
    <w:rsid w:val="00190C09"/>
    <w:rsid w:val="0019287F"/>
    <w:rsid w:val="00197C1A"/>
    <w:rsid w:val="001A1767"/>
    <w:rsid w:val="001A75ED"/>
    <w:rsid w:val="001B0B7B"/>
    <w:rsid w:val="001B0ED8"/>
    <w:rsid w:val="001B1490"/>
    <w:rsid w:val="001C17E5"/>
    <w:rsid w:val="001C23A6"/>
    <w:rsid w:val="001C5D80"/>
    <w:rsid w:val="001D2933"/>
    <w:rsid w:val="001E23BF"/>
    <w:rsid w:val="001E52ED"/>
    <w:rsid w:val="001E71B8"/>
    <w:rsid w:val="001F55DE"/>
    <w:rsid w:val="002027C3"/>
    <w:rsid w:val="00203D04"/>
    <w:rsid w:val="00210E3E"/>
    <w:rsid w:val="00212713"/>
    <w:rsid w:val="002129AA"/>
    <w:rsid w:val="00213A48"/>
    <w:rsid w:val="0021400E"/>
    <w:rsid w:val="002168A6"/>
    <w:rsid w:val="002169D4"/>
    <w:rsid w:val="002219F8"/>
    <w:rsid w:val="00225743"/>
    <w:rsid w:val="00225D84"/>
    <w:rsid w:val="0022622A"/>
    <w:rsid w:val="002270E7"/>
    <w:rsid w:val="002416A8"/>
    <w:rsid w:val="00244F89"/>
    <w:rsid w:val="002467DD"/>
    <w:rsid w:val="00251D06"/>
    <w:rsid w:val="00254747"/>
    <w:rsid w:val="002571BC"/>
    <w:rsid w:val="002573D7"/>
    <w:rsid w:val="0026156D"/>
    <w:rsid w:val="002671AE"/>
    <w:rsid w:val="00271024"/>
    <w:rsid w:val="00271A48"/>
    <w:rsid w:val="00272B64"/>
    <w:rsid w:val="002911C9"/>
    <w:rsid w:val="0029340B"/>
    <w:rsid w:val="002A20C0"/>
    <w:rsid w:val="002A461B"/>
    <w:rsid w:val="002B23AA"/>
    <w:rsid w:val="002B424C"/>
    <w:rsid w:val="002B718C"/>
    <w:rsid w:val="002B75EC"/>
    <w:rsid w:val="002C20AE"/>
    <w:rsid w:val="002C2E76"/>
    <w:rsid w:val="002C35A2"/>
    <w:rsid w:val="002C76B5"/>
    <w:rsid w:val="002E617E"/>
    <w:rsid w:val="002F06D8"/>
    <w:rsid w:val="002F484C"/>
    <w:rsid w:val="002F6496"/>
    <w:rsid w:val="002F71D2"/>
    <w:rsid w:val="00300F5D"/>
    <w:rsid w:val="003026A8"/>
    <w:rsid w:val="00302779"/>
    <w:rsid w:val="00303A18"/>
    <w:rsid w:val="00307FC8"/>
    <w:rsid w:val="00310A70"/>
    <w:rsid w:val="003112C8"/>
    <w:rsid w:val="0031426A"/>
    <w:rsid w:val="00317424"/>
    <w:rsid w:val="003175E2"/>
    <w:rsid w:val="003210C9"/>
    <w:rsid w:val="00327882"/>
    <w:rsid w:val="00330A5A"/>
    <w:rsid w:val="00336DF4"/>
    <w:rsid w:val="00341873"/>
    <w:rsid w:val="00342634"/>
    <w:rsid w:val="00343BC0"/>
    <w:rsid w:val="00347870"/>
    <w:rsid w:val="00361EA9"/>
    <w:rsid w:val="00362FA4"/>
    <w:rsid w:val="003633DA"/>
    <w:rsid w:val="00365AFE"/>
    <w:rsid w:val="003668F7"/>
    <w:rsid w:val="0036697E"/>
    <w:rsid w:val="00370C84"/>
    <w:rsid w:val="00370E06"/>
    <w:rsid w:val="00373511"/>
    <w:rsid w:val="00374567"/>
    <w:rsid w:val="003753E5"/>
    <w:rsid w:val="003775AB"/>
    <w:rsid w:val="003811D6"/>
    <w:rsid w:val="00383BDD"/>
    <w:rsid w:val="00384FCA"/>
    <w:rsid w:val="003B0EF8"/>
    <w:rsid w:val="003B1E9D"/>
    <w:rsid w:val="003B2B67"/>
    <w:rsid w:val="003B4658"/>
    <w:rsid w:val="003C0ACE"/>
    <w:rsid w:val="003C42B3"/>
    <w:rsid w:val="003C6D3F"/>
    <w:rsid w:val="003D0634"/>
    <w:rsid w:val="003D30C1"/>
    <w:rsid w:val="003D6730"/>
    <w:rsid w:val="003E0358"/>
    <w:rsid w:val="003E1099"/>
    <w:rsid w:val="003E1B6E"/>
    <w:rsid w:val="003E2423"/>
    <w:rsid w:val="003E5A05"/>
    <w:rsid w:val="003E6149"/>
    <w:rsid w:val="003E64ED"/>
    <w:rsid w:val="003F51A3"/>
    <w:rsid w:val="00400CFB"/>
    <w:rsid w:val="0040578D"/>
    <w:rsid w:val="00405DF7"/>
    <w:rsid w:val="004065D6"/>
    <w:rsid w:val="004110EB"/>
    <w:rsid w:val="00412C41"/>
    <w:rsid w:val="0043149F"/>
    <w:rsid w:val="004325DC"/>
    <w:rsid w:val="0043614C"/>
    <w:rsid w:val="0044028B"/>
    <w:rsid w:val="00440FD2"/>
    <w:rsid w:val="00443C00"/>
    <w:rsid w:val="00445ECE"/>
    <w:rsid w:val="00463325"/>
    <w:rsid w:val="004702A9"/>
    <w:rsid w:val="00473D4F"/>
    <w:rsid w:val="004748F7"/>
    <w:rsid w:val="0048395B"/>
    <w:rsid w:val="00485C07"/>
    <w:rsid w:val="00485E2B"/>
    <w:rsid w:val="00487558"/>
    <w:rsid w:val="00487CBC"/>
    <w:rsid w:val="00491157"/>
    <w:rsid w:val="00493F25"/>
    <w:rsid w:val="004944FE"/>
    <w:rsid w:val="00497C5F"/>
    <w:rsid w:val="004A236B"/>
    <w:rsid w:val="004B6FBE"/>
    <w:rsid w:val="004C3069"/>
    <w:rsid w:val="004C5102"/>
    <w:rsid w:val="004C6AC6"/>
    <w:rsid w:val="004D3E6F"/>
    <w:rsid w:val="004D4236"/>
    <w:rsid w:val="004D621A"/>
    <w:rsid w:val="004D69BC"/>
    <w:rsid w:val="004E43A6"/>
    <w:rsid w:val="004E6307"/>
    <w:rsid w:val="004F44C7"/>
    <w:rsid w:val="004F4753"/>
    <w:rsid w:val="004F63FA"/>
    <w:rsid w:val="004F78F7"/>
    <w:rsid w:val="00501678"/>
    <w:rsid w:val="00506CB9"/>
    <w:rsid w:val="00514E66"/>
    <w:rsid w:val="005205A9"/>
    <w:rsid w:val="00520762"/>
    <w:rsid w:val="005249A6"/>
    <w:rsid w:val="0052539B"/>
    <w:rsid w:val="005274C9"/>
    <w:rsid w:val="00530072"/>
    <w:rsid w:val="00530EB7"/>
    <w:rsid w:val="00536A0A"/>
    <w:rsid w:val="005403B3"/>
    <w:rsid w:val="00544786"/>
    <w:rsid w:val="00550D60"/>
    <w:rsid w:val="0055234D"/>
    <w:rsid w:val="005527C0"/>
    <w:rsid w:val="005541B8"/>
    <w:rsid w:val="00555BD1"/>
    <w:rsid w:val="00555E6E"/>
    <w:rsid w:val="00557669"/>
    <w:rsid w:val="005602B9"/>
    <w:rsid w:val="00560B66"/>
    <w:rsid w:val="005640CB"/>
    <w:rsid w:val="00567444"/>
    <w:rsid w:val="00567D29"/>
    <w:rsid w:val="00570402"/>
    <w:rsid w:val="00573055"/>
    <w:rsid w:val="00573361"/>
    <w:rsid w:val="005734D1"/>
    <w:rsid w:val="00574AE4"/>
    <w:rsid w:val="00575306"/>
    <w:rsid w:val="0057678F"/>
    <w:rsid w:val="005802E1"/>
    <w:rsid w:val="00585431"/>
    <w:rsid w:val="0059060F"/>
    <w:rsid w:val="005A0AD2"/>
    <w:rsid w:val="005A3A5B"/>
    <w:rsid w:val="005A4085"/>
    <w:rsid w:val="005A5FDB"/>
    <w:rsid w:val="005B1027"/>
    <w:rsid w:val="005B12D8"/>
    <w:rsid w:val="005B4542"/>
    <w:rsid w:val="005B4CCE"/>
    <w:rsid w:val="005B65DC"/>
    <w:rsid w:val="005C3901"/>
    <w:rsid w:val="005D3C46"/>
    <w:rsid w:val="005D7F04"/>
    <w:rsid w:val="005E210C"/>
    <w:rsid w:val="005E6946"/>
    <w:rsid w:val="005F322D"/>
    <w:rsid w:val="005F3371"/>
    <w:rsid w:val="005F44FE"/>
    <w:rsid w:val="006029E1"/>
    <w:rsid w:val="006031EB"/>
    <w:rsid w:val="00603CE5"/>
    <w:rsid w:val="00606B20"/>
    <w:rsid w:val="00610EC8"/>
    <w:rsid w:val="006110A5"/>
    <w:rsid w:val="00614E45"/>
    <w:rsid w:val="00617911"/>
    <w:rsid w:val="00624393"/>
    <w:rsid w:val="00625423"/>
    <w:rsid w:val="0062772B"/>
    <w:rsid w:val="00630762"/>
    <w:rsid w:val="006319A0"/>
    <w:rsid w:val="00632CCE"/>
    <w:rsid w:val="0063342A"/>
    <w:rsid w:val="00634475"/>
    <w:rsid w:val="00634DC9"/>
    <w:rsid w:val="00636EC3"/>
    <w:rsid w:val="00637FAE"/>
    <w:rsid w:val="00640F33"/>
    <w:rsid w:val="00647A49"/>
    <w:rsid w:val="00654A41"/>
    <w:rsid w:val="00654AD8"/>
    <w:rsid w:val="006601AF"/>
    <w:rsid w:val="00660B5B"/>
    <w:rsid w:val="00665EDC"/>
    <w:rsid w:val="00673370"/>
    <w:rsid w:val="0067350B"/>
    <w:rsid w:val="00675304"/>
    <w:rsid w:val="00676A90"/>
    <w:rsid w:val="00680A4A"/>
    <w:rsid w:val="00682DD0"/>
    <w:rsid w:val="00687C86"/>
    <w:rsid w:val="006920E0"/>
    <w:rsid w:val="00692563"/>
    <w:rsid w:val="0069468D"/>
    <w:rsid w:val="0069503A"/>
    <w:rsid w:val="006A2660"/>
    <w:rsid w:val="006A2A57"/>
    <w:rsid w:val="006A3F48"/>
    <w:rsid w:val="006A6D63"/>
    <w:rsid w:val="006C1518"/>
    <w:rsid w:val="006C2130"/>
    <w:rsid w:val="006C219D"/>
    <w:rsid w:val="006C3D11"/>
    <w:rsid w:val="006C6BC3"/>
    <w:rsid w:val="006D2084"/>
    <w:rsid w:val="006D26CD"/>
    <w:rsid w:val="006D2718"/>
    <w:rsid w:val="006D29B8"/>
    <w:rsid w:val="006D73AD"/>
    <w:rsid w:val="006E6F72"/>
    <w:rsid w:val="006F04EC"/>
    <w:rsid w:val="006F454F"/>
    <w:rsid w:val="006F57BB"/>
    <w:rsid w:val="006F71AB"/>
    <w:rsid w:val="00700405"/>
    <w:rsid w:val="00703CA1"/>
    <w:rsid w:val="00704E88"/>
    <w:rsid w:val="0070627C"/>
    <w:rsid w:val="00714581"/>
    <w:rsid w:val="00717CA1"/>
    <w:rsid w:val="007242A0"/>
    <w:rsid w:val="007275AE"/>
    <w:rsid w:val="00727720"/>
    <w:rsid w:val="007312C6"/>
    <w:rsid w:val="00736CAC"/>
    <w:rsid w:val="00745301"/>
    <w:rsid w:val="007552C8"/>
    <w:rsid w:val="007555B4"/>
    <w:rsid w:val="00770335"/>
    <w:rsid w:val="00774BE6"/>
    <w:rsid w:val="007816CC"/>
    <w:rsid w:val="0078230B"/>
    <w:rsid w:val="00782F53"/>
    <w:rsid w:val="00785724"/>
    <w:rsid w:val="007909DB"/>
    <w:rsid w:val="007A0E2C"/>
    <w:rsid w:val="007A3AEF"/>
    <w:rsid w:val="007A46F5"/>
    <w:rsid w:val="007A4830"/>
    <w:rsid w:val="007A679D"/>
    <w:rsid w:val="007A6B79"/>
    <w:rsid w:val="007A7A13"/>
    <w:rsid w:val="007B0B23"/>
    <w:rsid w:val="007B4868"/>
    <w:rsid w:val="007B6763"/>
    <w:rsid w:val="007B78BE"/>
    <w:rsid w:val="007C1360"/>
    <w:rsid w:val="007C1A0B"/>
    <w:rsid w:val="007C1F48"/>
    <w:rsid w:val="007C5329"/>
    <w:rsid w:val="007C753D"/>
    <w:rsid w:val="007D0E65"/>
    <w:rsid w:val="007D17B0"/>
    <w:rsid w:val="007D3A8E"/>
    <w:rsid w:val="007D4FBF"/>
    <w:rsid w:val="007D6BE9"/>
    <w:rsid w:val="007E268E"/>
    <w:rsid w:val="007E4FDF"/>
    <w:rsid w:val="007F6C65"/>
    <w:rsid w:val="007F70E5"/>
    <w:rsid w:val="00803494"/>
    <w:rsid w:val="00804D7C"/>
    <w:rsid w:val="00807893"/>
    <w:rsid w:val="00810DBE"/>
    <w:rsid w:val="00815A9D"/>
    <w:rsid w:val="008162B0"/>
    <w:rsid w:val="00816DDB"/>
    <w:rsid w:val="00843301"/>
    <w:rsid w:val="00845BFE"/>
    <w:rsid w:val="008460EB"/>
    <w:rsid w:val="00847D6F"/>
    <w:rsid w:val="008510C8"/>
    <w:rsid w:val="00862533"/>
    <w:rsid w:val="00871835"/>
    <w:rsid w:val="008721BB"/>
    <w:rsid w:val="00880EC4"/>
    <w:rsid w:val="0088298C"/>
    <w:rsid w:val="00883320"/>
    <w:rsid w:val="00883928"/>
    <w:rsid w:val="00883DD1"/>
    <w:rsid w:val="008849E8"/>
    <w:rsid w:val="008858C5"/>
    <w:rsid w:val="0088751E"/>
    <w:rsid w:val="00890240"/>
    <w:rsid w:val="00890700"/>
    <w:rsid w:val="008920CF"/>
    <w:rsid w:val="00895BB7"/>
    <w:rsid w:val="00897EED"/>
    <w:rsid w:val="008A25A2"/>
    <w:rsid w:val="008A2A23"/>
    <w:rsid w:val="008A41CF"/>
    <w:rsid w:val="008A67B9"/>
    <w:rsid w:val="008A7B0B"/>
    <w:rsid w:val="008C0332"/>
    <w:rsid w:val="008D4190"/>
    <w:rsid w:val="008D4718"/>
    <w:rsid w:val="008D5FC0"/>
    <w:rsid w:val="008D7C0E"/>
    <w:rsid w:val="008E15EC"/>
    <w:rsid w:val="008E2CDD"/>
    <w:rsid w:val="008E39C5"/>
    <w:rsid w:val="008F2758"/>
    <w:rsid w:val="008F3A4B"/>
    <w:rsid w:val="008F7652"/>
    <w:rsid w:val="008F799B"/>
    <w:rsid w:val="0090260F"/>
    <w:rsid w:val="009059DC"/>
    <w:rsid w:val="00911EBB"/>
    <w:rsid w:val="00911F57"/>
    <w:rsid w:val="00913B0F"/>
    <w:rsid w:val="00916ED9"/>
    <w:rsid w:val="00921860"/>
    <w:rsid w:val="00921BD3"/>
    <w:rsid w:val="00923101"/>
    <w:rsid w:val="00926422"/>
    <w:rsid w:val="00931A51"/>
    <w:rsid w:val="00933010"/>
    <w:rsid w:val="009350E7"/>
    <w:rsid w:val="009352FA"/>
    <w:rsid w:val="009370B1"/>
    <w:rsid w:val="00945A8D"/>
    <w:rsid w:val="00951CE0"/>
    <w:rsid w:val="00951F2B"/>
    <w:rsid w:val="009570D7"/>
    <w:rsid w:val="009572A4"/>
    <w:rsid w:val="009572C3"/>
    <w:rsid w:val="00957331"/>
    <w:rsid w:val="00957CFF"/>
    <w:rsid w:val="00961563"/>
    <w:rsid w:val="00965A08"/>
    <w:rsid w:val="00981771"/>
    <w:rsid w:val="009941E8"/>
    <w:rsid w:val="0099687A"/>
    <w:rsid w:val="009978A2"/>
    <w:rsid w:val="009A1DEE"/>
    <w:rsid w:val="009A5CF7"/>
    <w:rsid w:val="009A731A"/>
    <w:rsid w:val="009B0812"/>
    <w:rsid w:val="009B232B"/>
    <w:rsid w:val="009B333F"/>
    <w:rsid w:val="009C1845"/>
    <w:rsid w:val="009C1F1E"/>
    <w:rsid w:val="009C4CEF"/>
    <w:rsid w:val="009D3F1D"/>
    <w:rsid w:val="009D45D1"/>
    <w:rsid w:val="009D5C7E"/>
    <w:rsid w:val="009E4967"/>
    <w:rsid w:val="009E583D"/>
    <w:rsid w:val="009F030C"/>
    <w:rsid w:val="00A02ECB"/>
    <w:rsid w:val="00A22FAA"/>
    <w:rsid w:val="00A35458"/>
    <w:rsid w:val="00A363C5"/>
    <w:rsid w:val="00A36696"/>
    <w:rsid w:val="00A37D5C"/>
    <w:rsid w:val="00A43805"/>
    <w:rsid w:val="00A54485"/>
    <w:rsid w:val="00A60C11"/>
    <w:rsid w:val="00A62CB5"/>
    <w:rsid w:val="00A6494F"/>
    <w:rsid w:val="00A67F1C"/>
    <w:rsid w:val="00A72C62"/>
    <w:rsid w:val="00A82F0B"/>
    <w:rsid w:val="00A83F8E"/>
    <w:rsid w:val="00A85740"/>
    <w:rsid w:val="00A861D3"/>
    <w:rsid w:val="00A870DA"/>
    <w:rsid w:val="00A87664"/>
    <w:rsid w:val="00A877A9"/>
    <w:rsid w:val="00A90D5F"/>
    <w:rsid w:val="00A973D5"/>
    <w:rsid w:val="00A9799E"/>
    <w:rsid w:val="00AA1EA4"/>
    <w:rsid w:val="00AA2F37"/>
    <w:rsid w:val="00AA636F"/>
    <w:rsid w:val="00AA7DE3"/>
    <w:rsid w:val="00AB4C1F"/>
    <w:rsid w:val="00AB54FB"/>
    <w:rsid w:val="00AB557C"/>
    <w:rsid w:val="00AB62F6"/>
    <w:rsid w:val="00AC1816"/>
    <w:rsid w:val="00AC5156"/>
    <w:rsid w:val="00AC5D80"/>
    <w:rsid w:val="00AC71F9"/>
    <w:rsid w:val="00AD016A"/>
    <w:rsid w:val="00AD5EF6"/>
    <w:rsid w:val="00AD72EB"/>
    <w:rsid w:val="00AE08C5"/>
    <w:rsid w:val="00AE1013"/>
    <w:rsid w:val="00AE210D"/>
    <w:rsid w:val="00AE4F83"/>
    <w:rsid w:val="00AE76FD"/>
    <w:rsid w:val="00AF1AE4"/>
    <w:rsid w:val="00AF1F4A"/>
    <w:rsid w:val="00AF6C20"/>
    <w:rsid w:val="00AF793E"/>
    <w:rsid w:val="00B04380"/>
    <w:rsid w:val="00B04C6B"/>
    <w:rsid w:val="00B0555C"/>
    <w:rsid w:val="00B11773"/>
    <w:rsid w:val="00B16398"/>
    <w:rsid w:val="00B24378"/>
    <w:rsid w:val="00B26E1B"/>
    <w:rsid w:val="00B2730C"/>
    <w:rsid w:val="00B309CB"/>
    <w:rsid w:val="00B30C0B"/>
    <w:rsid w:val="00B3404D"/>
    <w:rsid w:val="00B42428"/>
    <w:rsid w:val="00B5751D"/>
    <w:rsid w:val="00B57A64"/>
    <w:rsid w:val="00B66DF3"/>
    <w:rsid w:val="00B72D57"/>
    <w:rsid w:val="00B73659"/>
    <w:rsid w:val="00B76BDF"/>
    <w:rsid w:val="00B77D50"/>
    <w:rsid w:val="00B80D52"/>
    <w:rsid w:val="00B83AB3"/>
    <w:rsid w:val="00B8417A"/>
    <w:rsid w:val="00B905A6"/>
    <w:rsid w:val="00B90A72"/>
    <w:rsid w:val="00B9778E"/>
    <w:rsid w:val="00BA58E8"/>
    <w:rsid w:val="00BB26D4"/>
    <w:rsid w:val="00BB2883"/>
    <w:rsid w:val="00BB28D1"/>
    <w:rsid w:val="00BB33C2"/>
    <w:rsid w:val="00BB7E01"/>
    <w:rsid w:val="00BC245C"/>
    <w:rsid w:val="00BC721D"/>
    <w:rsid w:val="00BD13B5"/>
    <w:rsid w:val="00BD16FC"/>
    <w:rsid w:val="00BD2154"/>
    <w:rsid w:val="00BD3C9B"/>
    <w:rsid w:val="00BD4CA3"/>
    <w:rsid w:val="00BD4D35"/>
    <w:rsid w:val="00BE1BFE"/>
    <w:rsid w:val="00BE41CB"/>
    <w:rsid w:val="00BF3133"/>
    <w:rsid w:val="00BF46AC"/>
    <w:rsid w:val="00BF52D2"/>
    <w:rsid w:val="00BF56A6"/>
    <w:rsid w:val="00BF6B08"/>
    <w:rsid w:val="00C04427"/>
    <w:rsid w:val="00C1026C"/>
    <w:rsid w:val="00C12579"/>
    <w:rsid w:val="00C14126"/>
    <w:rsid w:val="00C16CE4"/>
    <w:rsid w:val="00C17C5F"/>
    <w:rsid w:val="00C241D5"/>
    <w:rsid w:val="00C26ED8"/>
    <w:rsid w:val="00C27891"/>
    <w:rsid w:val="00C3192B"/>
    <w:rsid w:val="00C352A4"/>
    <w:rsid w:val="00C378C8"/>
    <w:rsid w:val="00C4507D"/>
    <w:rsid w:val="00C47AF9"/>
    <w:rsid w:val="00C5082B"/>
    <w:rsid w:val="00C548CD"/>
    <w:rsid w:val="00C65951"/>
    <w:rsid w:val="00C66567"/>
    <w:rsid w:val="00C670CE"/>
    <w:rsid w:val="00C71368"/>
    <w:rsid w:val="00C7572A"/>
    <w:rsid w:val="00C771D9"/>
    <w:rsid w:val="00C82A25"/>
    <w:rsid w:val="00C84CB5"/>
    <w:rsid w:val="00C91F8A"/>
    <w:rsid w:val="00C932B8"/>
    <w:rsid w:val="00C9738B"/>
    <w:rsid w:val="00CA1A9B"/>
    <w:rsid w:val="00CA377B"/>
    <w:rsid w:val="00CA3E0C"/>
    <w:rsid w:val="00CA5E83"/>
    <w:rsid w:val="00CB2AA2"/>
    <w:rsid w:val="00CB6095"/>
    <w:rsid w:val="00CB790C"/>
    <w:rsid w:val="00CB7C0D"/>
    <w:rsid w:val="00CC5DB0"/>
    <w:rsid w:val="00CC6202"/>
    <w:rsid w:val="00CD1678"/>
    <w:rsid w:val="00CD1688"/>
    <w:rsid w:val="00CD3CF9"/>
    <w:rsid w:val="00CE1889"/>
    <w:rsid w:val="00CE6D2B"/>
    <w:rsid w:val="00CF08EC"/>
    <w:rsid w:val="00CF5F46"/>
    <w:rsid w:val="00CF7BC4"/>
    <w:rsid w:val="00D01A94"/>
    <w:rsid w:val="00D031CC"/>
    <w:rsid w:val="00D04F1E"/>
    <w:rsid w:val="00D07396"/>
    <w:rsid w:val="00D078A9"/>
    <w:rsid w:val="00D15888"/>
    <w:rsid w:val="00D24082"/>
    <w:rsid w:val="00D26242"/>
    <w:rsid w:val="00D30A79"/>
    <w:rsid w:val="00D34015"/>
    <w:rsid w:val="00D360DD"/>
    <w:rsid w:val="00D41710"/>
    <w:rsid w:val="00D419D3"/>
    <w:rsid w:val="00D46810"/>
    <w:rsid w:val="00D47273"/>
    <w:rsid w:val="00D51D8A"/>
    <w:rsid w:val="00D5358B"/>
    <w:rsid w:val="00D54620"/>
    <w:rsid w:val="00D54923"/>
    <w:rsid w:val="00D60582"/>
    <w:rsid w:val="00D61A4D"/>
    <w:rsid w:val="00D812CC"/>
    <w:rsid w:val="00D84632"/>
    <w:rsid w:val="00D86238"/>
    <w:rsid w:val="00D95D8D"/>
    <w:rsid w:val="00D97980"/>
    <w:rsid w:val="00DA02B5"/>
    <w:rsid w:val="00DA2289"/>
    <w:rsid w:val="00DA38A0"/>
    <w:rsid w:val="00DA406B"/>
    <w:rsid w:val="00DA65E9"/>
    <w:rsid w:val="00DB1D3B"/>
    <w:rsid w:val="00DB6A82"/>
    <w:rsid w:val="00DC7723"/>
    <w:rsid w:val="00DD583B"/>
    <w:rsid w:val="00DD5F6C"/>
    <w:rsid w:val="00DE7511"/>
    <w:rsid w:val="00DF2D80"/>
    <w:rsid w:val="00DF3412"/>
    <w:rsid w:val="00DF3B95"/>
    <w:rsid w:val="00DF5BF5"/>
    <w:rsid w:val="00E00AE5"/>
    <w:rsid w:val="00E02B27"/>
    <w:rsid w:val="00E02B75"/>
    <w:rsid w:val="00E03118"/>
    <w:rsid w:val="00E04397"/>
    <w:rsid w:val="00E100C6"/>
    <w:rsid w:val="00E11CE7"/>
    <w:rsid w:val="00E12CF0"/>
    <w:rsid w:val="00E14878"/>
    <w:rsid w:val="00E166D4"/>
    <w:rsid w:val="00E17EAC"/>
    <w:rsid w:val="00E23DA8"/>
    <w:rsid w:val="00E24CB8"/>
    <w:rsid w:val="00E306EC"/>
    <w:rsid w:val="00E344E5"/>
    <w:rsid w:val="00E43644"/>
    <w:rsid w:val="00E4393F"/>
    <w:rsid w:val="00E44907"/>
    <w:rsid w:val="00E50A1C"/>
    <w:rsid w:val="00E50CB9"/>
    <w:rsid w:val="00E518C6"/>
    <w:rsid w:val="00E52B1C"/>
    <w:rsid w:val="00E53762"/>
    <w:rsid w:val="00E544A9"/>
    <w:rsid w:val="00E55F86"/>
    <w:rsid w:val="00E609AB"/>
    <w:rsid w:val="00E60BA2"/>
    <w:rsid w:val="00E660F5"/>
    <w:rsid w:val="00E67956"/>
    <w:rsid w:val="00E67C8E"/>
    <w:rsid w:val="00E7171A"/>
    <w:rsid w:val="00E769F6"/>
    <w:rsid w:val="00E77C2D"/>
    <w:rsid w:val="00E853E8"/>
    <w:rsid w:val="00E86618"/>
    <w:rsid w:val="00E93C50"/>
    <w:rsid w:val="00E967BB"/>
    <w:rsid w:val="00EA10E2"/>
    <w:rsid w:val="00EA21D9"/>
    <w:rsid w:val="00EA68FE"/>
    <w:rsid w:val="00EA7242"/>
    <w:rsid w:val="00EA7FA7"/>
    <w:rsid w:val="00EB042D"/>
    <w:rsid w:val="00EB7E51"/>
    <w:rsid w:val="00EB7EE1"/>
    <w:rsid w:val="00EB7FDB"/>
    <w:rsid w:val="00EC0D13"/>
    <w:rsid w:val="00EC3661"/>
    <w:rsid w:val="00EC501C"/>
    <w:rsid w:val="00EC7FE3"/>
    <w:rsid w:val="00ED4289"/>
    <w:rsid w:val="00EE0F15"/>
    <w:rsid w:val="00EE2D47"/>
    <w:rsid w:val="00EE56B8"/>
    <w:rsid w:val="00EE6F57"/>
    <w:rsid w:val="00EF43DE"/>
    <w:rsid w:val="00EF49C9"/>
    <w:rsid w:val="00F02DF7"/>
    <w:rsid w:val="00F030AC"/>
    <w:rsid w:val="00F04474"/>
    <w:rsid w:val="00F0470A"/>
    <w:rsid w:val="00F13724"/>
    <w:rsid w:val="00F13C9A"/>
    <w:rsid w:val="00F14533"/>
    <w:rsid w:val="00F17E6B"/>
    <w:rsid w:val="00F23B87"/>
    <w:rsid w:val="00F267D4"/>
    <w:rsid w:val="00F350F4"/>
    <w:rsid w:val="00F35A7D"/>
    <w:rsid w:val="00F42570"/>
    <w:rsid w:val="00F4266C"/>
    <w:rsid w:val="00F43657"/>
    <w:rsid w:val="00F51310"/>
    <w:rsid w:val="00F51D23"/>
    <w:rsid w:val="00F543D9"/>
    <w:rsid w:val="00F56909"/>
    <w:rsid w:val="00F6227D"/>
    <w:rsid w:val="00F6510F"/>
    <w:rsid w:val="00F70FFD"/>
    <w:rsid w:val="00F748D2"/>
    <w:rsid w:val="00F76A67"/>
    <w:rsid w:val="00F77827"/>
    <w:rsid w:val="00F819EE"/>
    <w:rsid w:val="00F918E0"/>
    <w:rsid w:val="00F92542"/>
    <w:rsid w:val="00FA381B"/>
    <w:rsid w:val="00FA5F69"/>
    <w:rsid w:val="00FA7301"/>
    <w:rsid w:val="00FB26BE"/>
    <w:rsid w:val="00FB5E79"/>
    <w:rsid w:val="00FC0954"/>
    <w:rsid w:val="00FC175F"/>
    <w:rsid w:val="00FC1B39"/>
    <w:rsid w:val="00FC2D00"/>
    <w:rsid w:val="00FC4AE5"/>
    <w:rsid w:val="00FD1430"/>
    <w:rsid w:val="00FE2634"/>
    <w:rsid w:val="00FE5076"/>
    <w:rsid w:val="00FE746F"/>
    <w:rsid w:val="00FF0270"/>
    <w:rsid w:val="00FF09F1"/>
    <w:rsid w:val="00FF0FF6"/>
    <w:rsid w:val="00FF1C2B"/>
    <w:rsid w:val="00FF57DC"/>
    <w:rsid w:val="159A6948"/>
    <w:rsid w:val="286D7229"/>
    <w:rsid w:val="409E221E"/>
    <w:rsid w:val="55A439DB"/>
    <w:rsid w:val="5A9B1124"/>
    <w:rsid w:val="7DC51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3AB28"/>
  <w15:docId w15:val="{529C68E7-D4F5-4D2E-8D9B-6E5D204F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rPr>
      <w:rFonts w:ascii="Courier New" w:hAnsi="Courier New" w:cs="Courier New"/>
      <w:sz w:val="20"/>
      <w:szCs w:val="20"/>
    </w:rPr>
  </w:style>
  <w:style w:type="paragraph" w:styleId="a9">
    <w:name w:val="annotation subject"/>
    <w:basedOn w:val="a3"/>
    <w:next w:val="a3"/>
    <w:link w:val="aa"/>
    <w:uiPriority w:val="99"/>
    <w:semiHidden/>
    <w:unhideWhenUsed/>
    <w:rPr>
      <w:b/>
      <w:bCs/>
    </w:rPr>
  </w:style>
  <w:style w:type="character" w:styleId="ab">
    <w:name w:val="annotation reference"/>
    <w:uiPriority w:val="99"/>
    <w:semiHidden/>
    <w:unhideWhenUsed/>
    <w:rPr>
      <w:sz w:val="21"/>
      <w:szCs w:val="21"/>
    </w:rPr>
  </w:style>
  <w:style w:type="character" w:customStyle="1" w:styleId="a8">
    <w:name w:val="页眉 字符"/>
    <w:link w:val="a7"/>
    <w:uiPriority w:val="99"/>
    <w:rPr>
      <w:rFonts w:ascii="Times New Roman" w:eastAsia="宋体" w:hAnsi="Times New Roman"/>
      <w:kern w:val="2"/>
      <w:sz w:val="18"/>
      <w:szCs w:val="18"/>
    </w:rPr>
  </w:style>
  <w:style w:type="character" w:customStyle="1" w:styleId="a6">
    <w:name w:val="页脚 字符"/>
    <w:link w:val="a5"/>
    <w:uiPriority w:val="99"/>
    <w:rPr>
      <w:rFonts w:ascii="Times New Roman" w:eastAsia="宋体" w:hAnsi="Times New Roman"/>
      <w:kern w:val="2"/>
      <w:sz w:val="18"/>
      <w:szCs w:val="18"/>
    </w:rPr>
  </w:style>
  <w:style w:type="character" w:customStyle="1" w:styleId="a4">
    <w:name w:val="批注文字 字符"/>
    <w:link w:val="a3"/>
    <w:uiPriority w:val="99"/>
    <w:qFormat/>
    <w:rPr>
      <w:rFonts w:ascii="Times New Roman" w:eastAsia="宋体" w:hAnsi="Times New Roman"/>
      <w:kern w:val="2"/>
      <w:sz w:val="21"/>
      <w:szCs w:val="24"/>
    </w:rPr>
  </w:style>
  <w:style w:type="character" w:customStyle="1" w:styleId="aa">
    <w:name w:val="批注主题 字符"/>
    <w:link w:val="a9"/>
    <w:uiPriority w:val="99"/>
    <w:semiHidden/>
    <w:rPr>
      <w:rFonts w:ascii="Times New Roman" w:eastAsia="宋体" w:hAnsi="Times New Roman"/>
      <w:b/>
      <w:bCs/>
      <w:kern w:val="2"/>
      <w:sz w:val="21"/>
      <w:szCs w:val="24"/>
    </w:rPr>
  </w:style>
  <w:style w:type="character" w:customStyle="1" w:styleId="HTML0">
    <w:name w:val="HTML 预设格式 字符"/>
    <w:link w:val="HTML"/>
    <w:uiPriority w:val="99"/>
    <w:semiHidden/>
    <w:qFormat/>
    <w:rPr>
      <w:rFonts w:ascii="Courier New" w:eastAsia="宋体" w:hAnsi="Courier New" w:cs="Courier New"/>
      <w:kern w:val="2"/>
    </w:rPr>
  </w:style>
  <w:style w:type="paragraph" w:styleId="ac">
    <w:name w:val="Revision"/>
    <w:hidden/>
    <w:uiPriority w:val="99"/>
    <w:unhideWhenUsed/>
    <w:rsid w:val="00212713"/>
    <w:rPr>
      <w:rFonts w:ascii="Times New Roman" w:eastAsia="宋体" w:hAnsi="Times New Roman"/>
      <w:kern w:val="2"/>
      <w:sz w:val="21"/>
      <w:szCs w:val="24"/>
    </w:rPr>
  </w:style>
  <w:style w:type="paragraph" w:styleId="ad">
    <w:name w:val="List Paragraph"/>
    <w:basedOn w:val="a"/>
    <w:uiPriority w:val="99"/>
    <w:unhideWhenUsed/>
    <w:rsid w:val="00845B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12</Pages>
  <Words>1437</Words>
  <Characters>8194</Characters>
  <Application>Microsoft Office Word</Application>
  <DocSecurity>0</DocSecurity>
  <Lines>68</Lines>
  <Paragraphs>19</Paragraphs>
  <ScaleCrop>false</ScaleCrop>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 梓轩</dc:creator>
  <cp:lastModifiedBy>yu liu</cp:lastModifiedBy>
  <cp:revision>144</cp:revision>
  <dcterms:created xsi:type="dcterms:W3CDTF">2025-04-16T00:52:00Z</dcterms:created>
  <dcterms:modified xsi:type="dcterms:W3CDTF">2025-09-02T01:19:00Z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eyJoZGlkIjoiNDI1MDlkNGFlOWE5NzU2MjExM2I5NzhkMjcwODY0ODYiLCJ1c2VySWQiOiIxMjc5MzM4NTUwIn0=</vt:lpwstr>
  </property>
  <property fmtid="{D5CDD505-2E9C-101B-9397-08002B2CF9AE}" pid="3" name="KSOProductBuildVer">
    <vt:lpwstr>2052-12.1.0.22529</vt:lpwstr>
  </property>
  <property fmtid="{D5CDD505-2E9C-101B-9397-08002B2CF9AE}" pid="4" name="ICV">
    <vt:lpwstr>531D9A7299C24049ABE46EF89280EDCD_13</vt:lpwstr>
  </property>
</Properties>
</file>