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C189C" w14:textId="77777777" w:rsidR="00A3675B" w:rsidRDefault="00BD26C8">
      <w:pPr>
        <w:pStyle w:val="1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  <w:lang w:val="en-US"/>
        </w:rPr>
        <w:t xml:space="preserve">证券代码：603617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               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证券简称：君禾股份</w:t>
      </w:r>
    </w:p>
    <w:p w14:paraId="27277798" w14:textId="77777777" w:rsidR="00A3675B" w:rsidRDefault="00A3675B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0D7B1EF8" w14:textId="77777777" w:rsidR="00A3675B" w:rsidRDefault="00BD26C8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君禾泵业股份有限公司</w:t>
      </w:r>
    </w:p>
    <w:p w14:paraId="210CF847" w14:textId="77777777" w:rsidR="00A3675B" w:rsidRDefault="00BD26C8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</w:p>
    <w:p w14:paraId="1B9BE704" w14:textId="7BB449FB" w:rsidR="00A3675B" w:rsidRDefault="00BD26C8">
      <w:pPr>
        <w:spacing w:before="51" w:after="32"/>
        <w:ind w:right="619"/>
        <w:jc w:val="righ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编号：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2025</w:t>
      </w:r>
      <w:r>
        <w:rPr>
          <w:rFonts w:ascii="宋体" w:eastAsia="宋体" w:hAnsi="宋体" w:cs="宋体" w:hint="eastAsia"/>
          <w:sz w:val="20"/>
          <w:szCs w:val="20"/>
        </w:rPr>
        <w:t>-</w:t>
      </w:r>
      <w:r w:rsidR="00121417">
        <w:rPr>
          <w:rFonts w:ascii="宋体" w:eastAsia="宋体" w:hAnsi="宋体" w:cs="宋体"/>
          <w:sz w:val="20"/>
          <w:szCs w:val="20"/>
        </w:rPr>
        <w:t>002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A3675B" w14:paraId="135B672D" w14:textId="77777777">
        <w:trPr>
          <w:trHeight w:val="2801"/>
          <w:jc w:val="center"/>
        </w:trPr>
        <w:tc>
          <w:tcPr>
            <w:tcW w:w="2580" w:type="dxa"/>
          </w:tcPr>
          <w:p w14:paraId="2E8B8DDC" w14:textId="77777777" w:rsidR="00A3675B" w:rsidRDefault="00A3675B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3E49F385" w14:textId="77777777" w:rsidR="00A3675B" w:rsidRDefault="00BD26C8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</w:tcPr>
          <w:p w14:paraId="7E3D38D3" w14:textId="77777777" w:rsidR="00A3675B" w:rsidRDefault="00A3675B">
            <w:pPr>
              <w:pStyle w:val="TableParagraph"/>
              <w:spacing w:before="7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589D6E13" w14:textId="77777777" w:rsidR="00A3675B" w:rsidRDefault="00C37274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26C8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特</w:t>
            </w:r>
            <w:r w:rsidR="00BD26C8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定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对</w:t>
            </w:r>
            <w:r w:rsidR="00BD26C8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象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调研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26C8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分</w:t>
            </w:r>
            <w:r w:rsidR="00BD26C8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析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师</w:t>
            </w:r>
            <w:r w:rsidR="00BD26C8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会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议</w:t>
            </w:r>
          </w:p>
          <w:p w14:paraId="28D4B78B" w14:textId="77777777" w:rsidR="00A3675B" w:rsidRDefault="00A3675B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7894F38D" w14:textId="77777777" w:rsidR="00A3675B" w:rsidRDefault="00C37274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26C8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媒</w:t>
            </w:r>
            <w:r w:rsidR="00BD26C8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体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采访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26C8">
                  <w:rPr>
                    <w:rFonts w:ascii="Wingdings 2" w:eastAsia="MS Gothic" w:hAnsi="Wingdings 2" w:cs="宋体"/>
                    <w:sz w:val="20"/>
                    <w:szCs w:val="20"/>
                  </w:rPr>
                  <w:t></w:t>
                </w:r>
              </w:sdtContent>
            </w:sdt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业</w:t>
            </w:r>
            <w:r w:rsidR="00BD26C8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绩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说</w:t>
            </w:r>
            <w:r w:rsidR="00BD26C8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明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</w:p>
          <w:p w14:paraId="785EFDDA" w14:textId="77777777" w:rsidR="00A3675B" w:rsidRDefault="00A3675B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2404C0CC" w14:textId="77777777" w:rsidR="00A3675B" w:rsidRDefault="00C37274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26C8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新</w:t>
            </w:r>
            <w:r w:rsidR="00BD26C8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闻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发</w:t>
            </w:r>
            <w:r w:rsidR="00BD26C8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布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26C8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路</w:t>
            </w:r>
            <w:r w:rsidR="00BD26C8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演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活动</w:t>
            </w:r>
          </w:p>
          <w:p w14:paraId="28F00370" w14:textId="77777777" w:rsidR="00A3675B" w:rsidRDefault="00A3675B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473BDBDC" w14:textId="77777777" w:rsidR="00A3675B" w:rsidRDefault="00C37274">
            <w:pPr>
              <w:pStyle w:val="TableParagraph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26C8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现场参观</w:t>
            </w:r>
          </w:p>
          <w:p w14:paraId="16EABDA8" w14:textId="77777777" w:rsidR="00A3675B" w:rsidRDefault="00A3675B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7ABE8226" w14:textId="77777777" w:rsidR="00A3675B" w:rsidRDefault="00C37274">
            <w:pPr>
              <w:pStyle w:val="TableParagraph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26C8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BD26C8">
              <w:rPr>
                <w:rFonts w:ascii="宋体" w:eastAsia="宋体" w:hAnsi="宋体" w:cs="宋体" w:hint="eastAsia"/>
                <w:sz w:val="20"/>
                <w:szCs w:val="20"/>
              </w:rPr>
              <w:t>其他（</w:t>
            </w:r>
            <w:r w:rsidR="00BD26C8"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>请文字说明其他活动内容）</w:t>
            </w:r>
          </w:p>
        </w:tc>
      </w:tr>
      <w:tr w:rsidR="00A3675B" w14:paraId="7AA0D205" w14:textId="77777777" w:rsidTr="004B1326">
        <w:trPr>
          <w:trHeight w:val="825"/>
          <w:jc w:val="center"/>
        </w:trPr>
        <w:tc>
          <w:tcPr>
            <w:tcW w:w="2580" w:type="dxa"/>
            <w:vAlign w:val="center"/>
          </w:tcPr>
          <w:p w14:paraId="69D8CE36" w14:textId="77777777" w:rsidR="00A3675B" w:rsidRDefault="00BD26C8" w:rsidP="004B1326">
            <w:pPr>
              <w:pStyle w:val="TableParagraph"/>
              <w:ind w:left="108" w:right="96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4B301A1C" w14:textId="77777777" w:rsidR="00A3675B" w:rsidRDefault="00BD26C8" w:rsidP="004B1326">
            <w:pPr>
              <w:pStyle w:val="TableParagraph"/>
              <w:spacing w:line="360" w:lineRule="auto"/>
              <w:rPr>
                <w:rFonts w:asciiTheme="minorEastAsia" w:eastAsia="宋体" w:hAnsiTheme="minorEastAsia" w:cs="宋体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线上参与</w:t>
            </w: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君禾股份（603617）2025年半年度业绩说明会</w:t>
            </w:r>
            <w:r>
              <w:rPr>
                <w:rFonts w:ascii="Helvetica" w:eastAsia="宋体" w:hAnsi="Helvetica" w:cs="Helvetica" w:hint="eastAsia"/>
                <w:color w:val="333333"/>
                <w:sz w:val="19"/>
                <w:szCs w:val="19"/>
                <w:shd w:val="clear" w:color="auto" w:fill="FFFFFF"/>
                <w:lang w:val="en-US"/>
              </w:rPr>
              <w:t>的全体投资者</w:t>
            </w:r>
          </w:p>
        </w:tc>
      </w:tr>
      <w:tr w:rsidR="00A3675B" w14:paraId="3D8B2A11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1AE221DE" w14:textId="77777777" w:rsidR="00A3675B" w:rsidRDefault="00BD26C8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 w14:paraId="4FA76B4B" w14:textId="77777777" w:rsidR="00A3675B" w:rsidRDefault="00BD26C8">
            <w:pPr>
              <w:spacing w:before="100" w:beforeAutospacing="1" w:line="360" w:lineRule="auto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2025年09月02日 10:00-11:00</w:t>
            </w:r>
          </w:p>
        </w:tc>
      </w:tr>
      <w:tr w:rsidR="00A3675B" w14:paraId="7B2C3DD7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37E9766A" w14:textId="77777777" w:rsidR="00A3675B" w:rsidRDefault="00BD26C8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2B945BB7" w14:textId="77777777" w:rsidR="00A3675B" w:rsidRDefault="00BD26C8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价值在线（https://www.ir-online.cn/）网络互动</w:t>
            </w:r>
          </w:p>
        </w:tc>
      </w:tr>
      <w:tr w:rsidR="00A3675B" w14:paraId="53666560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59ECC171" w14:textId="77777777" w:rsidR="00A3675B" w:rsidRDefault="00BD26C8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3174A942" w14:textId="77777777" w:rsidR="00A3675B" w:rsidRDefault="00BD26C8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总经理 张君波</w:t>
            </w:r>
            <w:r>
              <w:rPr>
                <w:rFonts w:ascii="宋体" w:eastAsia="宋体" w:hAnsi="宋体" w:cs="宋体"/>
                <w:sz w:val="20"/>
                <w:szCs w:val="20"/>
              </w:rPr>
              <w:br/>
              <w:t>董事会秘书 陈佳伟</w:t>
            </w:r>
            <w:r>
              <w:rPr>
                <w:rFonts w:ascii="宋体" w:eastAsia="宋体" w:hAnsi="宋体" w:cs="宋体"/>
                <w:sz w:val="20"/>
                <w:szCs w:val="20"/>
              </w:rPr>
              <w:br/>
              <w:t>财务总监 范超春</w:t>
            </w:r>
            <w:r>
              <w:rPr>
                <w:rFonts w:ascii="宋体" w:eastAsia="宋体" w:hAnsi="宋体" w:cs="宋体"/>
                <w:sz w:val="20"/>
                <w:szCs w:val="20"/>
              </w:rPr>
              <w:br/>
              <w:t>独立董事 朱承君</w:t>
            </w:r>
          </w:p>
        </w:tc>
      </w:tr>
      <w:tr w:rsidR="00A3675B" w14:paraId="70180F1B" w14:textId="77777777">
        <w:trPr>
          <w:trHeight w:val="2800"/>
          <w:jc w:val="center"/>
        </w:trPr>
        <w:tc>
          <w:tcPr>
            <w:tcW w:w="2580" w:type="dxa"/>
          </w:tcPr>
          <w:p w14:paraId="3437EA55" w14:textId="77777777" w:rsidR="00A3675B" w:rsidRDefault="00A3675B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1CDEA852" w14:textId="77777777" w:rsidR="00A3675B" w:rsidRDefault="00A3675B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18F2FF58" w14:textId="77777777" w:rsidR="00A3675B" w:rsidRDefault="00A3675B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3D708210" w14:textId="77777777" w:rsidR="00A3675B" w:rsidRDefault="00BD26C8">
            <w:pPr>
              <w:pStyle w:val="TableParagraph"/>
              <w:spacing w:before="1" w:line="499" w:lineRule="auto"/>
              <w:ind w:left="107" w:right="96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</w:tcPr>
          <w:p w14:paraId="7E3FA08D" w14:textId="77777777" w:rsidR="00A3675B" w:rsidRDefault="00BD26C8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</w:rPr>
              <w:t xml:space="preserve">    1.中报显示三费占比上升明显，特别是销售费用因跨境电商平台业务拓展大幅增加，这部分投入预计多久能看到显著的收益回报呢？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尊敬的投资者你好，公司对于销售费用的投入是基于长远发展的战略规划，旨在通过增强市场竞争力和扩大市场份额来实现持续增长。因此，具体的收益回报时间可能需要根据实际情况进行动态评估。公司将持续关注相关投入的成效，并在定期报告中披露相关的财务和业务进展情况。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2.泰国的生产基地目前建设进度如何？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答:尊敬的投资者，您好！泰国的生产基地目前已完成主体工程，预计将于今年11月份大批量投产。感谢您的关注。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lastRenderedPageBreak/>
              <w:t xml:space="preserve">    3.未来有计划拓展海外市场吗？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尊敬的投资者，您好！公司为完善全球化战略布局，继2024年在泰国、印尼、俄罗斯设立公司后，2025年上半年公司又启动在马来西亚布局；同时公司积极开拓跨境电商平台业务，加快线上跨境布局，实现多平台、多区域、多品类的运营，也取得一定的业绩表现。未来海外市场布局情况请关注公司后续公告，感谢您的关注！</w:t>
            </w:r>
          </w:p>
        </w:tc>
      </w:tr>
      <w:tr w:rsidR="00A3675B" w14:paraId="33B0C533" w14:textId="77777777">
        <w:trPr>
          <w:trHeight w:val="999"/>
          <w:jc w:val="center"/>
        </w:trPr>
        <w:tc>
          <w:tcPr>
            <w:tcW w:w="2580" w:type="dxa"/>
            <w:vAlign w:val="center"/>
          </w:tcPr>
          <w:p w14:paraId="3FFCE783" w14:textId="77777777" w:rsidR="00A3675B" w:rsidRDefault="00BD26C8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lastRenderedPageBreak/>
              <w:t>关于本次活动是否涉及应</w:t>
            </w:r>
          </w:p>
          <w:p w14:paraId="25E78003" w14:textId="77777777" w:rsidR="00A3675B" w:rsidRDefault="00BD26C8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45" w:type="dxa"/>
            <w:vAlign w:val="center"/>
          </w:tcPr>
          <w:p w14:paraId="062E6B04" w14:textId="77777777" w:rsidR="00A3675B" w:rsidRDefault="00BD26C8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本次活动不涉及未公开披露的重大信息。</w:t>
            </w:r>
          </w:p>
        </w:tc>
      </w:tr>
      <w:tr w:rsidR="00A3675B" w14:paraId="56D65291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6A2D428E" w14:textId="77777777" w:rsidR="00A3675B" w:rsidRDefault="00BD26C8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 w14:paraId="444E23F5" w14:textId="77777777" w:rsidR="00A3675B" w:rsidRDefault="00A3675B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A3675B" w14:paraId="254E6313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452F768A" w14:textId="77777777" w:rsidR="00A3675B" w:rsidRDefault="00BD26C8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1F6D5AA9" w14:textId="77777777" w:rsidR="00A3675B" w:rsidRDefault="00BD26C8">
            <w:pPr>
              <w:pStyle w:val="TableParagraph"/>
              <w:spacing w:before="100" w:beforeAutospacing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2025年09月02日</w:t>
            </w:r>
          </w:p>
        </w:tc>
      </w:tr>
    </w:tbl>
    <w:p w14:paraId="61272CB9" w14:textId="77777777" w:rsidR="00A3675B" w:rsidRDefault="00A3675B">
      <w:pPr>
        <w:rPr>
          <w:rFonts w:ascii="宋体" w:eastAsia="宋体" w:hAnsi="宋体" w:cs="宋体"/>
          <w:sz w:val="28"/>
          <w:szCs w:val="36"/>
        </w:rPr>
      </w:pPr>
    </w:p>
    <w:sectPr w:rsidR="00A3675B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BBF5A" w14:textId="77777777" w:rsidR="00C37274" w:rsidRDefault="00C37274" w:rsidP="00121417">
      <w:r>
        <w:separator/>
      </w:r>
    </w:p>
  </w:endnote>
  <w:endnote w:type="continuationSeparator" w:id="0">
    <w:p w14:paraId="6C915FC5" w14:textId="77777777" w:rsidR="00C37274" w:rsidRDefault="00C37274" w:rsidP="0012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03B8E" w14:textId="77777777" w:rsidR="00C37274" w:rsidRDefault="00C37274" w:rsidP="00121417">
      <w:r>
        <w:separator/>
      </w:r>
    </w:p>
  </w:footnote>
  <w:footnote w:type="continuationSeparator" w:id="0">
    <w:p w14:paraId="2A8DEE5D" w14:textId="77777777" w:rsidR="00C37274" w:rsidRDefault="00C37274" w:rsidP="0012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21417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B1326"/>
    <w:rsid w:val="004F6FF3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3675B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D26C8"/>
    <w:rsid w:val="00BF132F"/>
    <w:rsid w:val="00C13878"/>
    <w:rsid w:val="00C37274"/>
    <w:rsid w:val="00CA1705"/>
    <w:rsid w:val="00CE1A54"/>
    <w:rsid w:val="00CF5FB6"/>
    <w:rsid w:val="00D02518"/>
    <w:rsid w:val="00D17454"/>
    <w:rsid w:val="00D33FBC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6D05569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9A7005-040E-4349-8FFB-34ED1CC1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2">
    <w:name w:val="页眉 Char"/>
    <w:basedOn w:val="a0"/>
    <w:link w:val="a7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1">
    <w:name w:val="页脚 Char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批注文字 Char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Char3">
    <w:name w:val="批注主题 Char"/>
    <w:basedOn w:val="Char"/>
    <w:link w:val="a8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5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65CA-41D5-4F0B-B030-80798BFF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YQQ</cp:lastModifiedBy>
  <cp:revision>3</cp:revision>
  <dcterms:created xsi:type="dcterms:W3CDTF">2025-09-02T03:13:00Z</dcterms:created>
  <dcterms:modified xsi:type="dcterms:W3CDTF">2025-09-02T03:16:00Z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57D148DF2F764966BF4E1C38A6255FA2</vt:lpwstr>
  </property>
  <property fmtid="{D5CDD505-2E9C-101B-9397-08002B2CF9AE}" pid="4" name="KSOTemplateDocerSaveRecord">
    <vt:lpwstr>eyJoZGlkIjoiMTcxYzY1ZjczOGFjMDQ3ZmRiZmM2NTQwNjRlNDU1YmMiLCJ1c2VySWQiOiI0MjgxMjU5MDkifQ==</vt:lpwstr>
  </property>
</Properties>
</file>