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eastAsia="宋体" w:cs="宋体"/>
          <w:sz w:val="24"/>
          <w:lang w:val="en-US" w:eastAsia="zh-CN"/>
        </w:rPr>
      </w:pPr>
      <w:r>
        <w:rPr>
          <w:rFonts w:hint="eastAsia" w:ascii="宋体" w:hAnsi="宋体" w:cs="宋体"/>
          <w:sz w:val="24"/>
        </w:rPr>
        <w:t>编号：2025-00</w:t>
      </w:r>
      <w:r>
        <w:rPr>
          <w:rFonts w:hint="eastAsia" w:ascii="宋体" w:hAnsi="宋体" w:cs="宋体"/>
          <w:sz w:val="24"/>
          <w:lang w:val="en-US" w:eastAsia="zh-CN"/>
        </w:rPr>
        <w:t>6</w:t>
      </w:r>
    </w:p>
    <w:tbl>
      <w:tblPr>
        <w:tblStyle w:val="7"/>
        <w:tblW w:w="9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395"/>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395"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rPr>
              <w:t>□现场参观       □一对一沟通      ☑其他（电话会议</w:t>
            </w:r>
            <w:r>
              <w:rPr>
                <w:rFonts w:hint="eastAsia" w:ascii="宋体" w:hAnsi="宋体" w:cs="宋体"/>
                <w:bCs/>
                <w:sz w:val="24"/>
                <w:lang w:eastAsia="zh-CN"/>
              </w:rPr>
              <w:t>、</w:t>
            </w:r>
            <w:r>
              <w:rPr>
                <w:rFonts w:hint="eastAsia" w:ascii="宋体" w:hAnsi="宋体" w:cs="宋体"/>
                <w:bCs/>
                <w:sz w:val="24"/>
                <w:lang w:val="en-US" w:eastAsia="zh-CN"/>
              </w:rPr>
              <w:t>策略会</w:t>
            </w:r>
            <w:r>
              <w:rPr>
                <w:rFonts w:hint="eastAsia" w:ascii="宋体" w:hAnsi="宋体" w:cs="宋体"/>
                <w:bCs/>
                <w:sz w:val="24"/>
              </w:rPr>
              <w:t>）</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235215C">
            <w:pPr>
              <w:jc w:val="center"/>
              <w:rPr>
                <w:rFonts w:hint="eastAsia" w:ascii="宋体" w:hAnsi="宋体" w:cs="宋体"/>
                <w:b/>
                <w:bCs/>
                <w:sz w:val="24"/>
              </w:rPr>
            </w:pPr>
            <w:r>
              <w:rPr>
                <w:rFonts w:hint="eastAsia" w:ascii="宋体" w:hAnsi="宋体" w:cs="宋体"/>
                <w:b/>
                <w:bCs/>
                <w:sz w:val="24"/>
              </w:rPr>
              <w:t>参与单位</w:t>
            </w:r>
          </w:p>
          <w:p w14:paraId="36E3EB3A">
            <w:pPr>
              <w:jc w:val="center"/>
              <w:rPr>
                <w:rFonts w:hint="eastAsia" w:ascii="宋体" w:hAnsi="宋体" w:cs="宋体"/>
                <w:b/>
                <w:bCs/>
                <w:sz w:val="24"/>
              </w:rPr>
            </w:pPr>
            <w:r>
              <w:rPr>
                <w:rFonts w:hint="eastAsia" w:ascii="宋体" w:hAnsi="宋体" w:cs="宋体"/>
                <w:b/>
                <w:bCs/>
                <w:sz w:val="24"/>
              </w:rPr>
              <w:t>名称</w:t>
            </w:r>
          </w:p>
        </w:tc>
        <w:tc>
          <w:tcPr>
            <w:tcW w:w="7395" w:type="dxa"/>
            <w:tcBorders>
              <w:top w:val="single" w:color="auto" w:sz="4" w:space="0"/>
              <w:left w:val="single" w:color="auto" w:sz="4" w:space="0"/>
              <w:bottom w:val="single" w:color="auto" w:sz="4" w:space="0"/>
              <w:right w:val="single" w:color="auto" w:sz="12" w:space="0"/>
            </w:tcBorders>
            <w:vAlign w:val="center"/>
          </w:tcPr>
          <w:p w14:paraId="42010879">
            <w:pPr>
              <w:rPr>
                <w:rFonts w:hint="eastAsia" w:ascii="宋体" w:hAnsi="宋体" w:cs="宋体"/>
                <w:sz w:val="24"/>
              </w:rPr>
            </w:pPr>
            <w:r>
              <w:rPr>
                <w:rFonts w:hint="eastAsia" w:ascii="宋体" w:hAnsi="宋体" w:cs="宋体"/>
                <w:sz w:val="24"/>
              </w:rPr>
              <w:t>天风证券</w:t>
            </w:r>
            <w:r>
              <w:rPr>
                <w:rFonts w:hint="eastAsia" w:ascii="宋体" w:hAnsi="宋体" w:cs="宋体"/>
                <w:sz w:val="24"/>
                <w:lang w:eastAsia="zh-CN"/>
              </w:rPr>
              <w:t>、成都锦天成资产、承珞(上海)投资、平安资产、长江证券、福建三松集团</w:t>
            </w:r>
            <w:r>
              <w:rPr>
                <w:rFonts w:hint="eastAsia" w:ascii="宋体" w:hAnsi="宋体" w:cs="宋体"/>
                <w:sz w:val="24"/>
              </w:rPr>
              <w:t>（排名不分先后）</w:t>
            </w:r>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395" w:type="dxa"/>
            <w:tcBorders>
              <w:top w:val="single" w:color="auto" w:sz="4" w:space="0"/>
              <w:left w:val="single" w:color="auto" w:sz="4" w:space="0"/>
              <w:bottom w:val="single" w:color="auto" w:sz="4" w:space="0"/>
              <w:right w:val="single" w:color="auto" w:sz="12" w:space="0"/>
            </w:tcBorders>
            <w:vAlign w:val="center"/>
          </w:tcPr>
          <w:p w14:paraId="4D3AEDB3">
            <w:pPr>
              <w:rPr>
                <w:rFonts w:hint="default" w:ascii="宋体" w:hAnsi="宋体" w:eastAsia="宋体" w:cs="宋体"/>
                <w:sz w:val="24"/>
                <w:lang w:val="en-US" w:eastAsia="zh-CN"/>
              </w:rPr>
            </w:pPr>
            <w:r>
              <w:rPr>
                <w:rFonts w:hint="eastAsia" w:ascii="宋体" w:hAnsi="宋体" w:cs="宋体"/>
                <w:sz w:val="24"/>
                <w:lang w:val="en-US" w:eastAsia="zh-CN"/>
              </w:rPr>
              <w:t>9月1日</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cs="宋体"/>
                <w:b/>
                <w:bCs/>
                <w:sz w:val="24"/>
              </w:rPr>
            </w:pPr>
            <w:r>
              <w:rPr>
                <w:rFonts w:hint="eastAsia" w:ascii="宋体" w:hAnsi="宋体" w:cs="宋体"/>
                <w:b/>
                <w:bCs/>
                <w:sz w:val="24"/>
              </w:rPr>
              <w:t>地点</w:t>
            </w:r>
          </w:p>
        </w:tc>
        <w:tc>
          <w:tcPr>
            <w:tcW w:w="7395" w:type="dxa"/>
            <w:tcBorders>
              <w:top w:val="single" w:color="auto" w:sz="4" w:space="0"/>
              <w:left w:val="single" w:color="auto" w:sz="4" w:space="0"/>
              <w:bottom w:val="single" w:color="auto" w:sz="4" w:space="0"/>
              <w:right w:val="single" w:color="auto" w:sz="12" w:space="0"/>
            </w:tcBorders>
            <w:vAlign w:val="center"/>
          </w:tcPr>
          <w:p w14:paraId="13ABF2BC">
            <w:pPr>
              <w:spacing w:line="360" w:lineRule="auto"/>
              <w:rPr>
                <w:rFonts w:hint="default" w:ascii="宋体" w:hAnsi="宋体" w:eastAsia="宋体" w:cs="宋体"/>
                <w:sz w:val="24"/>
                <w:lang w:val="en-US" w:eastAsia="zh-CN"/>
              </w:rPr>
            </w:pPr>
            <w:r>
              <w:rPr>
                <w:rFonts w:hint="eastAsia" w:ascii="宋体" w:hAnsi="宋体" w:cs="宋体"/>
                <w:sz w:val="24"/>
                <w:lang w:val="en-US" w:eastAsia="zh-CN"/>
              </w:rPr>
              <w:t>网络电话会议</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395" w:type="dxa"/>
            <w:tcBorders>
              <w:top w:val="single" w:color="auto" w:sz="4" w:space="0"/>
              <w:left w:val="single" w:color="auto" w:sz="4" w:space="0"/>
              <w:bottom w:val="single" w:color="auto" w:sz="4" w:space="0"/>
              <w:right w:val="single" w:color="auto" w:sz="12" w:space="0"/>
            </w:tcBorders>
            <w:vAlign w:val="center"/>
          </w:tcPr>
          <w:p w14:paraId="4C0B57AB">
            <w:pPr>
              <w:spacing w:line="360" w:lineRule="auto"/>
              <w:rPr>
                <w:rFonts w:hint="eastAsia" w:ascii="宋体" w:hAnsi="宋体" w:cs="宋体"/>
                <w:sz w:val="24"/>
              </w:rPr>
            </w:pPr>
            <w:r>
              <w:rPr>
                <w:rFonts w:hint="eastAsia" w:ascii="宋体" w:hAnsi="宋体" w:cs="宋体"/>
                <w:sz w:val="24"/>
              </w:rPr>
              <w:t>董事会秘书：薛泰尧</w:t>
            </w:r>
          </w:p>
          <w:p w14:paraId="0D038D8E">
            <w:pPr>
              <w:spacing w:line="360" w:lineRule="auto"/>
              <w:rPr>
                <w:rFonts w:hint="eastAsia" w:ascii="宋体" w:hAnsi="宋体" w:cs="宋体"/>
                <w:sz w:val="24"/>
              </w:rPr>
            </w:pPr>
            <w:r>
              <w:rPr>
                <w:rFonts w:hint="eastAsia" w:ascii="宋体" w:hAnsi="宋体" w:cs="宋体"/>
                <w:sz w:val="24"/>
              </w:rPr>
              <w:t>证券事务专员：姜怡</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395" w:type="dxa"/>
            <w:tcBorders>
              <w:top w:val="single" w:color="auto" w:sz="4" w:space="0"/>
              <w:left w:val="single" w:color="auto" w:sz="4" w:space="0"/>
              <w:bottom w:val="single" w:color="auto" w:sz="4" w:space="0"/>
              <w:right w:val="single" w:color="auto" w:sz="12" w:space="0"/>
            </w:tcBorders>
          </w:tcPr>
          <w:p w14:paraId="5F88381B">
            <w:pPr>
              <w:pStyle w:val="17"/>
              <w:tabs>
                <w:tab w:val="left" w:pos="788"/>
              </w:tabs>
              <w:spacing w:line="360" w:lineRule="auto"/>
              <w:ind w:firstLine="0" w:firstLineChars="0"/>
              <w:rPr>
                <w:rFonts w:hint="default" w:ascii="宋体" w:hAnsi="宋体" w:eastAsia="宋体" w:cs="宋体"/>
                <w:szCs w:val="21"/>
                <w:lang w:val="en-US" w:eastAsia="zh-CN"/>
              </w:rPr>
            </w:pPr>
            <w:r>
              <w:rPr>
                <w:rFonts w:hint="eastAsia" w:ascii="宋体" w:hAnsi="宋体" w:cs="宋体"/>
                <w:b/>
                <w:bCs/>
                <w:szCs w:val="21"/>
              </w:rPr>
              <w:t>1、公司的基本情况及2025年上半年业绩情况</w:t>
            </w:r>
          </w:p>
          <w:p w14:paraId="39AA08E3">
            <w:pPr>
              <w:pStyle w:val="17"/>
              <w:tabs>
                <w:tab w:val="left" w:pos="788"/>
              </w:tabs>
              <w:spacing w:line="360" w:lineRule="auto"/>
              <w:rPr>
                <w:rFonts w:hint="eastAsia" w:ascii="宋体" w:hAnsi="宋体" w:cs="宋体"/>
                <w:szCs w:val="21"/>
              </w:rPr>
            </w:pPr>
            <w:r>
              <w:rPr>
                <w:rFonts w:hint="eastAsia" w:ascii="宋体" w:hAnsi="宋体" w:cs="宋体"/>
                <w:szCs w:val="21"/>
              </w:rPr>
              <w:t>公司始终秉持“品质为金 顾客是帝”的核心经营理念，以精密冲压技术为根基，持续拓展多元化应用场景，通过技术创新实现工艺升级与产品迭代，积极推进募投项目实施、量产产线复制和新产品拓展。在轴承保持架领域，瞄准全球产业链高端客户及前沿市场需要，研发推动风电行业、轨道交通、数控机床、汽车领域等工业高端装备应用的长寿命、高可靠性、耐摩擦、耐腐蚀的高端精密轴承保持架产品；在精密零部件领域，与国内、外头部汽车系统总成供应商形成长期战略合作，产品已经应用到国内、外知名的多家汽车整车厂；在新能源电驱动领域，布局拥有核心技术及知识产权的新能源电驱动系列产品，应用于主要新能源汽车品牌，为公司持续提升新质生产力夯实了坚定的基础。公司坚守主业，稳定增长，促进创新，增加就业，2025年7月，荣获“山东省民营经济高质量发展突出贡献企业”称号。</w:t>
            </w:r>
          </w:p>
          <w:p w14:paraId="07C3AD44">
            <w:pPr>
              <w:pStyle w:val="17"/>
              <w:tabs>
                <w:tab w:val="left" w:pos="788"/>
              </w:tabs>
              <w:spacing w:line="360" w:lineRule="auto"/>
              <w:rPr>
                <w:rFonts w:hint="eastAsia" w:ascii="宋体" w:hAnsi="宋体" w:cs="宋体"/>
                <w:szCs w:val="21"/>
              </w:rPr>
            </w:pPr>
            <w:r>
              <w:rPr>
                <w:rFonts w:hint="eastAsia" w:ascii="宋体" w:hAnsi="宋体" w:cs="宋体"/>
                <w:szCs w:val="21"/>
              </w:rPr>
              <w:t>截至202</w:t>
            </w:r>
            <w:r>
              <w:rPr>
                <w:rFonts w:hint="default" w:ascii="宋体" w:hAnsi="宋体" w:cs="宋体"/>
                <w:szCs w:val="21"/>
                <w:lang w:val="en-US"/>
              </w:rPr>
              <w:t>5</w:t>
            </w:r>
            <w:r>
              <w:rPr>
                <w:rFonts w:hint="eastAsia" w:ascii="宋体" w:hAnsi="宋体" w:cs="宋体"/>
                <w:szCs w:val="21"/>
              </w:rPr>
              <w:t>年6月30日，资产总额38.06亿元，比上年末增长15.54%，负债总额15.80亿元，比上年末增长</w:t>
            </w:r>
            <w:bookmarkStart w:id="0" w:name="_GoBack"/>
            <w:bookmarkEnd w:id="0"/>
            <w:r>
              <w:rPr>
                <w:rFonts w:hint="eastAsia" w:ascii="宋体" w:hAnsi="宋体" w:cs="宋体"/>
                <w:szCs w:val="21"/>
              </w:rPr>
              <w:t>38.79%，资产负债率为41.51%，流动比率1.34，具有良好的偿债能力。公司也积极回报股东，2025年上半年拟分红1,095.53万元，分红比例达到14.43%。</w:t>
            </w:r>
          </w:p>
          <w:p w14:paraId="4343D2F7">
            <w:pPr>
              <w:pStyle w:val="17"/>
              <w:tabs>
                <w:tab w:val="left" w:pos="788"/>
              </w:tabs>
              <w:spacing w:line="360" w:lineRule="auto"/>
              <w:rPr>
                <w:rFonts w:hint="eastAsia" w:ascii="宋体" w:hAnsi="宋体" w:cs="宋体"/>
                <w:szCs w:val="21"/>
              </w:rPr>
            </w:pPr>
            <w:r>
              <w:rPr>
                <w:rFonts w:hint="eastAsia" w:ascii="宋体" w:hAnsi="宋体" w:cs="宋体"/>
                <w:szCs w:val="21"/>
              </w:rPr>
              <w:t>公司2025年上半年实现营业收入83,469.74万元，同比增长40.57%；归属于上市公司股东的净利润7,593.26万元，同比增长32.86%，归属于上市公司股东的扣除非经常性损益的净利润7,188.86万元，同比增长45.57%。</w:t>
            </w:r>
          </w:p>
          <w:p w14:paraId="3AC08845">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2、</w:t>
            </w:r>
            <w:r>
              <w:rPr>
                <w:rFonts w:hint="eastAsia" w:ascii="宋体" w:hAnsi="宋体" w:cs="宋体"/>
                <w:b/>
                <w:bCs/>
                <w:szCs w:val="21"/>
                <w:lang w:val="en-US" w:eastAsia="zh-CN"/>
              </w:rPr>
              <w:t>公司</w:t>
            </w:r>
            <w:r>
              <w:rPr>
                <w:rFonts w:hint="eastAsia" w:ascii="宋体" w:hAnsi="宋体" w:cs="宋体"/>
                <w:b/>
                <w:bCs/>
                <w:szCs w:val="21"/>
              </w:rPr>
              <w:t>风电产品收入增</w:t>
            </w:r>
            <w:r>
              <w:rPr>
                <w:rFonts w:hint="eastAsia" w:ascii="宋体" w:hAnsi="宋体" w:cs="宋体"/>
                <w:b/>
                <w:bCs/>
                <w:szCs w:val="21"/>
                <w:lang w:val="en-US" w:eastAsia="zh-CN"/>
              </w:rPr>
              <w:t>长</w:t>
            </w:r>
            <w:r>
              <w:rPr>
                <w:rFonts w:hint="eastAsia" w:ascii="宋体" w:hAnsi="宋体" w:cs="宋体"/>
                <w:b/>
                <w:bCs/>
                <w:szCs w:val="21"/>
              </w:rPr>
              <w:t>的原因</w:t>
            </w:r>
          </w:p>
          <w:p w14:paraId="070A1B36">
            <w:pPr>
              <w:pStyle w:val="17"/>
              <w:tabs>
                <w:tab w:val="left" w:pos="788"/>
              </w:tabs>
              <w:spacing w:line="360" w:lineRule="auto"/>
              <w:rPr>
                <w:rFonts w:hint="eastAsia" w:ascii="宋体" w:hAnsi="宋体" w:cs="宋体"/>
                <w:szCs w:val="21"/>
              </w:rPr>
            </w:pPr>
            <w:r>
              <w:rPr>
                <w:rFonts w:hint="eastAsia" w:ascii="宋体" w:hAnsi="宋体" w:cs="宋体"/>
                <w:szCs w:val="21"/>
              </w:rPr>
              <w:t>风电行业轴承保持架领域，根据中国风电新闻网公布的2025年1-6月中国风电不含框架招标项目总规模为91,853MW（含国际项目），与2024年1-6月中国风电不含框架招标项目总规模82,813MW（含国际项目）相比增长了10.92%，为上游轴承保持架增加了较为显著的市场容量。</w:t>
            </w:r>
          </w:p>
          <w:p w14:paraId="35D64578">
            <w:pPr>
              <w:pStyle w:val="17"/>
              <w:tabs>
                <w:tab w:val="left" w:pos="788"/>
              </w:tabs>
              <w:spacing w:line="360" w:lineRule="auto"/>
              <w:rPr>
                <w:rFonts w:hint="eastAsia" w:ascii="宋体" w:hAnsi="宋体" w:cs="宋体"/>
                <w:szCs w:val="21"/>
                <w:lang w:eastAsia="zh-CN"/>
              </w:rPr>
            </w:pPr>
            <w:r>
              <w:rPr>
                <w:rFonts w:hint="eastAsia" w:ascii="宋体" w:hAnsi="宋体" w:cs="宋体"/>
                <w:szCs w:val="21"/>
              </w:rPr>
              <w:t>风电行业的增长带动公司风电产品收入增加，风电行业保持架产品实现收入2.14亿元，同比增长118.65%，二季度达到1.30亿元，同比增长133.11%，环比一季度增长54.16%</w:t>
            </w:r>
            <w:r>
              <w:rPr>
                <w:rFonts w:hint="eastAsia" w:ascii="宋体" w:hAnsi="宋体" w:cs="宋体"/>
                <w:szCs w:val="21"/>
                <w:lang w:eastAsia="zh-CN"/>
              </w:rPr>
              <w:t>。</w:t>
            </w:r>
          </w:p>
          <w:p w14:paraId="2971D51F">
            <w:pPr>
              <w:pStyle w:val="17"/>
              <w:tabs>
                <w:tab w:val="left" w:pos="788"/>
              </w:tabs>
              <w:spacing w:line="360" w:lineRule="auto"/>
              <w:ind w:firstLine="0" w:firstLineChars="0"/>
              <w:rPr>
                <w:rFonts w:hint="default" w:ascii="宋体" w:hAnsi="宋体" w:cs="宋体"/>
                <w:b/>
                <w:bCs/>
                <w:szCs w:val="21"/>
                <w:lang w:val="en-US" w:eastAsia="zh-CN"/>
              </w:rPr>
            </w:pPr>
            <w:r>
              <w:rPr>
                <w:rFonts w:hint="eastAsia" w:ascii="宋体" w:hAnsi="宋体" w:cs="宋体"/>
                <w:b/>
                <w:bCs/>
                <w:szCs w:val="21"/>
                <w:lang w:val="en-US" w:eastAsia="zh-CN"/>
              </w:rPr>
              <w:t>3、公司定转子业务收入增长的原因</w:t>
            </w:r>
          </w:p>
          <w:p w14:paraId="2E1C04D4">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公司定转子业务收入增长主要有三个方面：</w:t>
            </w:r>
          </w:p>
          <w:p w14:paraId="1AB1B6B0">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公司产品量产项目增加比较明显，截至2025年7月末，公司新能源汽车电驱动系统定转子系列产品已有102个产品项目，比2025年3月末的产品项目77个增长了32.47%，其中：45个产品已量产，5个产品为PPAP样品交付中，15个产品为C样或OTS样品交付中，37个产品为A样或B样交付中。上述系列产品已应用到国内外新能源汽车品牌合计达19个。</w:t>
            </w:r>
          </w:p>
          <w:p w14:paraId="45FB9D8D">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）市场应用容量持续扩大，异步电机和同步电机搭配的双电机配置在新能源15万元至30万元区间车型中大量应用，有效拓宽公司定转子系列产品的未来销售增长空间。</w:t>
            </w:r>
          </w:p>
          <w:p w14:paraId="389F3209">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公司铸铝转子技术成熟度较高，公司铸铝转子产品，创新采用无镍配方，具有完全的自主知识产权，具有良好的成本性能优势，在行业内同时拥有高压铸造和离心铸造两种工艺路线设计且已实现批量生产，产线全部实现自主连线智能化制造，牵头起草《新能源汽车异步电机铸铝转子通用要求》团体标准，公司在研发、技术、工艺等诸多方面已构建起行业壁垒，具有明显的行业先发优势。“轻量化、高性能新能源汽车电驱动异步感应电机铸铝转子制造技术”，荣获新华社中国经济信息社与中国汽车工程研究院举办的2025年汽车新质生产力“驱动技术优秀案例”。</w:t>
            </w:r>
          </w:p>
          <w:p w14:paraId="19ED8494">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2025年上半年定转子系列产品实现营业收入13,298.03万元，同比增长330.98%。二季度达到0.78亿元，同比增长324.67%，环比增长39.77%。</w:t>
            </w:r>
          </w:p>
          <w:p w14:paraId="5CF4B9AD">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、公司谐波减速器的柔轮初坯进展情况</w:t>
            </w:r>
          </w:p>
          <w:p w14:paraId="290A946E">
            <w:pPr>
              <w:pStyle w:val="17"/>
              <w:tabs>
                <w:tab w:val="left" w:pos="788"/>
              </w:tabs>
              <w:spacing w:line="360" w:lineRule="auto"/>
              <w:rPr>
                <w:rFonts w:hint="eastAsia" w:ascii="宋体" w:hAnsi="宋体" w:cs="宋体"/>
                <w:szCs w:val="21"/>
              </w:rPr>
            </w:pPr>
            <w:r>
              <w:rPr>
                <w:rFonts w:hint="eastAsia" w:ascii="宋体" w:hAnsi="宋体" w:cs="宋体"/>
                <w:szCs w:val="21"/>
              </w:rPr>
              <w:t>机器人谐波减速机柔轮初坯产品研发方面，公司创新采用精密冲压替代锻造工艺，联合产业链上下游开发特种材料，成功实现进口替代，目前该产品晶粒度等级测试指标在谐波柔轮的常用范围内，达到高疲劳强度要求。已有部分客户的疲劳寿命验证测试时间达到一个月以上均未出现异常问题，目前尚在持续测试验证中。同时公司持续进行柔轮初坯精加工工序的研发试制，打通公司柔轮初坯成型、精加工前序与客户精加工后序、珩磨内孔、滚齿等工序无缝衔接，实现与客户的零距离协同，减少工装夹具等重复投入，降低整体产业链成本，实现成本性能优势。公司将持续推进产品型号拓展研发测试，量产产线择机布局，同时积极拓展产业链客户，为后续量产和市场拓展奠定了基础，提升新质生产力。截至目前，柔轮初坯相关产品尚未形成收入，对公司业绩不形成重大影响，敬请投资者注意投资风险。</w:t>
            </w:r>
          </w:p>
          <w:p w14:paraId="2296C3D1">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、公司定转子系列产品在非汽车领域的市场拓展情况</w:t>
            </w:r>
          </w:p>
          <w:p w14:paraId="382F19E9">
            <w:pPr>
              <w:pStyle w:val="17"/>
              <w:tabs>
                <w:tab w:val="left" w:pos="788"/>
              </w:tabs>
              <w:spacing w:line="360" w:lineRule="auto"/>
              <w:rPr>
                <w:rFonts w:hint="eastAsia" w:ascii="宋体" w:hAnsi="宋体" w:cs="宋体"/>
                <w:szCs w:val="21"/>
              </w:rPr>
            </w:pPr>
            <w:r>
              <w:rPr>
                <w:rFonts w:hint="eastAsia" w:ascii="宋体" w:hAnsi="宋体" w:cs="宋体"/>
                <w:szCs w:val="21"/>
              </w:rPr>
              <w:t>公司定转子产品在汽车领域的成熟应用基础上，逐步拓展至新兴行业领域，如：低空飞行电动垂直起降飞行器电机、无人清扫车扫盘电机定转子产品、人形机器人电机定子产品等。报告期内公司相关业务处于前期样品验证或小批阶段，占公司营业收入的比例非常小，对公司业绩不形成重大影响，未来也需要看行业的发展应用、客户的拓展情况及公司持续研发投入等，具有不确定性，敬请投资者注意投资风险。</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EF68EFF">
            <w:pPr>
              <w:jc w:val="center"/>
              <w:rPr>
                <w:rFonts w:hint="eastAsia" w:ascii="宋体" w:hAnsi="宋体" w:cs="宋体"/>
                <w:b/>
                <w:bCs/>
                <w:sz w:val="24"/>
              </w:rPr>
            </w:pPr>
            <w:r>
              <w:rPr>
                <w:rFonts w:hint="eastAsia" w:ascii="宋体" w:hAnsi="宋体" w:cs="宋体"/>
                <w:b/>
                <w:bCs/>
                <w:sz w:val="24"/>
              </w:rPr>
              <w:t>附件清单</w:t>
            </w:r>
          </w:p>
          <w:p w14:paraId="3757BE4B">
            <w:pPr>
              <w:jc w:val="center"/>
              <w:rPr>
                <w:rFonts w:hint="eastAsia" w:ascii="宋体" w:hAnsi="宋体" w:cs="宋体"/>
                <w:b/>
                <w:bCs/>
                <w:sz w:val="24"/>
              </w:rPr>
            </w:pPr>
            <w:r>
              <w:rPr>
                <w:rFonts w:hint="eastAsia" w:ascii="宋体" w:hAnsi="宋体" w:cs="宋体"/>
                <w:b/>
                <w:bCs/>
                <w:sz w:val="24"/>
              </w:rPr>
              <w:t>（如有）</w:t>
            </w:r>
          </w:p>
        </w:tc>
        <w:tc>
          <w:tcPr>
            <w:tcW w:w="7395" w:type="dxa"/>
            <w:tcBorders>
              <w:top w:val="single" w:color="auto" w:sz="4" w:space="0"/>
              <w:left w:val="single" w:color="auto" w:sz="4" w:space="0"/>
              <w:bottom w:val="single" w:color="auto" w:sz="4" w:space="0"/>
              <w:right w:val="single" w:color="auto" w:sz="12" w:space="0"/>
            </w:tcBorders>
            <w:vAlign w:val="center"/>
          </w:tcPr>
          <w:p w14:paraId="59290502">
            <w:pPr>
              <w:spacing w:line="360" w:lineRule="auto"/>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986" w:right="1800" w:bottom="986"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01C4"/>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866B8"/>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126C"/>
    <w:rsid w:val="00382B1C"/>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404CA"/>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21266"/>
    <w:rsid w:val="0073320D"/>
    <w:rsid w:val="00736A80"/>
    <w:rsid w:val="00742D08"/>
    <w:rsid w:val="007460EB"/>
    <w:rsid w:val="00746C2A"/>
    <w:rsid w:val="007713DA"/>
    <w:rsid w:val="00771BAA"/>
    <w:rsid w:val="00792EEF"/>
    <w:rsid w:val="007A4530"/>
    <w:rsid w:val="007A6F30"/>
    <w:rsid w:val="007A7D7C"/>
    <w:rsid w:val="007B371D"/>
    <w:rsid w:val="007B4CF9"/>
    <w:rsid w:val="007D50CC"/>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59ED"/>
    <w:rsid w:val="0097726C"/>
    <w:rsid w:val="0098145D"/>
    <w:rsid w:val="009830FD"/>
    <w:rsid w:val="00986A7C"/>
    <w:rsid w:val="009918C4"/>
    <w:rsid w:val="009A084D"/>
    <w:rsid w:val="009A7E63"/>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192F"/>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166B8"/>
    <w:rsid w:val="00C3372B"/>
    <w:rsid w:val="00C358B5"/>
    <w:rsid w:val="00C42CBD"/>
    <w:rsid w:val="00C4451C"/>
    <w:rsid w:val="00C47C64"/>
    <w:rsid w:val="00C51B18"/>
    <w:rsid w:val="00C5461F"/>
    <w:rsid w:val="00C61A3F"/>
    <w:rsid w:val="00C63FD3"/>
    <w:rsid w:val="00C70626"/>
    <w:rsid w:val="00C711F7"/>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40929"/>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3791753"/>
    <w:rsid w:val="05FE4D9E"/>
    <w:rsid w:val="062A4F87"/>
    <w:rsid w:val="065D7953"/>
    <w:rsid w:val="06624721"/>
    <w:rsid w:val="06B50CF4"/>
    <w:rsid w:val="06FA704F"/>
    <w:rsid w:val="07AD40C1"/>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0FB41ADB"/>
    <w:rsid w:val="104135F9"/>
    <w:rsid w:val="1136523C"/>
    <w:rsid w:val="11DB182B"/>
    <w:rsid w:val="12541D09"/>
    <w:rsid w:val="12B83A1C"/>
    <w:rsid w:val="13084BF5"/>
    <w:rsid w:val="134A4EBA"/>
    <w:rsid w:val="13804818"/>
    <w:rsid w:val="15700933"/>
    <w:rsid w:val="15872EC9"/>
    <w:rsid w:val="163D4862"/>
    <w:rsid w:val="16AB4A88"/>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1507B54"/>
    <w:rsid w:val="22827E15"/>
    <w:rsid w:val="22AF4D3A"/>
    <w:rsid w:val="2370112B"/>
    <w:rsid w:val="23A83C63"/>
    <w:rsid w:val="23DB3F63"/>
    <w:rsid w:val="24465EFD"/>
    <w:rsid w:val="24DE5462"/>
    <w:rsid w:val="25333A00"/>
    <w:rsid w:val="2562533C"/>
    <w:rsid w:val="269229A8"/>
    <w:rsid w:val="269B372A"/>
    <w:rsid w:val="26DA5C3E"/>
    <w:rsid w:val="2745371A"/>
    <w:rsid w:val="27CE7A10"/>
    <w:rsid w:val="27F600B2"/>
    <w:rsid w:val="28EA2F04"/>
    <w:rsid w:val="29F71032"/>
    <w:rsid w:val="2AEF5D34"/>
    <w:rsid w:val="2B1B32F7"/>
    <w:rsid w:val="2B3F3269"/>
    <w:rsid w:val="2C0E57B8"/>
    <w:rsid w:val="2C1A3224"/>
    <w:rsid w:val="2C9C2162"/>
    <w:rsid w:val="2CBA5C99"/>
    <w:rsid w:val="2D1759B5"/>
    <w:rsid w:val="2D4402E1"/>
    <w:rsid w:val="2D9D235F"/>
    <w:rsid w:val="2E00644A"/>
    <w:rsid w:val="2E56402D"/>
    <w:rsid w:val="2E7712D2"/>
    <w:rsid w:val="2F8D1C03"/>
    <w:rsid w:val="30DE13F4"/>
    <w:rsid w:val="323C47BB"/>
    <w:rsid w:val="3321133C"/>
    <w:rsid w:val="33615BDC"/>
    <w:rsid w:val="342A2472"/>
    <w:rsid w:val="34364781"/>
    <w:rsid w:val="34FC2660"/>
    <w:rsid w:val="360C6034"/>
    <w:rsid w:val="36283D5A"/>
    <w:rsid w:val="3680281D"/>
    <w:rsid w:val="36C2479A"/>
    <w:rsid w:val="36F079A3"/>
    <w:rsid w:val="372206EE"/>
    <w:rsid w:val="37586C7E"/>
    <w:rsid w:val="38174ABC"/>
    <w:rsid w:val="38EF7122"/>
    <w:rsid w:val="3A396F6B"/>
    <w:rsid w:val="3CDF3E63"/>
    <w:rsid w:val="3D235CB1"/>
    <w:rsid w:val="3D54230E"/>
    <w:rsid w:val="3DB039E8"/>
    <w:rsid w:val="3F3B5533"/>
    <w:rsid w:val="3F855194"/>
    <w:rsid w:val="3F9E5AF5"/>
    <w:rsid w:val="3FFB177B"/>
    <w:rsid w:val="406A5594"/>
    <w:rsid w:val="408D14D1"/>
    <w:rsid w:val="41A87A44"/>
    <w:rsid w:val="41B15F81"/>
    <w:rsid w:val="41BE41FA"/>
    <w:rsid w:val="42417305"/>
    <w:rsid w:val="42777F20"/>
    <w:rsid w:val="42A45AE6"/>
    <w:rsid w:val="42B51AA1"/>
    <w:rsid w:val="42CB6BCE"/>
    <w:rsid w:val="42DD053E"/>
    <w:rsid w:val="43892C26"/>
    <w:rsid w:val="43D81D74"/>
    <w:rsid w:val="44A26356"/>
    <w:rsid w:val="44A616A1"/>
    <w:rsid w:val="457F7836"/>
    <w:rsid w:val="45A51959"/>
    <w:rsid w:val="462C02CC"/>
    <w:rsid w:val="47AA594C"/>
    <w:rsid w:val="47EA3E68"/>
    <w:rsid w:val="485E5304"/>
    <w:rsid w:val="486E77C8"/>
    <w:rsid w:val="489772F0"/>
    <w:rsid w:val="48981C49"/>
    <w:rsid w:val="493E26B7"/>
    <w:rsid w:val="49D42A65"/>
    <w:rsid w:val="4A4F27DB"/>
    <w:rsid w:val="4AFA62A3"/>
    <w:rsid w:val="4B48362D"/>
    <w:rsid w:val="4B8816A1"/>
    <w:rsid w:val="4BA12BC2"/>
    <w:rsid w:val="4C0D2006"/>
    <w:rsid w:val="4C8074D6"/>
    <w:rsid w:val="4C9C48D0"/>
    <w:rsid w:val="4EEE652E"/>
    <w:rsid w:val="4EF63225"/>
    <w:rsid w:val="50646EE4"/>
    <w:rsid w:val="51295E33"/>
    <w:rsid w:val="51633E2C"/>
    <w:rsid w:val="53257A81"/>
    <w:rsid w:val="53424C8B"/>
    <w:rsid w:val="53AB6CD4"/>
    <w:rsid w:val="546D21DB"/>
    <w:rsid w:val="556331D3"/>
    <w:rsid w:val="55AD3750"/>
    <w:rsid w:val="56DB79FF"/>
    <w:rsid w:val="57392849"/>
    <w:rsid w:val="5750754E"/>
    <w:rsid w:val="580A7B81"/>
    <w:rsid w:val="593F3A1A"/>
    <w:rsid w:val="59871AC3"/>
    <w:rsid w:val="59D309F0"/>
    <w:rsid w:val="5A1A017F"/>
    <w:rsid w:val="5A364A3A"/>
    <w:rsid w:val="5A916CD3"/>
    <w:rsid w:val="5AFC6067"/>
    <w:rsid w:val="5BA16936"/>
    <w:rsid w:val="5BE709C6"/>
    <w:rsid w:val="5BEA4B0C"/>
    <w:rsid w:val="5BFA166A"/>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47B148B"/>
    <w:rsid w:val="65444B12"/>
    <w:rsid w:val="660202AA"/>
    <w:rsid w:val="67BD3F72"/>
    <w:rsid w:val="67DC5256"/>
    <w:rsid w:val="67E5006B"/>
    <w:rsid w:val="68523C9C"/>
    <w:rsid w:val="69735746"/>
    <w:rsid w:val="69F60125"/>
    <w:rsid w:val="6A4946F9"/>
    <w:rsid w:val="6A694D9B"/>
    <w:rsid w:val="6ADF0C04"/>
    <w:rsid w:val="6B3E22B7"/>
    <w:rsid w:val="6B6E799E"/>
    <w:rsid w:val="6B8C6F93"/>
    <w:rsid w:val="6C266F3E"/>
    <w:rsid w:val="6C835B15"/>
    <w:rsid w:val="6D8601D1"/>
    <w:rsid w:val="6D88378A"/>
    <w:rsid w:val="6E254810"/>
    <w:rsid w:val="6E9248C1"/>
    <w:rsid w:val="6EE46909"/>
    <w:rsid w:val="6F2226D7"/>
    <w:rsid w:val="6F3A28AE"/>
    <w:rsid w:val="6F581E54"/>
    <w:rsid w:val="6FB62831"/>
    <w:rsid w:val="70CE7706"/>
    <w:rsid w:val="70DD4CE7"/>
    <w:rsid w:val="711F0FA6"/>
    <w:rsid w:val="7143510B"/>
    <w:rsid w:val="71C034F3"/>
    <w:rsid w:val="72946600"/>
    <w:rsid w:val="72C53305"/>
    <w:rsid w:val="72C57C74"/>
    <w:rsid w:val="72CE7E91"/>
    <w:rsid w:val="72D40618"/>
    <w:rsid w:val="730B5916"/>
    <w:rsid w:val="730E401F"/>
    <w:rsid w:val="735C724B"/>
    <w:rsid w:val="73775FE8"/>
    <w:rsid w:val="7399049F"/>
    <w:rsid w:val="73B10D49"/>
    <w:rsid w:val="74E268CD"/>
    <w:rsid w:val="74F57957"/>
    <w:rsid w:val="74FC2707"/>
    <w:rsid w:val="75A60C51"/>
    <w:rsid w:val="75AD70BD"/>
    <w:rsid w:val="75EE10A6"/>
    <w:rsid w:val="763B3A90"/>
    <w:rsid w:val="77594010"/>
    <w:rsid w:val="783830F2"/>
    <w:rsid w:val="784C05C2"/>
    <w:rsid w:val="784F4498"/>
    <w:rsid w:val="78BA2D1C"/>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 w:val="7FD10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 w:type="paragraph" w:customStyle="1" w:styleId="26">
    <w:name w:val="修订3"/>
    <w:hidden/>
    <w:unhideWhenUsed/>
    <w:qFormat/>
    <w:uiPriority w:val="99"/>
    <w:rPr>
      <w:rFonts w:ascii="Calibri" w:hAnsi="Calibri" w:eastAsia="宋体" w:cs="Times New Roman"/>
      <w:kern w:val="2"/>
      <w:sz w:val="21"/>
      <w:szCs w:val="24"/>
      <w:lang w:val="en-US" w:eastAsia="zh-CN" w:bidi="ar-SA"/>
    </w:rPr>
  </w:style>
  <w:style w:type="paragraph" w:customStyle="1" w:styleId="27">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2104</Words>
  <Characters>2318</Characters>
  <Lines>139</Lines>
  <Paragraphs>132</Paragraphs>
  <TotalTime>90</TotalTime>
  <ScaleCrop>false</ScaleCrop>
  <LinksUpToDate>false</LinksUpToDate>
  <CharactersWithSpaces>2391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2022-11-11T07:57:00Z</dcterms:created>
  <dc:creator>86186</dc:creator>
  <cp:lastModifiedBy>姜怡</cp:lastModifiedBy>
  <cp:lastPrinted>2025-02-14T06:02:00Z</cp:lastPrinted>
  <dcterms:modified xsi:type="dcterms:W3CDTF">2025-09-02T07:30:48Z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7A780F580051464B90E3B17151077273_13</vt:lpwstr>
  </property>
  <property fmtid="{D5CDD505-2E9C-101B-9397-08002B2CF9AE}" pid="4" name="KSOTemplateDocerSaveRecord">
    <vt:lpwstr>eyJoZGlkIjoiNDdiZGQxNmMzYTcwYjk0ZmU1Y2E2MWRhMzUyNWU5ZWQiLCJ1c2VySWQiOiIzODQ4ODI1MDMifQ==</vt:lpwstr>
  </property>
</Properties>
</file>