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2874">
      <w:pPr>
        <w:spacing w:line="360" w:lineRule="auto"/>
        <w:rPr>
          <w:rFonts w:ascii="楷体" w:hAnsi="楷体" w:eastAsia="楷体"/>
          <w:b/>
          <w:sz w:val="24"/>
        </w:rPr>
      </w:pPr>
      <w:r>
        <w:rPr>
          <w:rFonts w:hint="eastAsia" w:ascii="楷体" w:hAnsi="楷体" w:eastAsia="楷体"/>
          <w:b/>
          <w:sz w:val="24"/>
        </w:rPr>
        <w:t>证券简称：金钼股份                                  证券代码：6</w:t>
      </w:r>
      <w:r>
        <w:rPr>
          <w:rFonts w:ascii="楷体" w:hAnsi="楷体" w:eastAsia="楷体"/>
          <w:b/>
          <w:sz w:val="24"/>
        </w:rPr>
        <w:t>0</w:t>
      </w:r>
      <w:r>
        <w:rPr>
          <w:rFonts w:hint="eastAsia" w:ascii="楷体" w:hAnsi="楷体" w:eastAsia="楷体"/>
          <w:b/>
          <w:sz w:val="24"/>
        </w:rPr>
        <w:t>1958</w:t>
      </w:r>
    </w:p>
    <w:p w14:paraId="361207C7">
      <w:pPr>
        <w:spacing w:line="360" w:lineRule="auto"/>
        <w:rPr>
          <w:rFonts w:ascii="宋体" w:hAnsi="宋体"/>
          <w:sz w:val="24"/>
        </w:rPr>
      </w:pPr>
    </w:p>
    <w:p w14:paraId="25628389">
      <w:pPr>
        <w:adjustRightInd w:val="0"/>
        <w:snapToGrid w:val="0"/>
        <w:jc w:val="center"/>
        <w:rPr>
          <w:rFonts w:ascii="宋体" w:hAnsi="宋体"/>
          <w:b/>
          <w:sz w:val="36"/>
          <w:szCs w:val="36"/>
        </w:rPr>
      </w:pPr>
      <w:r>
        <w:rPr>
          <w:rFonts w:hint="eastAsia" w:ascii="宋体" w:hAnsi="宋体"/>
          <w:b/>
          <w:sz w:val="36"/>
          <w:szCs w:val="36"/>
        </w:rPr>
        <w:t>金堆城钼业股份有限公司</w:t>
      </w:r>
    </w:p>
    <w:p w14:paraId="2370F150">
      <w:pPr>
        <w:adjustRightInd w:val="0"/>
        <w:snapToGrid w:val="0"/>
        <w:jc w:val="center"/>
        <w:rPr>
          <w:rFonts w:ascii="宋体" w:hAnsi="宋体"/>
          <w:b/>
          <w:sz w:val="36"/>
          <w:szCs w:val="36"/>
        </w:rPr>
      </w:pPr>
      <w:r>
        <w:rPr>
          <w:rFonts w:hint="eastAsia" w:ascii="宋体" w:hAnsi="宋体"/>
          <w:b/>
          <w:sz w:val="36"/>
          <w:szCs w:val="36"/>
        </w:rPr>
        <w:t>投资者关系活动记录表</w:t>
      </w:r>
    </w:p>
    <w:tbl>
      <w:tblPr>
        <w:tblStyle w:val="9"/>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12"/>
      </w:tblGrid>
      <w:tr w14:paraId="2755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7A10E83E">
            <w:pPr>
              <w:spacing w:line="360" w:lineRule="auto"/>
              <w:jc w:val="center"/>
              <w:rPr>
                <w:rFonts w:ascii="宋体" w:hAnsi="宋体"/>
                <w:b/>
                <w:sz w:val="24"/>
              </w:rPr>
            </w:pPr>
            <w:r>
              <w:rPr>
                <w:rFonts w:hint="eastAsia" w:ascii="宋体" w:hAnsi="宋体"/>
                <w:b/>
                <w:sz w:val="24"/>
              </w:rPr>
              <w:t>投资者关系</w:t>
            </w:r>
          </w:p>
          <w:p w14:paraId="32B87ABD">
            <w:pPr>
              <w:spacing w:line="360" w:lineRule="auto"/>
              <w:jc w:val="center"/>
              <w:rPr>
                <w:rFonts w:ascii="宋体" w:hAnsi="宋体"/>
                <w:b/>
                <w:sz w:val="24"/>
              </w:rPr>
            </w:pPr>
            <w:r>
              <w:rPr>
                <w:rFonts w:hint="eastAsia" w:ascii="宋体" w:hAnsi="宋体"/>
                <w:b/>
                <w:sz w:val="24"/>
              </w:rPr>
              <w:t>活动类别</w:t>
            </w:r>
          </w:p>
        </w:tc>
        <w:tc>
          <w:tcPr>
            <w:tcW w:w="7312" w:type="dxa"/>
          </w:tcPr>
          <w:p w14:paraId="03BB460E">
            <w:pPr>
              <w:spacing w:line="360" w:lineRule="auto"/>
              <w:rPr>
                <w:rFonts w:ascii="宋体" w:hAnsi="宋体"/>
                <w:sz w:val="24"/>
              </w:rPr>
            </w:pPr>
            <w:r>
              <w:rPr>
                <w:rFonts w:ascii="宋体" w:hAnsi="宋体"/>
                <w:sz w:val="24"/>
              </w:rPr>
              <w:sym w:font="Wingdings 2" w:char="F0A3"/>
            </w:r>
            <w:r>
              <w:rPr>
                <w:rFonts w:hint="eastAsia" w:ascii="宋体" w:hAnsi="宋体"/>
                <w:sz w:val="24"/>
              </w:rPr>
              <w:t xml:space="preserve">特定对象调研   </w:t>
            </w:r>
            <w:r>
              <w:rPr>
                <w:rFonts w:ascii="宋体" w:hAnsi="宋体"/>
                <w:sz w:val="24"/>
              </w:rPr>
              <w:sym w:font="Wingdings 2" w:char="F0A3"/>
            </w:r>
            <w:r>
              <w:rPr>
                <w:rFonts w:hint="eastAsia" w:ascii="宋体" w:hAnsi="宋体"/>
                <w:sz w:val="24"/>
              </w:rPr>
              <w:t xml:space="preserve">分析师会议   </w:t>
            </w:r>
            <w:r>
              <w:rPr>
                <w:rFonts w:ascii="宋体" w:hAnsi="宋体"/>
                <w:sz w:val="24"/>
              </w:rPr>
              <w:sym w:font="Wingdings 2" w:char="F0A3"/>
            </w:r>
            <w:r>
              <w:rPr>
                <w:rFonts w:hint="eastAsia" w:ascii="宋体" w:hAnsi="宋体"/>
                <w:sz w:val="24"/>
              </w:rPr>
              <w:t>媒体采访</w:t>
            </w:r>
          </w:p>
          <w:p w14:paraId="4E72AFD8">
            <w:pPr>
              <w:spacing w:line="360" w:lineRule="auto"/>
              <w:rPr>
                <w:rFonts w:ascii="宋体" w:hAnsi="宋体"/>
                <w:sz w:val="24"/>
              </w:rPr>
            </w:pPr>
            <w:r>
              <w:rPr>
                <w:rFonts w:ascii="宋体" w:hAnsi="宋体"/>
                <w:sz w:val="24"/>
              </w:rPr>
              <w:sym w:font="Wingdings 2" w:char="F052"/>
            </w:r>
            <w:r>
              <w:rPr>
                <w:rFonts w:hint="eastAsia" w:ascii="宋体" w:hAnsi="宋体"/>
                <w:sz w:val="24"/>
              </w:rPr>
              <w:t xml:space="preserve">业绩说明会     </w:t>
            </w:r>
            <w:r>
              <w:rPr>
                <w:rFonts w:ascii="宋体" w:hAnsi="宋体"/>
                <w:sz w:val="24"/>
              </w:rPr>
              <w:sym w:font="Wingdings 2" w:char="F0A3"/>
            </w:r>
            <w:r>
              <w:rPr>
                <w:rFonts w:hint="eastAsia" w:ascii="宋体" w:hAnsi="宋体"/>
                <w:sz w:val="24"/>
              </w:rPr>
              <w:t>新闻发布会</w:t>
            </w:r>
          </w:p>
          <w:p w14:paraId="17DFCD80">
            <w:pPr>
              <w:spacing w:line="360" w:lineRule="auto"/>
              <w:rPr>
                <w:rFonts w:ascii="宋体" w:hAnsi="宋体"/>
                <w:sz w:val="24"/>
              </w:rPr>
            </w:pPr>
            <w:r>
              <w:rPr>
                <w:rFonts w:ascii="宋体" w:hAnsi="宋体"/>
                <w:sz w:val="24"/>
              </w:rPr>
              <w:sym w:font="Wingdings 2" w:char="F0A3"/>
            </w:r>
            <w:r>
              <w:rPr>
                <w:rFonts w:hint="eastAsia" w:ascii="宋体" w:hAnsi="宋体"/>
                <w:sz w:val="24"/>
              </w:rPr>
              <w:t xml:space="preserve">路演活动       </w:t>
            </w:r>
            <w:r>
              <w:rPr>
                <w:rFonts w:ascii="宋体" w:hAnsi="宋体"/>
                <w:sz w:val="24"/>
              </w:rPr>
              <w:sym w:font="Wingdings 2" w:char="F0A3"/>
            </w:r>
            <w:r>
              <w:rPr>
                <w:rFonts w:hint="eastAsia" w:ascii="宋体" w:hAnsi="宋体"/>
                <w:sz w:val="24"/>
              </w:rPr>
              <w:t xml:space="preserve">现场参观     </w:t>
            </w:r>
            <w:r>
              <w:rPr>
                <w:rFonts w:ascii="宋体" w:hAnsi="宋体"/>
                <w:sz w:val="24"/>
              </w:rPr>
              <w:sym w:font="Wingdings 2" w:char="F0A3"/>
            </w:r>
            <w:r>
              <w:rPr>
                <w:rFonts w:hint="eastAsia" w:ascii="宋体" w:hAnsi="宋体"/>
                <w:sz w:val="24"/>
              </w:rPr>
              <w:t>其他</w:t>
            </w:r>
          </w:p>
        </w:tc>
      </w:tr>
      <w:tr w14:paraId="1F5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5B815BB2">
            <w:pPr>
              <w:spacing w:line="360" w:lineRule="auto"/>
              <w:jc w:val="center"/>
              <w:rPr>
                <w:rFonts w:ascii="宋体" w:hAnsi="宋体"/>
                <w:b/>
                <w:sz w:val="24"/>
              </w:rPr>
            </w:pPr>
            <w:r>
              <w:rPr>
                <w:rFonts w:hint="eastAsia" w:ascii="宋体" w:hAnsi="宋体"/>
                <w:b/>
                <w:sz w:val="24"/>
              </w:rPr>
              <w:t>形   式</w:t>
            </w:r>
          </w:p>
        </w:tc>
        <w:tc>
          <w:tcPr>
            <w:tcW w:w="7312" w:type="dxa"/>
          </w:tcPr>
          <w:p w14:paraId="3E7D87B3">
            <w:pPr>
              <w:spacing w:line="360" w:lineRule="auto"/>
              <w:rPr>
                <w:rFonts w:ascii="宋体" w:hAnsi="宋体"/>
                <w:sz w:val="24"/>
              </w:rPr>
            </w:pPr>
            <w:r>
              <w:rPr>
                <w:rFonts w:ascii="宋体" w:hAnsi="宋体"/>
                <w:sz w:val="24"/>
              </w:rPr>
              <w:sym w:font="Wingdings 2" w:char="F0A3"/>
            </w:r>
            <w:r>
              <w:rPr>
                <w:rFonts w:hint="eastAsia" w:ascii="宋体" w:hAnsi="宋体"/>
                <w:sz w:val="24"/>
              </w:rPr>
              <w:t xml:space="preserve">现场           </w:t>
            </w:r>
            <w:r>
              <w:rPr>
                <w:rFonts w:ascii="宋体" w:hAnsi="宋体"/>
                <w:sz w:val="24"/>
              </w:rPr>
              <w:sym w:font="Wingdings 2" w:char="F052"/>
            </w:r>
            <w:r>
              <w:rPr>
                <w:rFonts w:hint="eastAsia" w:ascii="宋体" w:hAnsi="宋体"/>
                <w:sz w:val="24"/>
              </w:rPr>
              <w:t xml:space="preserve">网络         </w:t>
            </w:r>
            <w:r>
              <w:rPr>
                <w:rFonts w:ascii="宋体" w:hAnsi="宋体"/>
                <w:sz w:val="24"/>
              </w:rPr>
              <w:sym w:font="Wingdings 2" w:char="F0A3"/>
            </w:r>
            <w:r>
              <w:rPr>
                <w:rFonts w:hint="eastAsia" w:ascii="宋体" w:hAnsi="宋体"/>
                <w:sz w:val="24"/>
              </w:rPr>
              <w:t>电话会议</w:t>
            </w:r>
          </w:p>
        </w:tc>
      </w:tr>
      <w:tr w14:paraId="28CF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773E23ED">
            <w:pPr>
              <w:spacing w:line="360" w:lineRule="auto"/>
              <w:jc w:val="center"/>
              <w:rPr>
                <w:rFonts w:ascii="宋体" w:hAnsi="宋体"/>
                <w:b/>
                <w:sz w:val="24"/>
              </w:rPr>
            </w:pPr>
            <w:r>
              <w:rPr>
                <w:rFonts w:hint="eastAsia" w:ascii="宋体" w:hAnsi="宋体"/>
                <w:b/>
                <w:sz w:val="24"/>
              </w:rPr>
              <w:t>来访单位</w:t>
            </w:r>
          </w:p>
        </w:tc>
        <w:tc>
          <w:tcPr>
            <w:tcW w:w="7312" w:type="dxa"/>
            <w:vAlign w:val="center"/>
          </w:tcPr>
          <w:p w14:paraId="417D9812">
            <w:pPr>
              <w:rPr>
                <w:rFonts w:ascii="宋体" w:hAnsi="宋体" w:cs="宋体"/>
                <w:sz w:val="24"/>
              </w:rPr>
            </w:pPr>
            <w:r>
              <w:rPr>
                <w:rStyle w:val="26"/>
                <w:rFonts w:hint="default"/>
              </w:rPr>
              <w:t>参加公司 202</w:t>
            </w:r>
            <w:r>
              <w:rPr>
                <w:rStyle w:val="26"/>
                <w:rFonts w:hint="eastAsia"/>
                <w:lang w:val="en-US" w:eastAsia="zh-CN"/>
              </w:rPr>
              <w:t>5</w:t>
            </w:r>
            <w:r>
              <w:rPr>
                <w:rStyle w:val="26"/>
                <w:rFonts w:hint="default"/>
              </w:rPr>
              <w:t>年半年度业绩说明会的投资者</w:t>
            </w:r>
          </w:p>
        </w:tc>
      </w:tr>
      <w:tr w14:paraId="1EC0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60319B1D">
            <w:pPr>
              <w:spacing w:line="360" w:lineRule="auto"/>
              <w:jc w:val="center"/>
              <w:rPr>
                <w:rFonts w:ascii="宋体" w:hAnsi="宋体"/>
                <w:b/>
                <w:sz w:val="24"/>
              </w:rPr>
            </w:pPr>
            <w:r>
              <w:rPr>
                <w:rFonts w:hint="eastAsia" w:ascii="宋体" w:hAnsi="宋体"/>
                <w:b/>
                <w:sz w:val="24"/>
              </w:rPr>
              <w:t>时   间</w:t>
            </w:r>
          </w:p>
          <w:p w14:paraId="355093E3">
            <w:pPr>
              <w:spacing w:line="360" w:lineRule="auto"/>
              <w:jc w:val="center"/>
              <w:rPr>
                <w:rFonts w:ascii="宋体" w:hAnsi="宋体"/>
                <w:b/>
                <w:sz w:val="24"/>
              </w:rPr>
            </w:pPr>
            <w:r>
              <w:rPr>
                <w:rFonts w:hint="eastAsia" w:ascii="宋体" w:hAnsi="宋体"/>
                <w:b/>
                <w:sz w:val="24"/>
              </w:rPr>
              <w:t>地   点</w:t>
            </w:r>
          </w:p>
        </w:tc>
        <w:tc>
          <w:tcPr>
            <w:tcW w:w="7312" w:type="dxa"/>
            <w:vAlign w:val="center"/>
          </w:tcPr>
          <w:p w14:paraId="1241D6F2">
            <w:pPr>
              <w:jc w:val="left"/>
              <w:rPr>
                <w:rStyle w:val="26"/>
                <w:rFonts w:hint="default"/>
              </w:rPr>
            </w:pPr>
            <w:r>
              <w:rPr>
                <w:rStyle w:val="26"/>
                <w:rFonts w:hint="default"/>
              </w:rPr>
              <w:t>202</w:t>
            </w:r>
            <w:r>
              <w:rPr>
                <w:rStyle w:val="26"/>
                <w:rFonts w:hint="eastAsia"/>
                <w:lang w:val="en-US" w:eastAsia="zh-CN"/>
              </w:rPr>
              <w:t>5</w:t>
            </w:r>
            <w:r>
              <w:rPr>
                <w:rStyle w:val="26"/>
                <w:rFonts w:hint="default"/>
              </w:rPr>
              <w:t>年</w:t>
            </w:r>
            <w:r>
              <w:rPr>
                <w:rStyle w:val="26"/>
                <w:rFonts w:hint="eastAsia"/>
                <w:lang w:val="en-US" w:eastAsia="zh-CN"/>
              </w:rPr>
              <w:t>9</w:t>
            </w:r>
            <w:r>
              <w:rPr>
                <w:rStyle w:val="26"/>
                <w:rFonts w:hint="default"/>
              </w:rPr>
              <w:t>月2日  15:00-16:00</w:t>
            </w:r>
          </w:p>
          <w:p w14:paraId="119BC0AA">
            <w:pPr>
              <w:rPr>
                <w:rFonts w:ascii="宋体" w:hAnsi="宋体" w:cs="宋体"/>
                <w:sz w:val="24"/>
              </w:rPr>
            </w:pPr>
            <w:r>
              <w:rPr>
                <w:rStyle w:val="26"/>
                <w:rFonts w:hint="default"/>
              </w:rPr>
              <w:t>上海证券交易所上证路演中心</w:t>
            </w:r>
          </w:p>
        </w:tc>
      </w:tr>
      <w:tr w14:paraId="1FB4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696" w:type="dxa"/>
          </w:tcPr>
          <w:p w14:paraId="74F22A56">
            <w:pPr>
              <w:spacing w:line="360" w:lineRule="auto"/>
              <w:jc w:val="center"/>
              <w:rPr>
                <w:rFonts w:ascii="宋体" w:hAnsi="宋体"/>
                <w:b/>
                <w:sz w:val="24"/>
              </w:rPr>
            </w:pPr>
          </w:p>
          <w:p w14:paraId="2BEA03CE">
            <w:pPr>
              <w:spacing w:line="360" w:lineRule="auto"/>
              <w:jc w:val="center"/>
              <w:rPr>
                <w:rFonts w:ascii="宋体" w:hAnsi="宋体"/>
                <w:b/>
                <w:sz w:val="24"/>
              </w:rPr>
            </w:pPr>
          </w:p>
          <w:p w14:paraId="17D32E3E">
            <w:pPr>
              <w:spacing w:line="360" w:lineRule="auto"/>
              <w:jc w:val="center"/>
              <w:rPr>
                <w:rFonts w:ascii="宋体" w:hAnsi="宋体"/>
                <w:b/>
                <w:sz w:val="24"/>
              </w:rPr>
            </w:pPr>
          </w:p>
          <w:p w14:paraId="3EACC99E">
            <w:pPr>
              <w:spacing w:line="360" w:lineRule="auto"/>
              <w:jc w:val="center"/>
              <w:rPr>
                <w:rFonts w:ascii="宋体" w:hAnsi="宋体"/>
                <w:b/>
                <w:sz w:val="24"/>
              </w:rPr>
            </w:pPr>
          </w:p>
          <w:p w14:paraId="5C5536D2">
            <w:pPr>
              <w:spacing w:line="360" w:lineRule="auto"/>
              <w:jc w:val="center"/>
              <w:rPr>
                <w:rFonts w:ascii="宋体" w:hAnsi="宋体"/>
                <w:b/>
                <w:sz w:val="24"/>
              </w:rPr>
            </w:pPr>
            <w:r>
              <w:rPr>
                <w:rFonts w:hint="eastAsia" w:ascii="宋体" w:hAnsi="宋体"/>
                <w:b/>
                <w:sz w:val="24"/>
              </w:rPr>
              <w:t>交   流</w:t>
            </w:r>
          </w:p>
          <w:p w14:paraId="30249692">
            <w:pPr>
              <w:spacing w:line="360" w:lineRule="auto"/>
              <w:jc w:val="center"/>
              <w:rPr>
                <w:rFonts w:ascii="宋体" w:hAnsi="宋体"/>
                <w:b/>
                <w:sz w:val="24"/>
              </w:rPr>
            </w:pPr>
            <w:r>
              <w:rPr>
                <w:rFonts w:hint="eastAsia" w:ascii="宋体" w:hAnsi="宋体"/>
                <w:b/>
                <w:sz w:val="24"/>
              </w:rPr>
              <w:t xml:space="preserve">情   况 </w:t>
            </w:r>
          </w:p>
        </w:tc>
        <w:tc>
          <w:tcPr>
            <w:tcW w:w="7312" w:type="dxa"/>
          </w:tcPr>
          <w:p w14:paraId="4AD5694F">
            <w:pPr>
              <w:ind w:firstLine="480" w:firstLineChars="200"/>
              <w:jc w:val="left"/>
              <w:rPr>
                <w:rFonts w:ascii="宋体" w:hAnsi="宋体" w:cs="宋体"/>
                <w:kern w:val="0"/>
                <w:sz w:val="24"/>
              </w:rPr>
            </w:pPr>
            <w:r>
              <w:rPr>
                <w:rFonts w:hint="eastAsia" w:ascii="宋体" w:hAnsi="宋体" w:cs="宋体"/>
                <w:kern w:val="0"/>
                <w:sz w:val="24"/>
                <w:lang w:val="en-US" w:eastAsia="zh-CN"/>
              </w:rPr>
              <w:t>1.公司</w:t>
            </w:r>
            <w:r>
              <w:rPr>
                <w:rFonts w:hint="default" w:ascii="宋体" w:hAnsi="宋体" w:cs="宋体"/>
                <w:kern w:val="0"/>
                <w:sz w:val="24"/>
                <w:lang w:val="en-US"/>
              </w:rPr>
              <w:t>上半年经营活动现金流净额由去年同期的 5.81 亿元转为 - 7.09 亿元，而应收票据及应收账款较上年末激增 474.71%。这种现金流与营收增长的反向变动是否反映了收入确认质量问题？钼矿很畅销属于卖方市场，为何应收款增长这么高？</w:t>
            </w:r>
          </w:p>
          <w:p w14:paraId="10E93B12">
            <w:pPr>
              <w:ind w:firstLine="480" w:firstLineChars="200"/>
              <w:jc w:val="left"/>
              <w:rPr>
                <w:rFonts w:hint="default" w:ascii="宋体" w:hAnsi="宋体" w:cs="宋体"/>
                <w:kern w:val="0"/>
                <w:sz w:val="24"/>
                <w:lang w:val="en-US"/>
              </w:rPr>
            </w:pPr>
            <w:r>
              <w:rPr>
                <w:rFonts w:hint="eastAsia" w:ascii="宋体" w:hAnsi="宋体" w:cs="宋体"/>
                <w:kern w:val="0"/>
                <w:sz w:val="24"/>
                <w:lang w:val="en-US" w:eastAsia="zh-CN"/>
              </w:rPr>
              <w:t>答</w:t>
            </w:r>
            <w:r>
              <w:rPr>
                <w:rFonts w:hint="default" w:ascii="宋体" w:hAnsi="宋体" w:cs="宋体"/>
                <w:kern w:val="0"/>
                <w:sz w:val="24"/>
                <w:lang w:val="en-US"/>
              </w:rPr>
              <w:t>:感谢您的关注。上半年</w:t>
            </w:r>
            <w:r>
              <w:rPr>
                <w:rFonts w:hint="eastAsia" w:ascii="宋体" w:hAnsi="宋体" w:cs="宋体"/>
                <w:kern w:val="0"/>
                <w:sz w:val="24"/>
                <w:lang w:val="en-US" w:eastAsia="zh-CN"/>
              </w:rPr>
              <w:t>公司</w:t>
            </w:r>
            <w:r>
              <w:rPr>
                <w:rFonts w:hint="default" w:ascii="宋体" w:hAnsi="宋体" w:cs="宋体"/>
                <w:kern w:val="0"/>
                <w:sz w:val="24"/>
                <w:lang w:val="en-US"/>
              </w:rPr>
              <w:t>经营活动现金流净额下降的原因是报告期内采购产品原料增加。应收票据及应收账款余额较上年同期下降4.7%属于正常现象，年末随着回款增加将显著下降。</w:t>
            </w:r>
          </w:p>
          <w:p w14:paraId="6DBA77EA">
            <w:pPr>
              <w:jc w:val="left"/>
              <w:rPr>
                <w:rFonts w:hint="default" w:ascii="宋体" w:hAnsi="宋体" w:cs="宋体"/>
                <w:kern w:val="0"/>
                <w:sz w:val="24"/>
                <w:lang w:val="en-US"/>
              </w:rPr>
            </w:pPr>
          </w:p>
          <w:p w14:paraId="22571A4A">
            <w:pPr>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default" w:ascii="宋体" w:hAnsi="宋体" w:cs="宋体"/>
                <w:kern w:val="0"/>
                <w:sz w:val="24"/>
                <w:lang w:val="en-US"/>
              </w:rPr>
              <w:t>请问贵公司今年主要发展方向是什么？能否简单描述一下!</w:t>
            </w:r>
          </w:p>
          <w:p w14:paraId="67508220">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2025年，公司将全力推进“质效量”倍增计划和“二次创业”目标，加快建设以“传统焕新、战新壮大、未来培育”为支撑的现代化产业体系。主要发展方向：一是进一步强化科技创新，瞄准国家重大科技专项、“国之重器”、关键核心技术攻关、基础材料研制和“卡脖子”元器件国产化替代等领域；二是积极贯彻落实“1+6+N”资源收储战略部署，有序推动优质资源并购，加大钼资源托底保障</w:t>
            </w:r>
            <w:r>
              <w:rPr>
                <w:rFonts w:hint="eastAsia" w:ascii="宋体" w:hAnsi="宋体" w:cs="宋体"/>
                <w:kern w:val="0"/>
                <w:sz w:val="24"/>
                <w:lang w:val="en-US" w:eastAsia="zh-CN"/>
              </w:rPr>
              <w:t>；</w:t>
            </w:r>
            <w:r>
              <w:rPr>
                <w:rFonts w:hint="default" w:ascii="宋体" w:hAnsi="宋体" w:cs="宋体"/>
                <w:kern w:val="0"/>
                <w:sz w:val="24"/>
                <w:lang w:val="en-US"/>
              </w:rPr>
              <w:t>三是加速产业转型升级，以新质生产力发展为牵引，坚持挺立战略新兴业务并重传统业务升级迭代，行业技术升级并重绿色数字低碳技术升级，全要素生产率提升并重产业链生态完善，全面提升产业链生产、质量、成本、服务等核心竞争力</w:t>
            </w:r>
            <w:r>
              <w:rPr>
                <w:rFonts w:hint="eastAsia" w:ascii="宋体" w:hAnsi="宋体" w:cs="宋体"/>
                <w:kern w:val="0"/>
                <w:sz w:val="24"/>
                <w:lang w:val="en-US" w:eastAsia="zh-CN"/>
              </w:rPr>
              <w:t>；</w:t>
            </w:r>
            <w:r>
              <w:rPr>
                <w:rFonts w:hint="default" w:ascii="宋体" w:hAnsi="宋体" w:cs="宋体"/>
                <w:kern w:val="0"/>
                <w:sz w:val="24"/>
                <w:lang w:val="en-US"/>
              </w:rPr>
              <w:t>四是积极培育新材料、新能源等高端战略新兴产品，努力打造“专精特新”企业，力争在新产业布局发展上实现突破，尽快形成新的经济增长点。</w:t>
            </w:r>
          </w:p>
          <w:p w14:paraId="2EBDF3F1">
            <w:pPr>
              <w:ind w:firstLine="480" w:firstLineChars="200"/>
              <w:jc w:val="left"/>
              <w:rPr>
                <w:rFonts w:hint="default" w:ascii="宋体" w:hAnsi="宋体" w:cs="宋体"/>
                <w:kern w:val="0"/>
                <w:sz w:val="24"/>
                <w:lang w:val="en-US"/>
              </w:rPr>
            </w:pPr>
          </w:p>
          <w:p w14:paraId="1F374B7D">
            <w:pPr>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default" w:ascii="宋体" w:hAnsi="宋体" w:cs="宋体"/>
                <w:kern w:val="0"/>
                <w:sz w:val="24"/>
                <w:lang w:val="en-US"/>
              </w:rPr>
              <w:t>请问公司上半年盈利情况如何</w:t>
            </w:r>
          </w:p>
          <w:p w14:paraId="283760DB">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答:感谢您的关注。2025年上半年，公司实现营业收入69.59亿元、利润总额18.19亿元、归母净利润13.82亿元。</w:t>
            </w:r>
          </w:p>
          <w:p w14:paraId="3BE2E44B">
            <w:pPr>
              <w:jc w:val="left"/>
              <w:rPr>
                <w:rFonts w:hint="default" w:ascii="宋体" w:hAnsi="宋体" w:cs="宋体"/>
                <w:kern w:val="0"/>
                <w:sz w:val="24"/>
                <w:lang w:val="en-US"/>
              </w:rPr>
            </w:pPr>
          </w:p>
          <w:p w14:paraId="30710CC1">
            <w:pPr>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default" w:ascii="宋体" w:hAnsi="宋体" w:cs="宋体"/>
                <w:kern w:val="0"/>
                <w:sz w:val="24"/>
                <w:lang w:val="en-US"/>
              </w:rPr>
              <w:t>半年报</w:t>
            </w:r>
            <w:r>
              <w:rPr>
                <w:rFonts w:hint="eastAsia" w:ascii="宋体" w:hAnsi="宋体" w:cs="宋体"/>
                <w:kern w:val="0"/>
                <w:sz w:val="24"/>
                <w:lang w:val="en-US" w:eastAsia="zh-CN"/>
              </w:rPr>
              <w:t>中说公司</w:t>
            </w:r>
            <w:r>
              <w:rPr>
                <w:rFonts w:hint="default" w:ascii="宋体" w:hAnsi="宋体" w:cs="宋体"/>
                <w:kern w:val="0"/>
                <w:sz w:val="24"/>
                <w:lang w:val="en-US"/>
              </w:rPr>
              <w:t>有采购原料，请问是采购钼矿吗？目前公司钼矿自给率是多少？</w:t>
            </w:r>
          </w:p>
          <w:p w14:paraId="783454D2">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答:感谢您的关注。公司主要以自产原料为主，同时为充分发挥产业链规模优势，根据市场情况和生产计划组织采购部分原料。</w:t>
            </w:r>
          </w:p>
          <w:p w14:paraId="2CCA65CB">
            <w:pPr>
              <w:jc w:val="left"/>
              <w:rPr>
                <w:rFonts w:hint="default" w:ascii="宋体" w:hAnsi="宋体" w:cs="宋体"/>
                <w:kern w:val="0"/>
                <w:sz w:val="24"/>
                <w:lang w:val="en-US"/>
              </w:rPr>
            </w:pPr>
          </w:p>
          <w:p w14:paraId="0DC70A36">
            <w:pPr>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default" w:ascii="宋体" w:hAnsi="宋体" w:cs="宋体"/>
                <w:kern w:val="0"/>
                <w:sz w:val="24"/>
                <w:lang w:val="en-US"/>
              </w:rPr>
              <w:t>请问贵公司今年是否会增加产能呢？</w:t>
            </w:r>
          </w:p>
          <w:p w14:paraId="624ADE47">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答:感谢您的关注。公司构建了涵盖钼采矿、选矿、冶炼、化工、金属加工、科研、贸易一体化全产业链，钼精矿产能达到5万吨/年。未来</w:t>
            </w:r>
            <w:r>
              <w:rPr>
                <w:rFonts w:hint="eastAsia" w:ascii="宋体" w:hAnsi="宋体" w:cs="宋体"/>
                <w:kern w:val="0"/>
                <w:sz w:val="24"/>
                <w:lang w:val="en-US" w:eastAsia="zh-CN"/>
              </w:rPr>
              <w:t>，</w:t>
            </w:r>
            <w:r>
              <w:rPr>
                <w:rFonts w:hint="default" w:ascii="宋体" w:hAnsi="宋体" w:cs="宋体"/>
                <w:kern w:val="0"/>
                <w:sz w:val="24"/>
                <w:lang w:val="en-US"/>
              </w:rPr>
              <w:t>公司将大力提升产业链价值流转效率，形成以自有钼矿资源为核心，高附加值钼材智造为主体，钼基新材料研发为突破，全球化贸易网络为延伸的产业生态。</w:t>
            </w:r>
          </w:p>
          <w:p w14:paraId="023604B2">
            <w:pPr>
              <w:jc w:val="left"/>
              <w:rPr>
                <w:rFonts w:hint="default" w:ascii="宋体" w:hAnsi="宋体" w:cs="宋体"/>
                <w:kern w:val="0"/>
                <w:sz w:val="24"/>
                <w:lang w:val="en-US"/>
              </w:rPr>
            </w:pPr>
          </w:p>
          <w:p w14:paraId="01AA3818">
            <w:pPr>
              <w:ind w:firstLine="480" w:firstLineChars="200"/>
              <w:jc w:val="left"/>
              <w:rPr>
                <w:rFonts w:ascii="宋体" w:hAnsi="宋体" w:cs="宋体"/>
                <w:kern w:val="0"/>
                <w:sz w:val="24"/>
              </w:rPr>
            </w:pPr>
            <w:r>
              <w:rPr>
                <w:rFonts w:hint="eastAsia" w:ascii="宋体" w:hAnsi="宋体" w:cs="宋体"/>
                <w:kern w:val="0"/>
                <w:sz w:val="24"/>
                <w:lang w:val="en-US" w:eastAsia="zh-CN"/>
              </w:rPr>
              <w:t>6.</w:t>
            </w:r>
            <w:r>
              <w:rPr>
                <w:rFonts w:hint="default" w:ascii="宋体" w:hAnsi="宋体" w:cs="宋体"/>
                <w:kern w:val="0"/>
                <w:sz w:val="24"/>
                <w:lang w:val="en-US"/>
              </w:rPr>
              <w:t>公司上半年增收减利，钼精矿上半年也涨了30%多</w:t>
            </w:r>
            <w:r>
              <w:rPr>
                <w:rFonts w:hint="eastAsia" w:ascii="宋体" w:hAnsi="宋体" w:cs="宋体"/>
                <w:kern w:val="0"/>
                <w:sz w:val="24"/>
                <w:lang w:val="en-US" w:eastAsia="zh-CN"/>
              </w:rPr>
              <w:t>，</w:t>
            </w:r>
            <w:r>
              <w:rPr>
                <w:rFonts w:hint="default" w:ascii="宋体" w:hAnsi="宋体" w:cs="宋体"/>
                <w:kern w:val="0"/>
                <w:sz w:val="24"/>
                <w:lang w:val="en-US"/>
              </w:rPr>
              <w:t>利润为何没同步增长？成本控制是不是有待加强，还是说同步采选了些低品位的矿？</w:t>
            </w:r>
          </w:p>
          <w:p w14:paraId="23F0AA1C">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2025年上半年，国内外钼市整体走势呈现出先弱势下跌后再大幅反弹上涨的“V”型行情，国际氧化钼均价20.6美元/磅钼，同比下跌1.0%；国内钼铁均价为22.9万元/吨，同比上涨0.4%。公司盈利较上年同期下降主要是由于公司根据发展战略布局，增加高附加值产品自有原料储备，加工板块销量同比略有下降影响。</w:t>
            </w:r>
          </w:p>
          <w:p w14:paraId="68DEC415">
            <w:pPr>
              <w:jc w:val="left"/>
              <w:rPr>
                <w:rFonts w:hint="default" w:ascii="宋体" w:hAnsi="宋体" w:cs="宋体"/>
                <w:kern w:val="0"/>
                <w:sz w:val="24"/>
                <w:lang w:val="en-US"/>
              </w:rPr>
            </w:pPr>
          </w:p>
          <w:p w14:paraId="24ED8F35">
            <w:pPr>
              <w:ind w:firstLine="480" w:firstLineChars="200"/>
              <w:jc w:val="left"/>
              <w:rPr>
                <w:rFonts w:ascii="宋体" w:hAnsi="宋体" w:cs="宋体"/>
                <w:kern w:val="0"/>
                <w:sz w:val="24"/>
              </w:rPr>
            </w:pPr>
            <w:r>
              <w:rPr>
                <w:rFonts w:hint="eastAsia" w:ascii="宋体" w:hAnsi="宋体" w:cs="宋体"/>
                <w:kern w:val="0"/>
                <w:sz w:val="24"/>
                <w:lang w:val="en-US" w:eastAsia="zh-CN"/>
              </w:rPr>
              <w:t>7.</w:t>
            </w:r>
            <w:r>
              <w:rPr>
                <w:rFonts w:hint="default" w:ascii="宋体" w:hAnsi="宋体" w:cs="宋体"/>
                <w:kern w:val="0"/>
                <w:sz w:val="24"/>
                <w:lang w:val="en-US"/>
              </w:rPr>
              <w:t>金沙钼业公司又争取到了24%的股权，公告说“拟以原受让价格加必要的财务费用向金钼股份转让金沙钼业 24%股权”，原来受让价格是多少？</w:t>
            </w:r>
          </w:p>
          <w:p w14:paraId="537E21A4">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答:感谢您的关注，请参见紫金矿业2022-062号公告。</w:t>
            </w:r>
          </w:p>
          <w:p w14:paraId="2C46A4A3">
            <w:pPr>
              <w:jc w:val="left"/>
              <w:rPr>
                <w:rFonts w:hint="default" w:ascii="宋体" w:hAnsi="宋体" w:cs="宋体"/>
                <w:kern w:val="0"/>
                <w:sz w:val="24"/>
                <w:lang w:val="en-US"/>
              </w:rPr>
            </w:pPr>
          </w:p>
          <w:p w14:paraId="0E979EE5">
            <w:pPr>
              <w:ind w:firstLine="480" w:firstLineChars="200"/>
              <w:jc w:val="left"/>
              <w:rPr>
                <w:rFonts w:ascii="宋体" w:hAnsi="宋体" w:cs="宋体"/>
                <w:kern w:val="0"/>
                <w:sz w:val="24"/>
              </w:rPr>
            </w:pPr>
            <w:r>
              <w:rPr>
                <w:rFonts w:hint="eastAsia" w:ascii="宋体" w:hAnsi="宋体" w:cs="宋体"/>
                <w:kern w:val="0"/>
                <w:sz w:val="24"/>
                <w:lang w:val="en-US" w:eastAsia="zh-CN"/>
              </w:rPr>
              <w:t>8.</w:t>
            </w:r>
            <w:r>
              <w:rPr>
                <w:rFonts w:hint="default" w:ascii="宋体" w:hAnsi="宋体" w:cs="宋体"/>
                <w:kern w:val="0"/>
                <w:sz w:val="24"/>
                <w:lang w:val="en-US"/>
              </w:rPr>
              <w:t>对当前和未来钼价有什么看法？</w:t>
            </w:r>
          </w:p>
          <w:p w14:paraId="23EBD165">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答:感谢您的关注，国内外钼市今年以来整体走势呈现出先弱势下跌后再大幅反弹上涨的“V”型行情，目前处于右侧上涨阶段，近期高点持续刷新。</w:t>
            </w:r>
          </w:p>
          <w:p w14:paraId="311AB503">
            <w:pPr>
              <w:jc w:val="left"/>
              <w:rPr>
                <w:rFonts w:hint="default" w:ascii="宋体" w:hAnsi="宋体" w:cs="宋体"/>
                <w:kern w:val="0"/>
                <w:sz w:val="24"/>
                <w:lang w:val="en-US"/>
              </w:rPr>
            </w:pPr>
          </w:p>
          <w:p w14:paraId="7CF81D0D">
            <w:pPr>
              <w:ind w:firstLine="480" w:firstLineChars="200"/>
              <w:jc w:val="left"/>
              <w:rPr>
                <w:rFonts w:ascii="宋体" w:hAnsi="宋体" w:cs="宋体"/>
                <w:kern w:val="0"/>
                <w:sz w:val="24"/>
              </w:rPr>
            </w:pPr>
            <w:r>
              <w:rPr>
                <w:rFonts w:hint="eastAsia" w:ascii="宋体" w:hAnsi="宋体" w:cs="宋体"/>
                <w:kern w:val="0"/>
                <w:sz w:val="24"/>
                <w:lang w:val="en-US" w:eastAsia="zh-CN"/>
              </w:rPr>
              <w:t>9.公司</w:t>
            </w:r>
            <w:r>
              <w:rPr>
                <w:rFonts w:hint="default" w:ascii="宋体" w:hAnsi="宋体" w:cs="宋体"/>
                <w:kern w:val="0"/>
                <w:sz w:val="24"/>
                <w:lang w:val="en-US"/>
              </w:rPr>
              <w:t>公告提到</w:t>
            </w:r>
            <w:r>
              <w:rPr>
                <w:rFonts w:hint="eastAsia" w:ascii="宋体" w:hAnsi="宋体" w:cs="宋体"/>
                <w:kern w:val="0"/>
                <w:sz w:val="24"/>
                <w:lang w:val="en-US" w:eastAsia="zh-CN"/>
              </w:rPr>
              <w:t>“</w:t>
            </w:r>
            <w:r>
              <w:rPr>
                <w:rFonts w:hint="default" w:ascii="宋体" w:hAnsi="宋体" w:cs="宋体"/>
                <w:kern w:val="0"/>
                <w:sz w:val="24"/>
                <w:lang w:val="en-US"/>
              </w:rPr>
              <w:t>环保限产政策影响产能释放</w:t>
            </w:r>
            <w:r>
              <w:rPr>
                <w:rFonts w:hint="eastAsia" w:ascii="宋体" w:hAnsi="宋体" w:cs="宋体"/>
                <w:kern w:val="0"/>
                <w:sz w:val="24"/>
                <w:lang w:val="en-US" w:eastAsia="zh-CN"/>
              </w:rPr>
              <w:t>”</w:t>
            </w:r>
            <w:r>
              <w:rPr>
                <w:rFonts w:hint="default" w:ascii="宋体" w:hAnsi="宋体" w:cs="宋体"/>
                <w:kern w:val="0"/>
                <w:sz w:val="24"/>
                <w:lang w:val="en-US"/>
              </w:rPr>
              <w:t>，在国家强化稀有金属管控的背景下，是否存在进一步限产风险？</w:t>
            </w:r>
            <w:bookmarkStart w:id="0" w:name="_GoBack"/>
            <w:bookmarkEnd w:id="0"/>
          </w:p>
          <w:p w14:paraId="490B58D0">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答:感谢您的关注，具体请以国家相关政策为准。</w:t>
            </w:r>
          </w:p>
          <w:p w14:paraId="5D583321">
            <w:pPr>
              <w:jc w:val="left"/>
              <w:rPr>
                <w:rFonts w:hint="default" w:ascii="宋体" w:hAnsi="宋体" w:cs="宋体"/>
                <w:kern w:val="0"/>
                <w:sz w:val="24"/>
                <w:lang w:val="en-US"/>
              </w:rPr>
            </w:pPr>
          </w:p>
          <w:p w14:paraId="5561DE7F">
            <w:pPr>
              <w:ind w:firstLine="480" w:firstLineChars="200"/>
              <w:jc w:val="left"/>
              <w:rPr>
                <w:rFonts w:ascii="宋体" w:hAnsi="宋体" w:cs="宋体"/>
                <w:kern w:val="0"/>
                <w:sz w:val="24"/>
              </w:rPr>
            </w:pPr>
            <w:r>
              <w:rPr>
                <w:rFonts w:hint="eastAsia" w:ascii="宋体" w:hAnsi="宋体" w:cs="宋体"/>
                <w:kern w:val="0"/>
                <w:sz w:val="24"/>
                <w:lang w:val="en-US" w:eastAsia="zh-CN"/>
              </w:rPr>
              <w:t>10.</w:t>
            </w:r>
            <w:r>
              <w:rPr>
                <w:rFonts w:hint="default" w:ascii="宋体" w:hAnsi="宋体" w:cs="宋体"/>
                <w:kern w:val="0"/>
                <w:sz w:val="24"/>
                <w:lang w:val="en-US"/>
              </w:rPr>
              <w:t>三大头部钢厂已因钼价过高暂停采购，评估这种产业链博弈对公司下半年销售的影响大的吗？</w:t>
            </w:r>
          </w:p>
          <w:p w14:paraId="523B2FA5">
            <w:pPr>
              <w:ind w:firstLine="480" w:firstLineChars="200"/>
              <w:jc w:val="left"/>
              <w:rPr>
                <w:rFonts w:hint="default" w:ascii="宋体" w:hAnsi="宋体" w:cs="宋体"/>
                <w:kern w:val="0"/>
                <w:sz w:val="24"/>
                <w:lang w:val="en-US"/>
              </w:rPr>
            </w:pPr>
            <w:r>
              <w:rPr>
                <w:rFonts w:hint="default" w:ascii="宋体" w:hAnsi="宋体" w:cs="宋体"/>
                <w:kern w:val="0"/>
                <w:sz w:val="24"/>
                <w:lang w:val="en-US"/>
              </w:rPr>
              <w:t>答:感谢您的关注，目前市场价格维持高位运行上涨态势。</w:t>
            </w:r>
          </w:p>
          <w:p w14:paraId="2762BD7E">
            <w:pPr>
              <w:ind w:firstLine="480" w:firstLineChars="200"/>
              <w:jc w:val="left"/>
              <w:rPr>
                <w:rFonts w:hint="default" w:ascii="宋体" w:hAnsi="宋体" w:cs="宋体"/>
                <w:kern w:val="0"/>
                <w:sz w:val="24"/>
                <w:lang w:val="en-US"/>
              </w:rPr>
            </w:pPr>
          </w:p>
          <w:p w14:paraId="1F531457">
            <w:pPr>
              <w:ind w:firstLine="480" w:firstLineChars="200"/>
              <w:jc w:val="left"/>
              <w:rPr>
                <w:rFonts w:ascii="宋体" w:hAnsi="宋体" w:cs="宋体"/>
                <w:kern w:val="0"/>
                <w:sz w:val="24"/>
              </w:rPr>
            </w:pPr>
            <w:r>
              <w:rPr>
                <w:rFonts w:hint="eastAsia" w:ascii="宋体" w:hAnsi="宋体" w:cs="宋体"/>
                <w:kern w:val="0"/>
                <w:sz w:val="24"/>
                <w:lang w:val="en-US" w:eastAsia="zh-CN"/>
              </w:rPr>
              <w:t>11.</w:t>
            </w:r>
            <w:r>
              <w:rPr>
                <w:rFonts w:hint="default" w:ascii="宋体" w:hAnsi="宋体" w:cs="宋体"/>
                <w:kern w:val="0"/>
                <w:sz w:val="24"/>
                <w:lang w:val="en-US"/>
              </w:rPr>
              <w:t>有传闻集团层面正在推进钒电池、新材料工业园等项目，这个公司会有涉及到里边吗？</w:t>
            </w:r>
          </w:p>
          <w:p w14:paraId="7B8A663B">
            <w:pPr>
              <w:ind w:firstLine="480" w:firstLineChars="200"/>
              <w:jc w:val="left"/>
              <w:rPr>
                <w:rFonts w:hint="default" w:ascii="宋体" w:hAnsi="宋体" w:cs="宋体"/>
                <w:kern w:val="0"/>
                <w:sz w:val="24"/>
                <w:lang w:val="en-US"/>
              </w:rPr>
            </w:pPr>
            <w:r>
              <w:rPr>
                <w:rFonts w:hint="default" w:ascii="宋体" w:hAnsi="宋体" w:cs="宋体"/>
                <w:kern w:val="0"/>
                <w:sz w:val="24"/>
                <w:lang w:val="en-US"/>
              </w:rPr>
              <w:t xml:space="preserve">答:感谢您的关注，以上项目是控股股东金钼集团总体筹划的拟建项目。 </w:t>
            </w:r>
          </w:p>
        </w:tc>
      </w:tr>
    </w:tbl>
    <w:p w14:paraId="74D5B5A2">
      <w:pPr>
        <w:spacing w:line="600" w:lineRule="auto"/>
        <w:rPr>
          <w:rFonts w:ascii="宋体" w:hAnsi="宋体" w:cs="宋体"/>
          <w:bCs/>
          <w:color w:val="000000"/>
          <w:kern w:val="0"/>
          <w:sz w:val="28"/>
          <w:szCs w:val="28"/>
        </w:rPr>
      </w:pPr>
    </w:p>
    <w:sectPr>
      <w:footerReference r:id="rId3" w:type="default"/>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55577"/>
      <w:docPartObj>
        <w:docPartGallery w:val="autotext"/>
      </w:docPartObj>
    </w:sdtPr>
    <w:sdtContent>
      <w:p w14:paraId="5B8D4D6D">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35F3C2E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D6"/>
    <w:rsid w:val="00002409"/>
    <w:rsid w:val="00010DC3"/>
    <w:rsid w:val="00021B07"/>
    <w:rsid w:val="000235B2"/>
    <w:rsid w:val="00030F96"/>
    <w:rsid w:val="00045250"/>
    <w:rsid w:val="00045E93"/>
    <w:rsid w:val="000479BB"/>
    <w:rsid w:val="00056A7A"/>
    <w:rsid w:val="00065A96"/>
    <w:rsid w:val="00067254"/>
    <w:rsid w:val="0007097F"/>
    <w:rsid w:val="00074DD1"/>
    <w:rsid w:val="00076258"/>
    <w:rsid w:val="00082390"/>
    <w:rsid w:val="00092506"/>
    <w:rsid w:val="000A221D"/>
    <w:rsid w:val="000B0ECE"/>
    <w:rsid w:val="000B1AB3"/>
    <w:rsid w:val="000B3DAB"/>
    <w:rsid w:val="000B41E3"/>
    <w:rsid w:val="000B7129"/>
    <w:rsid w:val="000C7819"/>
    <w:rsid w:val="000D6924"/>
    <w:rsid w:val="000E3BAE"/>
    <w:rsid w:val="000E5FEA"/>
    <w:rsid w:val="000F345F"/>
    <w:rsid w:val="000F4C34"/>
    <w:rsid w:val="001007DD"/>
    <w:rsid w:val="0011531D"/>
    <w:rsid w:val="00117149"/>
    <w:rsid w:val="00122B4A"/>
    <w:rsid w:val="00127C35"/>
    <w:rsid w:val="00151B9B"/>
    <w:rsid w:val="00153B5A"/>
    <w:rsid w:val="00157B1D"/>
    <w:rsid w:val="0016205E"/>
    <w:rsid w:val="00172BCA"/>
    <w:rsid w:val="00177C17"/>
    <w:rsid w:val="00186ACE"/>
    <w:rsid w:val="001A0530"/>
    <w:rsid w:val="001A1919"/>
    <w:rsid w:val="001A7FCB"/>
    <w:rsid w:val="001C354F"/>
    <w:rsid w:val="001D4C0A"/>
    <w:rsid w:val="001D5042"/>
    <w:rsid w:val="001E5A5A"/>
    <w:rsid w:val="001F0F94"/>
    <w:rsid w:val="001F2C39"/>
    <w:rsid w:val="00200323"/>
    <w:rsid w:val="00201A95"/>
    <w:rsid w:val="00214CBE"/>
    <w:rsid w:val="00230394"/>
    <w:rsid w:val="00230B41"/>
    <w:rsid w:val="00235354"/>
    <w:rsid w:val="00246AAE"/>
    <w:rsid w:val="00247EA8"/>
    <w:rsid w:val="00260315"/>
    <w:rsid w:val="00260395"/>
    <w:rsid w:val="00260A06"/>
    <w:rsid w:val="002615EC"/>
    <w:rsid w:val="00276402"/>
    <w:rsid w:val="0028358A"/>
    <w:rsid w:val="00286054"/>
    <w:rsid w:val="00292AA9"/>
    <w:rsid w:val="0029368D"/>
    <w:rsid w:val="0029413D"/>
    <w:rsid w:val="00294B57"/>
    <w:rsid w:val="002974E2"/>
    <w:rsid w:val="002A0168"/>
    <w:rsid w:val="002B2138"/>
    <w:rsid w:val="002B5B57"/>
    <w:rsid w:val="002B72E4"/>
    <w:rsid w:val="002C1E52"/>
    <w:rsid w:val="002C2BD0"/>
    <w:rsid w:val="002C589C"/>
    <w:rsid w:val="002D1FF3"/>
    <w:rsid w:val="002D3288"/>
    <w:rsid w:val="002F3AA3"/>
    <w:rsid w:val="002F4C3E"/>
    <w:rsid w:val="002F5ACC"/>
    <w:rsid w:val="002F7DA6"/>
    <w:rsid w:val="00301231"/>
    <w:rsid w:val="00305822"/>
    <w:rsid w:val="00306CA1"/>
    <w:rsid w:val="00313718"/>
    <w:rsid w:val="00313A4D"/>
    <w:rsid w:val="0032150D"/>
    <w:rsid w:val="00330ACB"/>
    <w:rsid w:val="00334135"/>
    <w:rsid w:val="003349B0"/>
    <w:rsid w:val="00351766"/>
    <w:rsid w:val="0035454B"/>
    <w:rsid w:val="003676BC"/>
    <w:rsid w:val="00367BA1"/>
    <w:rsid w:val="00372778"/>
    <w:rsid w:val="003823E3"/>
    <w:rsid w:val="0038376D"/>
    <w:rsid w:val="0038411E"/>
    <w:rsid w:val="0039578A"/>
    <w:rsid w:val="003A0B71"/>
    <w:rsid w:val="003A7BAA"/>
    <w:rsid w:val="003B2C79"/>
    <w:rsid w:val="003B4814"/>
    <w:rsid w:val="003C0FFF"/>
    <w:rsid w:val="003C2E8D"/>
    <w:rsid w:val="003D07D7"/>
    <w:rsid w:val="003D38A0"/>
    <w:rsid w:val="003E1500"/>
    <w:rsid w:val="003E4024"/>
    <w:rsid w:val="003E53B0"/>
    <w:rsid w:val="003F19C0"/>
    <w:rsid w:val="0040396C"/>
    <w:rsid w:val="00403FC0"/>
    <w:rsid w:val="00411D7A"/>
    <w:rsid w:val="004233C0"/>
    <w:rsid w:val="00431324"/>
    <w:rsid w:val="00441EAC"/>
    <w:rsid w:val="00452C70"/>
    <w:rsid w:val="00454D3E"/>
    <w:rsid w:val="004579A4"/>
    <w:rsid w:val="00466973"/>
    <w:rsid w:val="00467F62"/>
    <w:rsid w:val="00471862"/>
    <w:rsid w:val="00475C3C"/>
    <w:rsid w:val="00483D32"/>
    <w:rsid w:val="00485E3C"/>
    <w:rsid w:val="00486D8C"/>
    <w:rsid w:val="00492594"/>
    <w:rsid w:val="0049721C"/>
    <w:rsid w:val="004A157B"/>
    <w:rsid w:val="004B0C09"/>
    <w:rsid w:val="004C2F42"/>
    <w:rsid w:val="004E1BFC"/>
    <w:rsid w:val="004E2472"/>
    <w:rsid w:val="004F282E"/>
    <w:rsid w:val="004F30DB"/>
    <w:rsid w:val="00500B89"/>
    <w:rsid w:val="00504090"/>
    <w:rsid w:val="00504525"/>
    <w:rsid w:val="0050693D"/>
    <w:rsid w:val="0051159B"/>
    <w:rsid w:val="00522602"/>
    <w:rsid w:val="00522A66"/>
    <w:rsid w:val="0053033E"/>
    <w:rsid w:val="00531EB4"/>
    <w:rsid w:val="00532566"/>
    <w:rsid w:val="005343FD"/>
    <w:rsid w:val="0054509E"/>
    <w:rsid w:val="0054655B"/>
    <w:rsid w:val="005503EB"/>
    <w:rsid w:val="0056174E"/>
    <w:rsid w:val="00585CF5"/>
    <w:rsid w:val="0058751C"/>
    <w:rsid w:val="0059160C"/>
    <w:rsid w:val="005A5B7D"/>
    <w:rsid w:val="005B2AFF"/>
    <w:rsid w:val="005C739A"/>
    <w:rsid w:val="005D2C43"/>
    <w:rsid w:val="005E0344"/>
    <w:rsid w:val="005E4BFC"/>
    <w:rsid w:val="005F2C79"/>
    <w:rsid w:val="006141B7"/>
    <w:rsid w:val="00616A50"/>
    <w:rsid w:val="006238E6"/>
    <w:rsid w:val="00627083"/>
    <w:rsid w:val="00634AAD"/>
    <w:rsid w:val="00635905"/>
    <w:rsid w:val="0064034A"/>
    <w:rsid w:val="00640948"/>
    <w:rsid w:val="00641FB0"/>
    <w:rsid w:val="00643517"/>
    <w:rsid w:val="006436FD"/>
    <w:rsid w:val="006563B8"/>
    <w:rsid w:val="006619F2"/>
    <w:rsid w:val="00685513"/>
    <w:rsid w:val="006857E5"/>
    <w:rsid w:val="00687405"/>
    <w:rsid w:val="006A1FBF"/>
    <w:rsid w:val="006A39B4"/>
    <w:rsid w:val="006A56EA"/>
    <w:rsid w:val="006B3ECD"/>
    <w:rsid w:val="006C30C3"/>
    <w:rsid w:val="006D0A12"/>
    <w:rsid w:val="006D6B6D"/>
    <w:rsid w:val="006E05CD"/>
    <w:rsid w:val="006E0C40"/>
    <w:rsid w:val="006E1834"/>
    <w:rsid w:val="006E3AD5"/>
    <w:rsid w:val="006F06CF"/>
    <w:rsid w:val="00704D66"/>
    <w:rsid w:val="0070717D"/>
    <w:rsid w:val="007157F0"/>
    <w:rsid w:val="007160CA"/>
    <w:rsid w:val="007272FF"/>
    <w:rsid w:val="0074038A"/>
    <w:rsid w:val="007406E5"/>
    <w:rsid w:val="00742EBE"/>
    <w:rsid w:val="00751119"/>
    <w:rsid w:val="0075519D"/>
    <w:rsid w:val="00763066"/>
    <w:rsid w:val="00765A0C"/>
    <w:rsid w:val="00767CC4"/>
    <w:rsid w:val="007722DF"/>
    <w:rsid w:val="00775E21"/>
    <w:rsid w:val="00790869"/>
    <w:rsid w:val="0079454E"/>
    <w:rsid w:val="007A42B4"/>
    <w:rsid w:val="007A44BC"/>
    <w:rsid w:val="007A5022"/>
    <w:rsid w:val="007B460A"/>
    <w:rsid w:val="007B5C5A"/>
    <w:rsid w:val="007B6214"/>
    <w:rsid w:val="007B653B"/>
    <w:rsid w:val="007C05C9"/>
    <w:rsid w:val="007C0A6D"/>
    <w:rsid w:val="007D183C"/>
    <w:rsid w:val="007E52D9"/>
    <w:rsid w:val="00801187"/>
    <w:rsid w:val="00805310"/>
    <w:rsid w:val="00806EC8"/>
    <w:rsid w:val="0081572F"/>
    <w:rsid w:val="00825311"/>
    <w:rsid w:val="00830CB0"/>
    <w:rsid w:val="008322EF"/>
    <w:rsid w:val="0083288A"/>
    <w:rsid w:val="0084185E"/>
    <w:rsid w:val="008517A3"/>
    <w:rsid w:val="0085330F"/>
    <w:rsid w:val="00853FE1"/>
    <w:rsid w:val="008620A5"/>
    <w:rsid w:val="00865DAB"/>
    <w:rsid w:val="00865F37"/>
    <w:rsid w:val="00884E2F"/>
    <w:rsid w:val="008857F0"/>
    <w:rsid w:val="00885F36"/>
    <w:rsid w:val="00886994"/>
    <w:rsid w:val="008922A0"/>
    <w:rsid w:val="00896F76"/>
    <w:rsid w:val="008A1404"/>
    <w:rsid w:val="008A1816"/>
    <w:rsid w:val="008B5829"/>
    <w:rsid w:val="008B7BDE"/>
    <w:rsid w:val="008C442B"/>
    <w:rsid w:val="008C65BC"/>
    <w:rsid w:val="008D11A8"/>
    <w:rsid w:val="008D35F8"/>
    <w:rsid w:val="008E0255"/>
    <w:rsid w:val="008E2870"/>
    <w:rsid w:val="00905F5D"/>
    <w:rsid w:val="00907151"/>
    <w:rsid w:val="00910CAA"/>
    <w:rsid w:val="00920800"/>
    <w:rsid w:val="009217A4"/>
    <w:rsid w:val="009318F2"/>
    <w:rsid w:val="00934BA0"/>
    <w:rsid w:val="00937459"/>
    <w:rsid w:val="0094174E"/>
    <w:rsid w:val="0095333F"/>
    <w:rsid w:val="00965E15"/>
    <w:rsid w:val="00966EDC"/>
    <w:rsid w:val="00984C7C"/>
    <w:rsid w:val="0098526C"/>
    <w:rsid w:val="00986F16"/>
    <w:rsid w:val="00991B2D"/>
    <w:rsid w:val="009A19AE"/>
    <w:rsid w:val="009A208B"/>
    <w:rsid w:val="009A39A9"/>
    <w:rsid w:val="009B5DF6"/>
    <w:rsid w:val="009C45DE"/>
    <w:rsid w:val="009C6DB0"/>
    <w:rsid w:val="009D263F"/>
    <w:rsid w:val="009D4200"/>
    <w:rsid w:val="009D5A85"/>
    <w:rsid w:val="009D7065"/>
    <w:rsid w:val="009E1695"/>
    <w:rsid w:val="00A0265B"/>
    <w:rsid w:val="00A05FD0"/>
    <w:rsid w:val="00A1009D"/>
    <w:rsid w:val="00A136B5"/>
    <w:rsid w:val="00A231E2"/>
    <w:rsid w:val="00A31C81"/>
    <w:rsid w:val="00A3730A"/>
    <w:rsid w:val="00A476F1"/>
    <w:rsid w:val="00A50414"/>
    <w:rsid w:val="00A70566"/>
    <w:rsid w:val="00A76060"/>
    <w:rsid w:val="00A7732D"/>
    <w:rsid w:val="00A9132E"/>
    <w:rsid w:val="00A91E7E"/>
    <w:rsid w:val="00A969E8"/>
    <w:rsid w:val="00A972C7"/>
    <w:rsid w:val="00AA1CF1"/>
    <w:rsid w:val="00AA3CF7"/>
    <w:rsid w:val="00AB09FF"/>
    <w:rsid w:val="00AB17ED"/>
    <w:rsid w:val="00AC5E88"/>
    <w:rsid w:val="00AD35C4"/>
    <w:rsid w:val="00AD6F8A"/>
    <w:rsid w:val="00AE3FD2"/>
    <w:rsid w:val="00AE43C7"/>
    <w:rsid w:val="00B0037C"/>
    <w:rsid w:val="00B13A57"/>
    <w:rsid w:val="00B16AED"/>
    <w:rsid w:val="00B17D9B"/>
    <w:rsid w:val="00B35609"/>
    <w:rsid w:val="00B42288"/>
    <w:rsid w:val="00B468AE"/>
    <w:rsid w:val="00B52B2E"/>
    <w:rsid w:val="00B54948"/>
    <w:rsid w:val="00B621A1"/>
    <w:rsid w:val="00B7197E"/>
    <w:rsid w:val="00B77BAA"/>
    <w:rsid w:val="00B84F3F"/>
    <w:rsid w:val="00B92E61"/>
    <w:rsid w:val="00BA3E56"/>
    <w:rsid w:val="00BB0C0D"/>
    <w:rsid w:val="00BB297D"/>
    <w:rsid w:val="00BB56D6"/>
    <w:rsid w:val="00BC5DAF"/>
    <w:rsid w:val="00BC647A"/>
    <w:rsid w:val="00C10F16"/>
    <w:rsid w:val="00C12D30"/>
    <w:rsid w:val="00C1359C"/>
    <w:rsid w:val="00C13CE4"/>
    <w:rsid w:val="00C2034C"/>
    <w:rsid w:val="00C24708"/>
    <w:rsid w:val="00C247CB"/>
    <w:rsid w:val="00C2671C"/>
    <w:rsid w:val="00C31B7E"/>
    <w:rsid w:val="00C33BC0"/>
    <w:rsid w:val="00C363E1"/>
    <w:rsid w:val="00C42A91"/>
    <w:rsid w:val="00C65BC0"/>
    <w:rsid w:val="00C70117"/>
    <w:rsid w:val="00C95B8C"/>
    <w:rsid w:val="00CA703F"/>
    <w:rsid w:val="00CA7BD2"/>
    <w:rsid w:val="00CB03C5"/>
    <w:rsid w:val="00CB3FDA"/>
    <w:rsid w:val="00CB6BCF"/>
    <w:rsid w:val="00CC47C9"/>
    <w:rsid w:val="00CC6A48"/>
    <w:rsid w:val="00CD2857"/>
    <w:rsid w:val="00CE3F11"/>
    <w:rsid w:val="00CE43A0"/>
    <w:rsid w:val="00CE5F5B"/>
    <w:rsid w:val="00CF0A6C"/>
    <w:rsid w:val="00CF5564"/>
    <w:rsid w:val="00D05803"/>
    <w:rsid w:val="00D15DE4"/>
    <w:rsid w:val="00D16D41"/>
    <w:rsid w:val="00D20E55"/>
    <w:rsid w:val="00D265EC"/>
    <w:rsid w:val="00D33EB6"/>
    <w:rsid w:val="00D4341A"/>
    <w:rsid w:val="00D47AC5"/>
    <w:rsid w:val="00D5062F"/>
    <w:rsid w:val="00D55B47"/>
    <w:rsid w:val="00D72965"/>
    <w:rsid w:val="00D73CFC"/>
    <w:rsid w:val="00D74D08"/>
    <w:rsid w:val="00D76B1C"/>
    <w:rsid w:val="00D771FB"/>
    <w:rsid w:val="00D803F1"/>
    <w:rsid w:val="00D81665"/>
    <w:rsid w:val="00D836CF"/>
    <w:rsid w:val="00DC3C1C"/>
    <w:rsid w:val="00DD3920"/>
    <w:rsid w:val="00DF44AA"/>
    <w:rsid w:val="00E16C2A"/>
    <w:rsid w:val="00E25E2A"/>
    <w:rsid w:val="00E534A6"/>
    <w:rsid w:val="00E53BBA"/>
    <w:rsid w:val="00E62AFC"/>
    <w:rsid w:val="00E62C3C"/>
    <w:rsid w:val="00E66FDC"/>
    <w:rsid w:val="00E7132D"/>
    <w:rsid w:val="00E72FE8"/>
    <w:rsid w:val="00E75072"/>
    <w:rsid w:val="00E7509B"/>
    <w:rsid w:val="00E81A06"/>
    <w:rsid w:val="00E84279"/>
    <w:rsid w:val="00E8616C"/>
    <w:rsid w:val="00E8761C"/>
    <w:rsid w:val="00E95ED6"/>
    <w:rsid w:val="00EA5E1D"/>
    <w:rsid w:val="00EB1BE8"/>
    <w:rsid w:val="00EB4ECC"/>
    <w:rsid w:val="00EB7FD4"/>
    <w:rsid w:val="00EC0618"/>
    <w:rsid w:val="00EC0980"/>
    <w:rsid w:val="00EC1031"/>
    <w:rsid w:val="00EC1BCA"/>
    <w:rsid w:val="00EC21F1"/>
    <w:rsid w:val="00ED3938"/>
    <w:rsid w:val="00ED5856"/>
    <w:rsid w:val="00ED6619"/>
    <w:rsid w:val="00EE28EF"/>
    <w:rsid w:val="00EE44F9"/>
    <w:rsid w:val="00EE50E2"/>
    <w:rsid w:val="00EF031B"/>
    <w:rsid w:val="00EF780D"/>
    <w:rsid w:val="00F02887"/>
    <w:rsid w:val="00F04F55"/>
    <w:rsid w:val="00F06D6C"/>
    <w:rsid w:val="00F1080F"/>
    <w:rsid w:val="00F13066"/>
    <w:rsid w:val="00F3264E"/>
    <w:rsid w:val="00F35ACF"/>
    <w:rsid w:val="00F36269"/>
    <w:rsid w:val="00F373C0"/>
    <w:rsid w:val="00F40DB4"/>
    <w:rsid w:val="00F43247"/>
    <w:rsid w:val="00F47385"/>
    <w:rsid w:val="00F60129"/>
    <w:rsid w:val="00F64130"/>
    <w:rsid w:val="00F6576C"/>
    <w:rsid w:val="00F666D6"/>
    <w:rsid w:val="00F66CD0"/>
    <w:rsid w:val="00F7238A"/>
    <w:rsid w:val="00F81EC0"/>
    <w:rsid w:val="00F909AB"/>
    <w:rsid w:val="00F90D17"/>
    <w:rsid w:val="00F92D15"/>
    <w:rsid w:val="00F9651D"/>
    <w:rsid w:val="00FA6BAF"/>
    <w:rsid w:val="00FA799D"/>
    <w:rsid w:val="00FB3143"/>
    <w:rsid w:val="00FB7175"/>
    <w:rsid w:val="00FC78CE"/>
    <w:rsid w:val="00FF5833"/>
    <w:rsid w:val="00FF7996"/>
    <w:rsid w:val="05CC64B2"/>
    <w:rsid w:val="07F97307"/>
    <w:rsid w:val="0E8A6F0A"/>
    <w:rsid w:val="10611EED"/>
    <w:rsid w:val="13196AAF"/>
    <w:rsid w:val="139D148E"/>
    <w:rsid w:val="17BD7B32"/>
    <w:rsid w:val="32DF6F75"/>
    <w:rsid w:val="375E3D4C"/>
    <w:rsid w:val="3ADC2CA1"/>
    <w:rsid w:val="43686B13"/>
    <w:rsid w:val="44110F59"/>
    <w:rsid w:val="443B2F0F"/>
    <w:rsid w:val="4F3D70A6"/>
    <w:rsid w:val="63DE27AE"/>
    <w:rsid w:val="676905E0"/>
    <w:rsid w:val="6D955A00"/>
    <w:rsid w:val="7416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标题 2 Char"/>
    <w:basedOn w:val="10"/>
    <w:link w:val="2"/>
    <w:qFormat/>
    <w:uiPriority w:val="9"/>
    <w:rPr>
      <w:rFonts w:ascii="宋体" w:hAnsi="宋体" w:eastAsia="宋体" w:cs="宋体"/>
      <w:b/>
      <w:bCs/>
      <w:kern w:val="0"/>
      <w:sz w:val="36"/>
      <w:szCs w:val="36"/>
    </w:rPr>
  </w:style>
  <w:style w:type="character" w:customStyle="1" w:styleId="19">
    <w:name w:val="rich_media_meta"/>
    <w:basedOn w:val="10"/>
    <w:qFormat/>
    <w:uiPriority w:val="0"/>
  </w:style>
  <w:style w:type="character" w:customStyle="1" w:styleId="20">
    <w:name w:val="apple-converted-space"/>
    <w:basedOn w:val="10"/>
    <w:qFormat/>
    <w:uiPriority w:val="0"/>
  </w:style>
  <w:style w:type="character" w:customStyle="1" w:styleId="21">
    <w:name w:val="media_tool_meta"/>
    <w:basedOn w:val="10"/>
    <w:qFormat/>
    <w:uiPriority w:val="0"/>
  </w:style>
  <w:style w:type="character" w:customStyle="1" w:styleId="22">
    <w:name w:val="like_num"/>
    <w:basedOn w:val="10"/>
    <w:qFormat/>
    <w:uiPriority w:val="0"/>
  </w:style>
  <w:style w:type="paragraph" w:customStyle="1" w:styleId="23">
    <w:name w:val="discuss_icon_tips"/>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praise_num"/>
    <w:basedOn w:val="10"/>
    <w:qFormat/>
    <w:uiPriority w:val="0"/>
  </w:style>
  <w:style w:type="character" w:customStyle="1" w:styleId="25">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26">
    <w:name w:val="fontstyle01"/>
    <w:basedOn w:val="10"/>
    <w:qFormat/>
    <w:uiPriority w:val="0"/>
    <w:rPr>
      <w:rFonts w:hint="eastAsia" w:ascii="宋体" w:hAnsi="宋体" w:eastAsia="宋体"/>
      <w:color w:val="000000"/>
      <w:sz w:val="24"/>
      <w:szCs w:val="24"/>
    </w:rPr>
  </w:style>
  <w:style w:type="character" w:customStyle="1" w:styleId="27">
    <w:name w:val="fontstyle21"/>
    <w:basedOn w:val="10"/>
    <w:qFormat/>
    <w:uiPriority w:val="0"/>
    <w:rPr>
      <w:rFonts w:hint="default" w:ascii="Times New Roman" w:hAnsi="Times New Roman" w:cs="Times New Roman"/>
      <w:color w:val="000000"/>
      <w:sz w:val="24"/>
      <w:szCs w:val="24"/>
    </w:rPr>
  </w:style>
  <w:style w:type="character" w:customStyle="1" w:styleId="28">
    <w:name w:val="fontstyle11"/>
    <w:basedOn w:val="10"/>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JDC</Company>
  <Pages>2</Pages>
  <Words>1591</Words>
  <Characters>1690</Characters>
  <Lines>5</Lines>
  <Paragraphs>1</Paragraphs>
  <TotalTime>9</TotalTime>
  <ScaleCrop>false</ScaleCrop>
  <LinksUpToDate>false</LinksUpToDate>
  <CharactersWithSpaces>1795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2023-08-21T08:41:00Z</dcterms:created>
  <dc:creator>xi</dc:creator>
  <cp:lastModifiedBy>郑茜茜</cp:lastModifiedBy>
  <cp:lastPrinted>2025-09-02T09:00:44Z</cp:lastPrinted>
  <dcterms:modified xsi:type="dcterms:W3CDTF">2025-09-02T09:05:35Z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eyJoZGlkIjoiN2MxYjI4NjYwYTEzM2FiMTNjZjI5YzE5ODQ2MWQ4NjkiLCJ1c2VySWQiOiIxNjM1OTM4Nzk2In0=</vt:lpwstr>
  </property>
  <property fmtid="{D5CDD505-2E9C-101B-9397-08002B2CF9AE}" pid="3" name="KSOProductBuildVer">
    <vt:lpwstr>2052-12.1.0.20305</vt:lpwstr>
  </property>
  <property fmtid="{D5CDD505-2E9C-101B-9397-08002B2CF9AE}" pid="4" name="ICV">
    <vt:lpwstr>E373007ECF9345DE9732A347CC0D13A8_13</vt:lpwstr>
  </property>
</Properties>
</file>