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sz w:val="24"/>
          <w:szCs w:val="24"/>
          <w:lang w:val="en-US"/>
        </w:rPr>
      </w:pPr>
      <w:r>
        <w:rPr>
          <w:rFonts w:hint="eastAsia" w:ascii="宋体" w:hAnsi="宋体"/>
          <w:sz w:val="24"/>
          <w:szCs w:val="24"/>
        </w:rPr>
        <w:t>证券代码：</w:t>
      </w:r>
      <w:r>
        <w:rPr>
          <w:rFonts w:hint="default" w:ascii="宋体" w:hAnsi="宋体"/>
          <w:sz w:val="24"/>
          <w:szCs w:val="24"/>
          <w:lang w:val="en-US"/>
        </w:rPr>
        <w:t>600406</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公司简称：</w:t>
      </w:r>
      <w:r>
        <w:rPr>
          <w:rFonts w:hint="default" w:ascii="宋体" w:hAnsi="宋体"/>
          <w:sz w:val="24"/>
          <w:szCs w:val="24"/>
          <w:lang w:val="en-US"/>
        </w:rPr>
        <w:t>国电南瑞</w:t>
      </w:r>
    </w:p>
    <w:p>
      <w:pPr>
        <w:jc w:val="center"/>
        <w:rPr>
          <w:rFonts w:hint="eastAsia" w:ascii="黑体" w:hAnsi="黑体" w:eastAsia="黑体"/>
          <w:sz w:val="36"/>
          <w:szCs w:val="36"/>
        </w:rPr>
      </w:pPr>
      <w:r>
        <w:rPr>
          <w:rFonts w:hint="eastAsia" w:ascii="黑体" w:hAnsi="黑体" w:eastAsia="黑体"/>
          <w:sz w:val="36"/>
          <w:szCs w:val="36"/>
        </w:rPr>
        <w:t>国电南瑞科技股份有限公司</w:t>
      </w:r>
    </w:p>
    <w:p>
      <w:pPr>
        <w:jc w:val="center"/>
        <w:rPr>
          <w:rFonts w:ascii="黑体" w:hAnsi="黑体" w:eastAsia="黑体"/>
          <w:sz w:val="36"/>
          <w:szCs w:val="36"/>
        </w:rPr>
      </w:pPr>
      <w:r>
        <w:rPr>
          <w:rFonts w:hint="eastAsia" w:ascii="黑体" w:hAnsi="黑体" w:eastAsia="黑体"/>
          <w:sz w:val="36"/>
          <w:szCs w:val="36"/>
        </w:rPr>
        <w:t>投资者关系活动记录表</w:t>
      </w:r>
    </w:p>
    <w:p>
      <w:pPr>
        <w:jc w:val="center"/>
        <w:rPr>
          <w:rFonts w:ascii="黑体" w:hAnsi="黑体" w:eastAsia="黑体"/>
          <w:sz w:val="24"/>
          <w:szCs w:val="24"/>
        </w:rPr>
      </w:pPr>
    </w:p>
    <w:p>
      <w:pPr>
        <w:ind w:right="720"/>
        <w:jc w:val="right"/>
        <w:rPr>
          <w:rFonts w:hint="default" w:ascii="黑体" w:hAnsi="黑体" w:eastAsia="黑体"/>
          <w:sz w:val="24"/>
          <w:szCs w:val="24"/>
          <w:lang w:val="en-US" w:eastAsia="zh-CN"/>
        </w:rPr>
      </w:pPr>
      <w:r>
        <w:rPr>
          <w:rFonts w:hint="eastAsia" w:ascii="黑体" w:hAnsi="黑体" w:eastAsia="黑体"/>
          <w:sz w:val="24"/>
          <w:szCs w:val="24"/>
        </w:rPr>
        <w:t>编号：</w:t>
      </w:r>
      <w:r>
        <w:rPr>
          <w:rFonts w:hint="eastAsia" w:ascii="宋体" w:hAnsi="宋体" w:eastAsia="宋体" w:cs="宋体"/>
          <w:sz w:val="24"/>
          <w:szCs w:val="24"/>
          <w:highlight w:val="none"/>
          <w:lang w:val="en-US" w:eastAsia="zh-CN"/>
        </w:rPr>
        <w:t>2025-02</w:t>
      </w:r>
    </w:p>
    <w:tbl>
      <w:tblPr>
        <w:tblStyle w:val="6"/>
        <w:tblW w:w="87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6" w:type="dxa"/>
            <w:noWrap w:val="0"/>
            <w:vAlign w:val="center"/>
          </w:tcPr>
          <w:p>
            <w:pPr>
              <w:rPr>
                <w:sz w:val="24"/>
                <w:szCs w:val="24"/>
              </w:rPr>
            </w:pPr>
            <w:r>
              <w:rPr>
                <w:rFonts w:hint="eastAsia"/>
                <w:sz w:val="24"/>
                <w:szCs w:val="24"/>
              </w:rPr>
              <w:t>投资者关系活动类别</w:t>
            </w:r>
          </w:p>
        </w:tc>
        <w:tc>
          <w:tcPr>
            <w:tcW w:w="7191" w:type="dxa"/>
            <w:noWrap w:val="0"/>
            <w:vAlign w:val="center"/>
          </w:tcPr>
          <w:p>
            <w:pPr>
              <w:spacing w:line="360" w:lineRule="auto"/>
              <w:rPr>
                <w:rFonts w:hint="eastAsia"/>
                <w:sz w:val="24"/>
                <w:szCs w:val="24"/>
              </w:rPr>
            </w:pPr>
            <w:r>
              <w:rPr>
                <w:rFonts w:hint="eastAsia" w:ascii="宋体" w:hAnsi="宋体" w:eastAsia="宋体" w:cs="宋体"/>
                <w:sz w:val="24"/>
                <w:szCs w:val="24"/>
                <w:highlight w:val="none"/>
              </w:rPr>
              <w:t>业绩说明会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6" w:type="dxa"/>
            <w:noWrap w:val="0"/>
            <w:vAlign w:val="center"/>
          </w:tcPr>
          <w:p>
            <w:pPr>
              <w:rPr>
                <w:sz w:val="24"/>
                <w:szCs w:val="24"/>
              </w:rPr>
            </w:pPr>
            <w:r>
              <w:rPr>
                <w:rFonts w:hint="eastAsia"/>
                <w:sz w:val="24"/>
                <w:szCs w:val="24"/>
              </w:rPr>
              <w:t>活动主题</w:t>
            </w:r>
          </w:p>
        </w:tc>
        <w:tc>
          <w:tcPr>
            <w:tcW w:w="7191" w:type="dxa"/>
            <w:noWrap w:val="0"/>
            <w:vAlign w:val="center"/>
          </w:tcPr>
          <w:p>
            <w:pPr>
              <w:rPr>
                <w:sz w:val="24"/>
                <w:szCs w:val="24"/>
              </w:rPr>
            </w:pPr>
            <w:r>
              <w:rPr>
                <w:rFonts w:hint="eastAsia" w:ascii="宋体" w:hAnsi="宋体" w:eastAsia="宋体" w:cs="宋体"/>
                <w:bCs/>
                <w:iCs/>
                <w:color w:val="000000"/>
                <w:sz w:val="24"/>
                <w:highlight w:val="none"/>
                <w:lang w:val="en-GB"/>
              </w:rPr>
              <w:t>国电南瑞2025年半年度业绩说明会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9" w:hRule="atLeast"/>
        </w:trPr>
        <w:tc>
          <w:tcPr>
            <w:tcW w:w="1526" w:type="dxa"/>
            <w:noWrap w:val="0"/>
            <w:vAlign w:val="center"/>
          </w:tcPr>
          <w:p>
            <w:pPr>
              <w:rPr>
                <w:sz w:val="24"/>
                <w:szCs w:val="24"/>
              </w:rPr>
            </w:pPr>
            <w:r>
              <w:rPr>
                <w:rFonts w:hint="eastAsia"/>
                <w:sz w:val="24"/>
                <w:szCs w:val="24"/>
              </w:rPr>
              <w:t>时间</w:t>
            </w:r>
          </w:p>
        </w:tc>
        <w:tc>
          <w:tcPr>
            <w:tcW w:w="7191" w:type="dxa"/>
            <w:noWrap w:val="0"/>
            <w:vAlign w:val="center"/>
          </w:tcPr>
          <w:p>
            <w:pPr>
              <w:rPr>
                <w:rFonts w:hint="eastAsia"/>
                <w:sz w:val="24"/>
                <w:szCs w:val="24"/>
              </w:rPr>
            </w:pPr>
            <w:r>
              <w:rPr>
                <w:rFonts w:hint="eastAsia" w:ascii="宋体" w:hAnsi="宋体" w:eastAsia="宋体" w:cs="宋体"/>
                <w:bCs/>
                <w:iCs/>
                <w:color w:val="000000"/>
                <w:sz w:val="24"/>
                <w:highlight w:val="none"/>
              </w:rPr>
              <w:t>2025-09-02 - 11:00-12:00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6" w:type="dxa"/>
            <w:noWrap w:val="0"/>
            <w:vAlign w:val="center"/>
          </w:tcPr>
          <w:p>
            <w:pPr>
              <w:rPr>
                <w:sz w:val="24"/>
                <w:szCs w:val="24"/>
              </w:rPr>
            </w:pPr>
            <w:r>
              <w:rPr>
                <w:rFonts w:hint="eastAsia"/>
                <w:sz w:val="24"/>
                <w:szCs w:val="24"/>
              </w:rPr>
              <w:t>地点</w:t>
            </w:r>
            <w:r>
              <w:rPr>
                <w:rFonts w:hint="eastAsia" w:ascii="宋体" w:hAnsi="宋体"/>
                <w:sz w:val="24"/>
                <w:szCs w:val="24"/>
              </w:rPr>
              <w:t>/</w:t>
            </w:r>
            <w:r>
              <w:rPr>
                <w:rFonts w:hint="eastAsia"/>
                <w:sz w:val="24"/>
                <w:szCs w:val="24"/>
              </w:rPr>
              <w:t>方式</w:t>
            </w:r>
          </w:p>
        </w:tc>
        <w:tc>
          <w:tcPr>
            <w:tcW w:w="7191" w:type="dxa"/>
            <w:noWrap w:val="0"/>
            <w:vAlign w:val="top"/>
          </w:tcPr>
          <w:p>
            <w:pPr>
              <w:rPr>
                <w:rFonts w:ascii="宋体" w:hAnsi="宋体"/>
                <w:bCs/>
                <w:sz w:val="24"/>
              </w:rPr>
            </w:pPr>
            <w:r>
              <w:rPr>
                <w:rFonts w:hint="eastAsia" w:ascii="宋体" w:hAnsi="宋体"/>
                <w:bCs/>
                <w:sz w:val="24"/>
              </w:rPr>
              <w:t xml:space="preserve">上证路演中心 </w:t>
            </w:r>
            <w:r>
              <w:fldChar w:fldCharType="begin"/>
            </w:r>
            <w:r>
              <w:instrText xml:space="preserve"> HYPERLINK "https://roadshow.sseinfo.com" </w:instrText>
            </w:r>
            <w:r>
              <w:fldChar w:fldCharType="separate"/>
            </w:r>
            <w:r>
              <w:rPr>
                <w:rStyle w:val="8"/>
                <w:rFonts w:hint="eastAsia" w:ascii="宋体" w:hAnsi="宋体"/>
                <w:bCs/>
                <w:sz w:val="24"/>
              </w:rPr>
              <w:t>https://roadshow.sseinfo.com</w:t>
            </w:r>
            <w:r>
              <w:rPr>
                <w:rStyle w:val="8"/>
                <w:rFonts w:hint="eastAsia" w:ascii="宋体" w:hAnsi="宋体"/>
                <w:bCs/>
                <w:sz w:val="24"/>
              </w:rPr>
              <w:fldChar w:fldCharType="end"/>
            </w:r>
          </w:p>
          <w:p>
            <w:pPr>
              <w:rPr>
                <w:rFonts w:hint="eastAsia"/>
                <w:sz w:val="24"/>
                <w:szCs w:val="24"/>
              </w:rPr>
            </w:pPr>
            <w:r>
              <w:rPr>
                <w:rFonts w:hint="eastAsia" w:ascii="宋体" w:hAnsi="宋体"/>
                <w:bCs/>
                <w:sz w:val="24"/>
              </w:rPr>
              <w:t>网络文字互动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6" w:type="dxa"/>
            <w:noWrap w:val="0"/>
            <w:vAlign w:val="center"/>
          </w:tcPr>
          <w:p>
            <w:pPr>
              <w:rPr>
                <w:sz w:val="24"/>
                <w:szCs w:val="24"/>
              </w:rPr>
            </w:pPr>
            <w:r>
              <w:rPr>
                <w:rFonts w:hint="eastAsia"/>
                <w:sz w:val="24"/>
                <w:szCs w:val="24"/>
              </w:rPr>
              <w:t>参会人员</w:t>
            </w:r>
          </w:p>
        </w:tc>
        <w:tc>
          <w:tcPr>
            <w:tcW w:w="7191" w:type="dxa"/>
            <w:noWrap w:val="0"/>
            <w:vAlign w:val="center"/>
          </w:tcPr>
          <w:p>
            <w:pPr>
              <w:spacing w:line="360" w:lineRule="auto"/>
              <w:rPr>
                <w:rFonts w:hint="eastAsia"/>
                <w:sz w:val="24"/>
                <w:szCs w:val="24"/>
              </w:rPr>
            </w:pPr>
            <w:r>
              <w:rPr>
                <w:rFonts w:hint="eastAsia" w:ascii="宋体" w:hAnsi="宋体" w:eastAsia="宋体" w:cs="宋体"/>
                <w:sz w:val="24"/>
                <w:szCs w:val="24"/>
              </w:rPr>
              <w:t>董事长：郑宗强、独立董事：胡敏强、总会计师：李芳、董事会秘书：胡顺靖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526" w:type="dxa"/>
            <w:noWrap w:val="0"/>
            <w:vAlign w:val="center"/>
          </w:tcPr>
          <w:p>
            <w:pPr>
              <w:rPr>
                <w:sz w:val="24"/>
                <w:szCs w:val="24"/>
              </w:rPr>
            </w:pPr>
            <w:r>
              <w:rPr>
                <w:rFonts w:hint="eastAsia"/>
                <w:sz w:val="24"/>
                <w:szCs w:val="24"/>
              </w:rPr>
              <w:t>投资者关系活动主要内容介绍</w:t>
            </w:r>
          </w:p>
        </w:tc>
        <w:tc>
          <w:tcPr>
            <w:tcW w:w="7191" w:type="dxa"/>
            <w:noWrap w:val="0"/>
            <w:vAlign w:val="top"/>
          </w:tcPr>
          <w:p>
            <w:pPr>
              <w:spacing w:before="156" w:beforeLines="50" w:line="360" w:lineRule="auto"/>
              <w:jc w:val="center"/>
              <w:rPr>
                <w:rFonts w:hint="eastAsia" w:ascii="宋体" w:hAnsi="宋体"/>
                <w:b/>
                <w:sz w:val="24"/>
              </w:rPr>
            </w:pPr>
            <w:r>
              <w:rPr>
                <w:rFonts w:hint="eastAsia" w:ascii="宋体" w:hAnsi="宋体"/>
                <w:b/>
                <w:sz w:val="24"/>
              </w:rPr>
              <w:t>投资者关系活动主要内容</w:t>
            </w:r>
          </w:p>
          <w:p>
            <w:pPr>
              <w:spacing w:line="360" w:lineRule="auto"/>
              <w:rPr>
                <w:b/>
                <w:bCs/>
              </w:rPr>
            </w:pPr>
            <w:r>
              <w:rPr>
                <w:rFonts w:hint="default" w:ascii="宋体"/>
                <w:b/>
                <w:bCs/>
                <w:sz w:val="24"/>
                <w:lang w:val="en-US"/>
              </w:rPr>
              <w:t>1、</w:t>
            </w:r>
            <w:r>
              <w:rPr>
                <w:rFonts w:hint="eastAsia" w:ascii="宋体"/>
                <w:b/>
                <w:bCs/>
                <w:sz w:val="24"/>
                <w:lang w:val="en-US" w:eastAsia="zh-CN"/>
              </w:rPr>
              <w:t>问题：</w:t>
            </w:r>
            <w:r>
              <w:rPr>
                <w:rFonts w:hint="default" w:ascii="宋体"/>
                <w:b/>
                <w:bCs/>
                <w:sz w:val="24"/>
                <w:lang w:val="en-US"/>
              </w:rPr>
              <w:t>面对市场对人工智能、国产半导体等自主可控高端科技产品和服务的极度追捧和情绪，公司在人工智能和国产半导体领域有哪些实质性动作和核心竞争力？</w:t>
            </w:r>
          </w:p>
          <w:p>
            <w:pPr>
              <w:spacing w:line="360" w:lineRule="auto"/>
              <w:rPr>
                <w:rFonts w:hint="default" w:ascii="宋体"/>
                <w:sz w:val="24"/>
                <w:lang w:val="en-US"/>
              </w:rPr>
            </w:pPr>
            <w:r>
              <w:rPr>
                <w:rFonts w:hint="default" w:ascii="宋体"/>
                <w:b/>
                <w:bCs/>
                <w:sz w:val="24"/>
                <w:lang w:val="en-US"/>
              </w:rPr>
              <w:t>答:</w:t>
            </w:r>
            <w:r>
              <w:rPr>
                <w:rFonts w:hint="default" w:ascii="宋体"/>
                <w:b/>
                <w:bCs/>
                <w:sz w:val="24"/>
                <w:lang w:val="en-US"/>
              </w:rPr>
              <w:t>在人工智能方面</w:t>
            </w:r>
            <w:r>
              <w:rPr>
                <w:rFonts w:hint="default" w:ascii="宋体"/>
                <w:b w:val="0"/>
                <w:bCs w:val="0"/>
                <w:sz w:val="24"/>
                <w:lang w:val="en-US"/>
              </w:rPr>
              <w:t>，</w:t>
            </w:r>
            <w:r>
              <w:rPr>
                <w:rFonts w:hint="default" w:ascii="宋体"/>
                <w:sz w:val="24"/>
                <w:lang w:val="en-US"/>
              </w:rPr>
              <w:t>公司聚焦未来业务发展积极开展人工智能布局，以智能调度和智能运维为主攻方向，探索科学计算和电力行业大模型创新应用，围绕基础研究、调度稳控、设备运维等领域布局研究项目，公司将持续深耕电网运行控制与生产作业领域，一体化运用信息化、通信、网络安全等技术，打造数字孪生底座，构建物理电网在数字空间的高保真动态虚拟模型，通过数据挖掘、智能推演，全面赋能调度运行、生产管控、基层作业等各环节，全力推动新一代人工智能与电力技术深度融合。近期，公司统筹资源，组建了电网运行科学智能应用研究“十年磨剑”团队，构建AI4EMS技术范式，开展基于人工智能的新型电力系统调度优化等关键技术攻关，打造成为支撑电网调度运行智能驾驶的关键技术引擎，力争成为电力行业人工智能科技创新排头兵和产业化主力军。</w:t>
            </w:r>
            <w:r>
              <w:rPr>
                <w:rFonts w:hint="default" w:ascii="宋体"/>
                <w:b/>
                <w:bCs/>
                <w:sz w:val="24"/>
                <w:lang w:val="en-US"/>
              </w:rPr>
              <w:t>在半导体方面</w:t>
            </w:r>
            <w:r>
              <w:rPr>
                <w:rFonts w:hint="default" w:ascii="宋体"/>
                <w:b w:val="0"/>
                <w:bCs w:val="0"/>
                <w:sz w:val="24"/>
                <w:lang w:val="en-US"/>
              </w:rPr>
              <w:t>，</w:t>
            </w:r>
            <w:r>
              <w:rPr>
                <w:rFonts w:hint="default" w:ascii="宋体"/>
                <w:sz w:val="24"/>
                <w:lang w:val="en-US"/>
              </w:rPr>
              <w:t>公司集中力量攻克高端功率芯片、高可靠低损耗模块封装等核心技术。在高压领域，重点突破特高压柔性直流输电所需的4500V/3000A、4500V/5000A高耐压器件，着力解决多芯片并联时的电流均衡难题，相关技术已开始支撑±800kV特高压工程建设；在中低压领域，专注1200～1700V芯片的优化，通过亚微米级精密沟槽工艺将导通损耗降低20%以上，显著提升了风电、光伏及储能场景的功率密度。公司也组建了高压大功率半导体器件方面的“十年磨剑”团队，聚焦大电网用核心高压大功率半导体器件自主化与品质提升，积极打造世界领先的高压大功率半导体器件研发与产业化平台。</w:t>
            </w:r>
          </w:p>
          <w:p>
            <w:pPr>
              <w:spacing w:line="360" w:lineRule="auto"/>
              <w:rPr>
                <w:rFonts w:hint="default" w:ascii="宋体"/>
                <w:sz w:val="24"/>
                <w:lang w:val="en-US"/>
              </w:rPr>
            </w:pPr>
          </w:p>
          <w:p>
            <w:pPr>
              <w:spacing w:line="360" w:lineRule="auto"/>
              <w:rPr>
                <w:b/>
                <w:bCs/>
              </w:rPr>
            </w:pPr>
            <w:r>
              <w:rPr>
                <w:rFonts w:hint="default" w:ascii="宋体"/>
                <w:b/>
                <w:bCs/>
                <w:sz w:val="24"/>
                <w:lang w:val="en-US"/>
              </w:rPr>
              <w:t>2、</w:t>
            </w:r>
            <w:r>
              <w:rPr>
                <w:rFonts w:hint="eastAsia" w:ascii="宋体"/>
                <w:b/>
                <w:bCs/>
                <w:sz w:val="24"/>
                <w:lang w:val="en-US" w:eastAsia="zh-CN"/>
              </w:rPr>
              <w:t>问题：</w:t>
            </w:r>
            <w:r>
              <w:rPr>
                <w:rFonts w:hint="default" w:ascii="宋体"/>
                <w:b/>
                <w:bCs/>
                <w:sz w:val="24"/>
                <w:lang w:val="en-US"/>
              </w:rPr>
              <w:t>展望十五五，公司国内非电网业务长期看来有哪些具备增长潜力的</w:t>
            </w:r>
            <w:r>
              <w:rPr>
                <w:rFonts w:hint="eastAsia" w:ascii="宋体"/>
                <w:b/>
                <w:bCs/>
                <w:sz w:val="24"/>
                <w:lang w:val="en-US" w:eastAsia="zh-CN"/>
              </w:rPr>
              <w:t>业务</w:t>
            </w:r>
            <w:r>
              <w:rPr>
                <w:rFonts w:hint="default" w:ascii="宋体"/>
                <w:b/>
                <w:bCs/>
                <w:sz w:val="24"/>
                <w:lang w:val="en-US"/>
              </w:rPr>
              <w:t>？新场景如AIDC智算中心等，请问公司是否有相关布局？</w:t>
            </w:r>
          </w:p>
          <w:p>
            <w:pPr>
              <w:spacing w:line="360" w:lineRule="auto"/>
              <w:rPr>
                <w:rFonts w:hint="default" w:ascii="宋体"/>
                <w:sz w:val="24"/>
                <w:lang w:val="en-US"/>
              </w:rPr>
            </w:pPr>
            <w:r>
              <w:rPr>
                <w:rFonts w:hint="default" w:ascii="宋体"/>
                <w:b/>
                <w:bCs/>
                <w:sz w:val="24"/>
                <w:lang w:val="en-US"/>
              </w:rPr>
              <w:t>答:</w:t>
            </w:r>
            <w:r>
              <w:rPr>
                <w:rFonts w:hint="default" w:ascii="宋体"/>
                <w:sz w:val="24"/>
                <w:lang w:val="en-US"/>
              </w:rPr>
              <w:t>公司业务现由电网领域向能源互联网领域、工业互联网领域拓展。</w:t>
            </w:r>
            <w:r>
              <w:rPr>
                <w:rFonts w:hint="default" w:ascii="宋体"/>
                <w:b/>
                <w:bCs/>
                <w:sz w:val="24"/>
                <w:lang w:val="en-US"/>
              </w:rPr>
              <w:t>能源互联网领域</w:t>
            </w:r>
            <w:r>
              <w:rPr>
                <w:rFonts w:hint="default" w:ascii="宋体"/>
                <w:sz w:val="24"/>
                <w:lang w:val="en-US"/>
              </w:rPr>
              <w:t>，能源结构加快重塑，绿色低碳转型全面提速。预计全年新能源新增装机有望首次突破5亿千瓦。绿电直供、新能源就地接入等绿色供能模式以及氢电耦合等复合型能源模式不断涌现。</w:t>
            </w:r>
            <w:r>
              <w:rPr>
                <w:rFonts w:hint="default" w:ascii="宋体"/>
                <w:b/>
                <w:bCs/>
                <w:sz w:val="24"/>
                <w:lang w:val="en-US"/>
              </w:rPr>
              <w:t>工业互联网领域</w:t>
            </w:r>
            <w:r>
              <w:rPr>
                <w:rFonts w:hint="default" w:ascii="宋体"/>
                <w:sz w:val="24"/>
                <w:lang w:val="en-US"/>
              </w:rPr>
              <w:t>，国家深入推进“两新”“两重”“两业”建设，加快推动智能装备和软件更新替代。石油化工、冶金矿山、市政交通等重点领域将持续深化数字技术创新应用，深入实施节能降碳改造，提升智能制造水平。加快推动4S储能、多能互补、低空经济、零碳园区、零碳工厂等业务发展。</w:t>
            </w:r>
            <w:r>
              <w:rPr>
                <w:rFonts w:hint="default" w:ascii="宋体"/>
                <w:b/>
                <w:bCs/>
                <w:sz w:val="24"/>
                <w:lang w:val="en-US"/>
              </w:rPr>
              <w:t>在AIDC（智算中心）方面</w:t>
            </w:r>
            <w:r>
              <w:rPr>
                <w:rFonts w:hint="default" w:ascii="宋体"/>
                <w:sz w:val="24"/>
                <w:lang w:val="en-US"/>
              </w:rPr>
              <w:t>，公司正结合自身在绿色数据中心建设、能源供电保障、电算协同、通信与网络安全等方面的技术优势，构建自主可控的整体解决方案，为智算中心的绿色供能、能源调度和安全运行提供坚实保障。未来，公司将以此为基础，持续拓展在算力基础设施与能源融合发展中的应用场景，助力新型电力系统与数字经济协同发展。</w:t>
            </w:r>
          </w:p>
          <w:p>
            <w:pPr>
              <w:spacing w:line="360" w:lineRule="auto"/>
              <w:rPr>
                <w:rFonts w:hint="default" w:ascii="宋体"/>
                <w:sz w:val="24"/>
                <w:lang w:val="en-US"/>
              </w:rPr>
            </w:pPr>
          </w:p>
          <w:p>
            <w:pPr>
              <w:spacing w:line="360" w:lineRule="auto"/>
              <w:rPr>
                <w:rFonts w:hint="eastAsia" w:eastAsia="宋体"/>
                <w:b/>
                <w:bCs/>
                <w:lang w:eastAsia="zh-CN"/>
              </w:rPr>
            </w:pPr>
            <w:r>
              <w:rPr>
                <w:rFonts w:hint="default" w:ascii="宋体"/>
                <w:b/>
                <w:bCs/>
                <w:sz w:val="24"/>
                <w:lang w:val="en-US"/>
              </w:rPr>
              <w:t>3、</w:t>
            </w:r>
            <w:r>
              <w:rPr>
                <w:rFonts w:hint="eastAsia" w:ascii="宋体"/>
                <w:b/>
                <w:bCs/>
                <w:sz w:val="24"/>
                <w:lang w:val="en-US" w:eastAsia="zh-CN"/>
              </w:rPr>
              <w:t>问题</w:t>
            </w:r>
            <w:r>
              <w:rPr>
                <w:rFonts w:hint="default" w:ascii="宋体"/>
                <w:b/>
                <w:bCs/>
                <w:sz w:val="24"/>
                <w:lang w:val="en-US"/>
              </w:rPr>
              <w:t>：公司高压IGBT挂网进度，预计何时能批量供货</w:t>
            </w:r>
            <w:r>
              <w:rPr>
                <w:rFonts w:hint="eastAsia" w:ascii="宋体"/>
                <w:b/>
                <w:bCs/>
                <w:sz w:val="24"/>
                <w:lang w:val="en-US" w:eastAsia="zh-CN"/>
              </w:rPr>
              <w:t>；</w:t>
            </w:r>
            <w:r>
              <w:rPr>
                <w:rFonts w:hint="default" w:ascii="宋体"/>
                <w:b/>
                <w:bCs/>
                <w:sz w:val="24"/>
                <w:lang w:val="en-US"/>
              </w:rPr>
              <w:t>2025上半年，公司电网智能，能源低碳板块收入实现快速增长，主要是哪些产品所带动的</w:t>
            </w:r>
            <w:r>
              <w:rPr>
                <w:rFonts w:hint="eastAsia" w:ascii="宋体"/>
                <w:b/>
                <w:bCs/>
                <w:sz w:val="24"/>
                <w:lang w:val="en-US" w:eastAsia="zh-CN"/>
              </w:rPr>
              <w:t>；</w:t>
            </w:r>
            <w:r>
              <w:rPr>
                <w:rFonts w:hint="default" w:ascii="宋体"/>
                <w:b/>
                <w:bCs/>
                <w:sz w:val="24"/>
                <w:lang w:val="en-US"/>
              </w:rPr>
              <w:t>2025上半年，公司主要板块毛利率有所下降</w:t>
            </w:r>
            <w:r>
              <w:rPr>
                <w:rFonts w:hint="eastAsia" w:ascii="宋体"/>
                <w:b/>
                <w:bCs/>
                <w:sz w:val="24"/>
                <w:lang w:val="en-US" w:eastAsia="zh-CN"/>
              </w:rPr>
              <w:t>的</w:t>
            </w:r>
            <w:r>
              <w:rPr>
                <w:rFonts w:hint="default" w:ascii="宋体"/>
                <w:b/>
                <w:bCs/>
                <w:sz w:val="24"/>
                <w:lang w:val="en-US"/>
              </w:rPr>
              <w:t>主要原因</w:t>
            </w:r>
            <w:r>
              <w:rPr>
                <w:rFonts w:hint="eastAsia" w:ascii="宋体"/>
                <w:b/>
                <w:bCs/>
                <w:sz w:val="24"/>
                <w:lang w:val="en-US" w:eastAsia="zh-CN"/>
              </w:rPr>
              <w:t>？</w:t>
            </w:r>
          </w:p>
          <w:p>
            <w:pPr>
              <w:spacing w:line="360" w:lineRule="auto"/>
              <w:rPr>
                <w:rFonts w:hint="default" w:ascii="宋体"/>
                <w:sz w:val="24"/>
                <w:lang w:val="en-US"/>
              </w:rPr>
            </w:pPr>
            <w:bookmarkStart w:id="2" w:name="_GoBack"/>
            <w:r>
              <w:rPr>
                <w:rFonts w:hint="default" w:ascii="宋体"/>
                <w:b/>
                <w:bCs/>
                <w:sz w:val="24"/>
                <w:lang w:val="en-US"/>
              </w:rPr>
              <w:t>答:</w:t>
            </w:r>
            <w:bookmarkEnd w:id="2"/>
            <w:r>
              <w:rPr>
                <w:rFonts w:hint="default" w:ascii="宋体"/>
                <w:sz w:val="24"/>
                <w:lang w:val="en-US"/>
              </w:rPr>
              <w:t>1、目前4500V/3000A IGBT已在试点示范项目投运验证，公司将持续关注示范项目运行效果，积极配合完成示范运行各项技术指标监控。公司自研IGBT器件已在储能领域批量应用。公司IGBT封装测试产线已成功投运，有效保障自主技术产品研发及生产制造需求，产线利用符合投资预期。2、电网智能、能源低碳板块收入实现快速增长，主要系加快新一代调度系统部署及特高压项目履约交付，抢抓新型能源消纳和并网机遇，加快调相机、储能等业务布局，收入大幅增长。3、公司主要产品板块毛利率基本保持平稳，主要系加大新业务、新领域拓展，市场竞争较为激烈，带来毛利率水平波动。</w:t>
            </w:r>
          </w:p>
          <w:p>
            <w:pPr>
              <w:spacing w:line="360" w:lineRule="auto"/>
              <w:rPr>
                <w:rFonts w:hint="default" w:ascii="宋体"/>
                <w:sz w:val="24"/>
                <w:lang w:val="en-US"/>
              </w:rPr>
            </w:pPr>
          </w:p>
          <w:p>
            <w:pPr>
              <w:numPr>
                <w:ilvl w:val="0"/>
                <w:numId w:val="1"/>
              </w:numPr>
              <w:spacing w:line="360" w:lineRule="auto"/>
              <w:rPr>
                <w:rFonts w:hint="default" w:ascii="宋体"/>
                <w:sz w:val="24"/>
                <w:lang w:val="en-US"/>
              </w:rPr>
            </w:pPr>
            <w:r>
              <w:rPr>
                <w:rFonts w:hint="eastAsia" w:ascii="宋体"/>
                <w:b/>
                <w:bCs/>
                <w:sz w:val="24"/>
                <w:lang w:val="en-US" w:eastAsia="zh-CN"/>
              </w:rPr>
              <w:t>问题：</w:t>
            </w:r>
            <w:r>
              <w:rPr>
                <w:rFonts w:hint="default" w:ascii="宋体"/>
                <w:b/>
                <w:bCs/>
                <w:sz w:val="24"/>
                <w:lang w:val="en-US"/>
              </w:rPr>
              <w:t>针对国家雅下水电站重大工程，公司会参与哪些建设内容？这一工程的建设对公司未业绩的影响预期</w:t>
            </w:r>
            <w:r>
              <w:rPr>
                <w:rFonts w:hint="eastAsia" w:ascii="宋体"/>
                <w:b/>
                <w:bCs/>
                <w:sz w:val="24"/>
                <w:lang w:val="en-US" w:eastAsia="zh-CN"/>
              </w:rPr>
              <w:t>？</w:t>
            </w:r>
          </w:p>
          <w:p>
            <w:pPr>
              <w:numPr>
                <w:ilvl w:val="-1"/>
                <w:numId w:val="0"/>
              </w:numPr>
              <w:spacing w:line="360" w:lineRule="auto"/>
              <w:rPr>
                <w:rFonts w:hint="default" w:ascii="宋体"/>
                <w:sz w:val="24"/>
                <w:lang w:val="en-US"/>
              </w:rPr>
            </w:pPr>
            <w:r>
              <w:rPr>
                <w:rFonts w:hint="default" w:ascii="宋体"/>
                <w:b/>
                <w:bCs/>
                <w:sz w:val="24"/>
                <w:lang w:val="en-US"/>
              </w:rPr>
              <w:t>答:</w:t>
            </w:r>
            <w:r>
              <w:rPr>
                <w:rFonts w:hint="default" w:ascii="宋体"/>
                <w:sz w:val="24"/>
                <w:lang w:val="en-US"/>
              </w:rPr>
              <w:t>国家重大水利工程一般涉及一系列复杂的重大理论问题，需要众多的前期研究和可行性验证（如水电机网的建模仿真、分析计算等）。公司在水利水电建设方面有很多成功经验，作为能源电力领域的核心技术和装备提供商，在水电站自动化控制、继电保护、状态监测、智能调度、水利信息化等相关技术和系统解决方案方面，拥有深厚的技术积累和丰富的项目实施经验。成功参与并完成了国内外众多大型水电站（包括但不限于三峡、溪洛渡、向家坝、乌东德、白鹤滩等标志性工程）的自动化、信息化系统的建设和服务，在水电领域拥有卓越的业绩和口碑。公司的主营业务与大型水电站建设所需的关键技术（如计算机监控、调速、励磁、保护、水情监测、水库调度等）高度契合，是支撑现代水电站安全、高效、智能化运行的核心力量。对于国家及行业的重大水电工程项目，公司始终保持高度关注，并凭借自身的技术实力和项目经验，积极参与市场竞争，致力于为清洁能源建设和国家能源安全贡献力量。</w:t>
            </w:r>
          </w:p>
          <w:p>
            <w:pPr>
              <w:numPr>
                <w:ilvl w:val="0"/>
                <w:numId w:val="0"/>
              </w:numPr>
              <w:spacing w:line="360" w:lineRule="auto"/>
              <w:rPr>
                <w:rFonts w:hint="default" w:ascii="宋体"/>
                <w:sz w:val="24"/>
                <w:lang w:val="en-US"/>
              </w:rPr>
            </w:pPr>
          </w:p>
          <w:p>
            <w:pPr>
              <w:spacing w:line="360" w:lineRule="auto"/>
              <w:rPr>
                <w:b/>
                <w:bCs/>
              </w:rPr>
            </w:pPr>
            <w:r>
              <w:rPr>
                <w:rFonts w:hint="default" w:ascii="宋体"/>
                <w:b/>
                <w:bCs/>
                <w:sz w:val="24"/>
                <w:lang w:val="en-US"/>
              </w:rPr>
              <w:t>5、</w:t>
            </w:r>
            <w:r>
              <w:rPr>
                <w:rFonts w:hint="eastAsia" w:ascii="宋体"/>
                <w:b/>
                <w:bCs/>
                <w:sz w:val="24"/>
                <w:lang w:val="en-US" w:eastAsia="zh-CN"/>
              </w:rPr>
              <w:t>问题</w:t>
            </w:r>
            <w:r>
              <w:rPr>
                <w:rFonts w:hint="default" w:ascii="宋体"/>
                <w:b/>
                <w:bCs/>
                <w:sz w:val="24"/>
                <w:lang w:val="en-US"/>
              </w:rPr>
              <w:t>：公司未来的发展战略</w:t>
            </w:r>
            <w:r>
              <w:rPr>
                <w:rFonts w:hint="eastAsia" w:ascii="宋体"/>
                <w:b/>
                <w:bCs/>
                <w:sz w:val="24"/>
                <w:lang w:val="en-US" w:eastAsia="zh-CN"/>
              </w:rPr>
              <w:t>以及</w:t>
            </w:r>
            <w:r>
              <w:rPr>
                <w:rFonts w:hint="default" w:ascii="宋体"/>
                <w:b/>
                <w:bCs/>
                <w:sz w:val="24"/>
                <w:lang w:val="en-US"/>
              </w:rPr>
              <w:t>新的业务增长点</w:t>
            </w:r>
            <w:r>
              <w:rPr>
                <w:rFonts w:hint="eastAsia" w:ascii="宋体"/>
                <w:b/>
                <w:bCs/>
                <w:sz w:val="24"/>
                <w:lang w:val="en-US" w:eastAsia="zh-CN"/>
              </w:rPr>
              <w:t>？</w:t>
            </w:r>
            <w:r>
              <w:rPr>
                <w:rFonts w:hint="default" w:ascii="宋体"/>
                <w:b/>
                <w:bCs/>
                <w:sz w:val="24"/>
                <w:lang w:val="en-US"/>
              </w:rPr>
              <w:t>公司</w:t>
            </w:r>
            <w:r>
              <w:rPr>
                <w:rFonts w:hint="eastAsia" w:ascii="宋体"/>
                <w:b/>
                <w:bCs/>
                <w:sz w:val="24"/>
                <w:lang w:val="en-US" w:eastAsia="zh-CN"/>
              </w:rPr>
              <w:t>为此做了什么准备</w:t>
            </w:r>
            <w:r>
              <w:rPr>
                <w:rFonts w:hint="default" w:ascii="宋体"/>
                <w:b/>
                <w:bCs/>
                <w:sz w:val="24"/>
                <w:lang w:val="en-US"/>
              </w:rPr>
              <w:t>，预计新的第二增长曲线何时兑现？</w:t>
            </w:r>
          </w:p>
          <w:p>
            <w:pPr>
              <w:spacing w:line="360" w:lineRule="auto"/>
              <w:rPr>
                <w:rFonts w:hint="default" w:ascii="宋体"/>
                <w:sz w:val="24"/>
                <w:lang w:val="en-US"/>
              </w:rPr>
            </w:pPr>
            <w:r>
              <w:rPr>
                <w:rFonts w:hint="default" w:ascii="宋体"/>
                <w:b/>
                <w:bCs/>
                <w:sz w:val="24"/>
                <w:lang w:val="en-US"/>
              </w:rPr>
              <w:t>答:</w:t>
            </w:r>
            <w:r>
              <w:rPr>
                <w:rFonts w:hint="default" w:ascii="宋体"/>
                <w:sz w:val="24"/>
                <w:lang w:val="en-US"/>
              </w:rPr>
              <w:t>公司的核心技术与业务正由传统的自动化向两个方向演进：一是电力电子技术及其带来的柔性化、可重构化方向；二是AI技术及数字孪生带来的数字化、智能化方向。为实现战略目标，公司拟打造三大技术基座，纵横延展“三域四层”产业布局，梯次发展“传统新兴未来”三类业务，齐驱共进“网内网外国际”三大市场，着力发展大电网运行控制与电力市场、先进输电与功率器件、智能配电与零碳园区、智慧用电与高级量测、能源数智、清洁发电与能量转换、工业控制与市政交通、智能运维装备等重点业务线，全力打造“电网智能、数能融合、能源低碳、工业互联”四大产业集群，逐步形成“核心优势突出、网内网外统筹、内涵外延并举、国际国内共进”的高质量发展格局。</w:t>
            </w:r>
          </w:p>
          <w:p>
            <w:pPr>
              <w:spacing w:line="360" w:lineRule="auto"/>
              <w:rPr>
                <w:rFonts w:hint="default" w:ascii="宋体"/>
                <w:sz w:val="24"/>
                <w:lang w:val="en-US"/>
              </w:rPr>
            </w:pPr>
          </w:p>
          <w:p>
            <w:pPr>
              <w:spacing w:line="360" w:lineRule="auto"/>
              <w:rPr>
                <w:b/>
                <w:bCs/>
              </w:rPr>
            </w:pPr>
            <w:r>
              <w:rPr>
                <w:rFonts w:hint="default" w:ascii="宋体"/>
                <w:b/>
                <w:bCs/>
                <w:sz w:val="24"/>
                <w:lang w:val="en-US"/>
              </w:rPr>
              <w:t>6、</w:t>
            </w:r>
            <w:r>
              <w:rPr>
                <w:rFonts w:hint="eastAsia" w:ascii="宋体"/>
                <w:b/>
                <w:bCs/>
                <w:sz w:val="24"/>
                <w:lang w:val="en-US" w:eastAsia="zh-CN"/>
              </w:rPr>
              <w:t>问题</w:t>
            </w:r>
            <w:r>
              <w:rPr>
                <w:rFonts w:hint="default" w:ascii="宋体"/>
                <w:b/>
                <w:bCs/>
                <w:sz w:val="24"/>
                <w:lang w:val="en-US"/>
              </w:rPr>
              <w:t>：国电南瑞对十五五较十四五国家对特高压投资的预测?下半年对订单增</w:t>
            </w:r>
            <w:r>
              <w:rPr>
                <w:rFonts w:hint="eastAsia" w:ascii="宋体"/>
                <w:b/>
                <w:bCs/>
                <w:sz w:val="24"/>
                <w:lang w:val="en-US" w:eastAsia="zh-CN"/>
              </w:rPr>
              <w:t>长</w:t>
            </w:r>
            <w:r>
              <w:rPr>
                <w:rFonts w:hint="default" w:ascii="宋体"/>
                <w:b/>
                <w:bCs/>
                <w:sz w:val="24"/>
                <w:lang w:val="en-US"/>
              </w:rPr>
              <w:t>的预测？国内和海外的毛利</w:t>
            </w:r>
            <w:r>
              <w:rPr>
                <w:rFonts w:hint="eastAsia" w:ascii="宋体"/>
                <w:b/>
                <w:bCs/>
                <w:sz w:val="24"/>
                <w:lang w:val="en-US" w:eastAsia="zh-CN"/>
              </w:rPr>
              <w:t>率</w:t>
            </w:r>
            <w:r>
              <w:rPr>
                <w:rFonts w:hint="default" w:ascii="宋体"/>
                <w:b/>
                <w:bCs/>
                <w:sz w:val="24"/>
                <w:lang w:val="en-US"/>
              </w:rPr>
              <w:t>为何有很大的差距</w:t>
            </w:r>
            <w:r>
              <w:rPr>
                <w:rFonts w:hint="eastAsia" w:ascii="宋体"/>
                <w:b/>
                <w:bCs/>
                <w:sz w:val="24"/>
                <w:lang w:val="en-US" w:eastAsia="zh-CN"/>
              </w:rPr>
              <w:t>，</w:t>
            </w:r>
            <w:r>
              <w:rPr>
                <w:rFonts w:hint="default" w:ascii="宋体"/>
                <w:b/>
                <w:bCs/>
                <w:sz w:val="24"/>
                <w:lang w:val="en-US"/>
              </w:rPr>
              <w:t>主要原因是什么？未来毛利的变化</w:t>
            </w:r>
            <w:r>
              <w:rPr>
                <w:rFonts w:hint="eastAsia" w:ascii="宋体"/>
                <w:b/>
                <w:bCs/>
                <w:sz w:val="24"/>
                <w:lang w:val="en-US" w:eastAsia="zh-CN"/>
              </w:rPr>
              <w:t>预计</w:t>
            </w:r>
            <w:r>
              <w:rPr>
                <w:rFonts w:hint="default" w:ascii="宋体"/>
                <w:b/>
                <w:bCs/>
                <w:sz w:val="24"/>
                <w:lang w:val="en-US"/>
              </w:rPr>
              <w:t>？公司</w:t>
            </w:r>
            <w:r>
              <w:rPr>
                <w:rFonts w:hint="eastAsia" w:ascii="宋体"/>
                <w:b/>
                <w:bCs/>
                <w:sz w:val="24"/>
                <w:lang w:val="en-US" w:eastAsia="zh-CN"/>
              </w:rPr>
              <w:t>对</w:t>
            </w:r>
            <w:r>
              <w:rPr>
                <w:rFonts w:hint="default" w:ascii="宋体"/>
                <w:b/>
                <w:bCs/>
                <w:sz w:val="24"/>
                <w:lang w:val="en-US"/>
              </w:rPr>
              <w:t>未来3年</w:t>
            </w:r>
            <w:r>
              <w:rPr>
                <w:rFonts w:hint="eastAsia" w:ascii="宋体"/>
                <w:b/>
                <w:bCs/>
                <w:sz w:val="24"/>
                <w:lang w:val="en-US" w:eastAsia="zh-CN"/>
              </w:rPr>
              <w:t>的</w:t>
            </w:r>
            <w:r>
              <w:rPr>
                <w:rFonts w:hint="default" w:ascii="宋体"/>
                <w:b/>
                <w:bCs/>
                <w:sz w:val="24"/>
                <w:lang w:val="en-US"/>
              </w:rPr>
              <w:t>盈利预测和增</w:t>
            </w:r>
            <w:r>
              <w:rPr>
                <w:rFonts w:hint="eastAsia" w:ascii="宋体"/>
                <w:b/>
                <w:bCs/>
                <w:sz w:val="24"/>
                <w:lang w:val="en-US" w:eastAsia="zh-CN"/>
              </w:rPr>
              <w:t>长</w:t>
            </w:r>
            <w:r>
              <w:rPr>
                <w:rFonts w:hint="default" w:ascii="宋体"/>
                <w:b/>
                <w:bCs/>
                <w:sz w:val="24"/>
                <w:lang w:val="en-US"/>
              </w:rPr>
              <w:t>点？</w:t>
            </w:r>
          </w:p>
          <w:p>
            <w:pPr>
              <w:spacing w:line="360" w:lineRule="auto"/>
              <w:rPr>
                <w:rFonts w:hint="default" w:ascii="宋体"/>
                <w:sz w:val="24"/>
                <w:lang w:val="en-US"/>
              </w:rPr>
            </w:pPr>
            <w:r>
              <w:rPr>
                <w:rFonts w:hint="default" w:ascii="宋体"/>
                <w:b/>
                <w:bCs/>
                <w:sz w:val="24"/>
                <w:lang w:val="en-US"/>
              </w:rPr>
              <w:t>答:</w:t>
            </w:r>
            <w:r>
              <w:rPr>
                <w:rFonts w:hint="default" w:ascii="宋体"/>
                <w:sz w:val="24"/>
                <w:lang w:val="en-US"/>
              </w:rPr>
              <w:t>国家持续加大特高压等重大工程投资力度，公司将持续做好支撑服务。下半年，公司将持续强化市场拓展和客户服务，着力提升技术创新、产品质量、解决方案和履约服务的整体能力，进一步巩固和拓展市场空间，推动业绩保持稳健增长。由于国内海外有不同的履约环境，因此毛利率有一定差异。公司预计未来毛利水平保持稳定，盈利稳健增长。</w:t>
            </w:r>
          </w:p>
          <w:p>
            <w:pPr>
              <w:spacing w:line="360" w:lineRule="auto"/>
              <w:rPr>
                <w:rFonts w:hint="default" w:ascii="宋体"/>
                <w:sz w:val="24"/>
                <w:lang w:val="en-US"/>
              </w:rPr>
            </w:pPr>
          </w:p>
          <w:p>
            <w:pPr>
              <w:spacing w:line="360" w:lineRule="auto"/>
              <w:rPr>
                <w:b/>
                <w:bCs/>
              </w:rPr>
            </w:pPr>
            <w:r>
              <w:rPr>
                <w:rFonts w:hint="default" w:ascii="宋体"/>
                <w:b/>
                <w:bCs/>
                <w:sz w:val="24"/>
                <w:lang w:val="en-US"/>
              </w:rPr>
              <w:t>7、</w:t>
            </w:r>
            <w:r>
              <w:rPr>
                <w:rFonts w:hint="eastAsia" w:ascii="宋体"/>
                <w:b/>
                <w:bCs/>
                <w:sz w:val="24"/>
                <w:lang w:val="en-US" w:eastAsia="zh-CN"/>
              </w:rPr>
              <w:t>提问</w:t>
            </w:r>
            <w:r>
              <w:rPr>
                <w:rFonts w:hint="default" w:ascii="宋体"/>
                <w:b/>
                <w:bCs/>
                <w:sz w:val="24"/>
                <w:lang w:val="en-US"/>
              </w:rPr>
              <w:t>：公司2025年上半年的海外业务同比大幅增长约140%，主要增长的产品类型以及海外区域市场？</w:t>
            </w:r>
          </w:p>
          <w:p>
            <w:pPr>
              <w:spacing w:line="360" w:lineRule="auto"/>
              <w:rPr>
                <w:rFonts w:hint="default" w:ascii="宋体"/>
                <w:sz w:val="24"/>
                <w:lang w:val="en-US"/>
              </w:rPr>
            </w:pPr>
            <w:r>
              <w:rPr>
                <w:rFonts w:hint="default" w:ascii="宋体"/>
                <w:b/>
                <w:bCs/>
                <w:sz w:val="24"/>
                <w:lang w:val="en-US"/>
              </w:rPr>
              <w:t>答:</w:t>
            </w:r>
            <w:r>
              <w:rPr>
                <w:rFonts w:hint="default" w:ascii="宋体"/>
                <w:sz w:val="24"/>
                <w:lang w:val="en-US"/>
              </w:rPr>
              <w:t>2025年上半年，实现海外收入19.87亿元，同比增长139.18%，收入大幅增长主要系公司持续做优产业布局，加大海外业务市场拓展，加快储能、特高压、控保等产品履约交付所致，相关收入贡献主要集中在沙特、巴西等亚洲及南美洲国家。</w:t>
            </w:r>
          </w:p>
          <w:p>
            <w:pPr>
              <w:spacing w:line="360" w:lineRule="auto"/>
              <w:rPr>
                <w:rFonts w:hint="default" w:ascii="宋体"/>
                <w:b/>
                <w:bCs/>
                <w:sz w:val="24"/>
                <w:lang w:val="en-US"/>
              </w:rPr>
            </w:pPr>
          </w:p>
          <w:p>
            <w:pPr>
              <w:spacing w:line="360" w:lineRule="auto"/>
              <w:rPr>
                <w:b/>
                <w:bCs/>
              </w:rPr>
            </w:pPr>
            <w:r>
              <w:rPr>
                <w:rFonts w:hint="eastAsia" w:ascii="宋体"/>
                <w:b/>
                <w:bCs/>
                <w:sz w:val="24"/>
                <w:lang w:val="en-US" w:eastAsia="zh-CN"/>
              </w:rPr>
              <w:t>8、问题：</w:t>
            </w:r>
            <w:r>
              <w:rPr>
                <w:rFonts w:hint="default" w:ascii="宋体"/>
                <w:b/>
                <w:bCs/>
                <w:sz w:val="24"/>
                <w:lang w:val="en-US"/>
              </w:rPr>
              <w:t>公司是否联系过基金公司或者机构做路演，介绍公司的发展方向，让社会知道你们的愿景。</w:t>
            </w:r>
          </w:p>
          <w:p>
            <w:pPr>
              <w:spacing w:line="360" w:lineRule="auto"/>
              <w:rPr>
                <w:rFonts w:hint="default" w:ascii="宋体"/>
                <w:sz w:val="24"/>
                <w:lang w:val="en-US"/>
              </w:rPr>
            </w:pPr>
            <w:r>
              <w:rPr>
                <w:rFonts w:hint="default" w:ascii="宋体"/>
                <w:b/>
                <w:bCs/>
                <w:sz w:val="24"/>
                <w:lang w:val="en-US"/>
              </w:rPr>
              <w:t>答:</w:t>
            </w:r>
            <w:r>
              <w:rPr>
                <w:rFonts w:hint="default" w:ascii="宋体"/>
                <w:sz w:val="24"/>
                <w:lang w:val="en-US"/>
              </w:rPr>
              <w:t>公司持续开展投资者沟通交流，通过高效、透明、互动的沟通加深投资者对公司经营状况及未来发展的理解。截至8月末，公司通过电话会、接待现场调研、业绩说明会等方式共开展投资者交流工作59场次。</w:t>
            </w:r>
          </w:p>
          <w:p>
            <w:pPr>
              <w:spacing w:line="360" w:lineRule="auto"/>
              <w:rPr>
                <w:rFonts w:hint="default" w:ascii="宋体"/>
                <w:sz w:val="24"/>
                <w:lang w:val="en-US"/>
              </w:rPr>
            </w:pPr>
          </w:p>
          <w:p>
            <w:pPr>
              <w:spacing w:line="360" w:lineRule="auto"/>
              <w:rPr>
                <w:b/>
                <w:bCs/>
              </w:rPr>
            </w:pPr>
            <w:r>
              <w:rPr>
                <w:rFonts w:hint="eastAsia" w:ascii="宋体"/>
                <w:b/>
                <w:bCs/>
                <w:sz w:val="24"/>
                <w:lang w:val="en-US" w:eastAsia="zh-CN"/>
              </w:rPr>
              <w:t>9</w:t>
            </w:r>
            <w:r>
              <w:rPr>
                <w:rFonts w:hint="default" w:ascii="宋体"/>
                <w:b/>
                <w:bCs/>
                <w:sz w:val="24"/>
                <w:lang w:val="en-US"/>
              </w:rPr>
              <w:t>、</w:t>
            </w:r>
            <w:r>
              <w:rPr>
                <w:rFonts w:hint="eastAsia" w:ascii="宋体"/>
                <w:b/>
                <w:bCs/>
                <w:sz w:val="24"/>
                <w:lang w:val="en-US" w:eastAsia="zh-CN"/>
              </w:rPr>
              <w:t>提问</w:t>
            </w:r>
            <w:r>
              <w:rPr>
                <w:rFonts w:hint="default" w:ascii="宋体"/>
                <w:b/>
                <w:bCs/>
                <w:sz w:val="24"/>
                <w:lang w:val="en-US"/>
              </w:rPr>
              <w:t>：作为十年磨一剑的央企代表，</w:t>
            </w:r>
            <w:r>
              <w:rPr>
                <w:rFonts w:hint="eastAsia" w:ascii="宋体"/>
                <w:b/>
                <w:bCs/>
                <w:sz w:val="24"/>
                <w:lang w:val="en-US" w:eastAsia="zh-CN"/>
              </w:rPr>
              <w:t>公司</w:t>
            </w:r>
            <w:r>
              <w:rPr>
                <w:rFonts w:hint="default" w:ascii="宋体"/>
                <w:b/>
                <w:bCs/>
                <w:sz w:val="24"/>
                <w:lang w:val="en-US"/>
              </w:rPr>
              <w:t>在4月7日率先承诺回购股票，这被视为央企的担当和社会责任。随着半年报的披露，</w:t>
            </w:r>
            <w:r>
              <w:rPr>
                <w:rFonts w:hint="eastAsia" w:ascii="宋体"/>
                <w:b/>
                <w:bCs/>
                <w:sz w:val="24"/>
                <w:lang w:val="en-US" w:eastAsia="zh-CN"/>
              </w:rPr>
              <w:t>公司</w:t>
            </w:r>
            <w:r>
              <w:rPr>
                <w:rFonts w:hint="default" w:ascii="宋体"/>
                <w:b/>
                <w:bCs/>
                <w:sz w:val="24"/>
                <w:lang w:val="en-US"/>
              </w:rPr>
              <w:t>业绩稳定增长，持续高额分红，为广大股民带来了不错的投资收益。但是，从去年十月份开始</w:t>
            </w:r>
            <w:r>
              <w:rPr>
                <w:rFonts w:hint="eastAsia" w:ascii="宋体"/>
                <w:b/>
                <w:bCs/>
                <w:sz w:val="24"/>
                <w:lang w:val="en-US" w:eastAsia="zh-CN"/>
              </w:rPr>
              <w:t>公司</w:t>
            </w:r>
            <w:r>
              <w:rPr>
                <w:rFonts w:hint="default" w:ascii="宋体"/>
                <w:b/>
                <w:bCs/>
                <w:sz w:val="24"/>
                <w:lang w:val="en-US"/>
              </w:rPr>
              <w:t>的股价就一直在下降通道中，请问有何市值管理的举措。</w:t>
            </w:r>
          </w:p>
          <w:p>
            <w:pPr>
              <w:spacing w:line="360" w:lineRule="auto"/>
              <w:rPr>
                <w:rFonts w:hint="default" w:ascii="宋体"/>
                <w:sz w:val="24"/>
                <w:lang w:val="en-US"/>
              </w:rPr>
            </w:pPr>
            <w:r>
              <w:rPr>
                <w:rFonts w:hint="default" w:ascii="宋体"/>
                <w:b/>
                <w:bCs/>
                <w:sz w:val="24"/>
                <w:lang w:val="en-US"/>
              </w:rPr>
              <w:t>答:</w:t>
            </w:r>
            <w:r>
              <w:rPr>
                <w:rFonts w:hint="default" w:ascii="宋体"/>
                <w:sz w:val="24"/>
                <w:lang w:val="en-US"/>
              </w:rPr>
              <w:t>公司经营重点在于聚焦主业，以科技创新为核心驱动，持续提升经营质量，通过提高产品和服务的竞争力，扩大市场份额，增加营收和利润，为股价提供坚实的基本面。同时公司强化投资者关系管理，传递公司价值；夯实公司治理，优化信息披露透明度；连续两年高比例高频次分红、稳步实施股票回购等提振市场信心；通过整合资源、拓展业务领域等方式，提升公司的竞争力和盈利能力。股价表现受宏观经济、市场热点、投资者情绪及板块轮动等多重因素影响，与公司经营基本面并非完全同步。</w:t>
            </w:r>
          </w:p>
          <w:p>
            <w:pPr>
              <w:spacing w:line="360" w:lineRule="auto"/>
              <w:rPr>
                <w:rFonts w:hint="default" w:ascii="宋体"/>
                <w:b/>
                <w:bCs/>
                <w:sz w:val="24"/>
                <w:lang w:val="en-US"/>
              </w:rPr>
            </w:pPr>
          </w:p>
          <w:p>
            <w:pPr>
              <w:spacing w:line="360" w:lineRule="auto"/>
              <w:rPr>
                <w:b/>
                <w:bCs/>
              </w:rPr>
            </w:pPr>
            <w:r>
              <w:rPr>
                <w:rFonts w:hint="eastAsia" w:ascii="宋体"/>
                <w:b/>
                <w:bCs/>
                <w:sz w:val="24"/>
                <w:lang w:val="en-US" w:eastAsia="zh-CN"/>
              </w:rPr>
              <w:t>10、提问：</w:t>
            </w:r>
            <w:r>
              <w:rPr>
                <w:rFonts w:hint="default" w:ascii="宋体"/>
                <w:b/>
                <w:bCs/>
                <w:sz w:val="24"/>
                <w:lang w:val="en-US"/>
              </w:rPr>
              <w:t>截止2025年9月1日，公司股价下跌-12.7%，同期上证指数上涨15.63%、沪深300指数14.96%，作为自称行业龙头、上证50、沪深300、上证180等核心指数成份股和大型国企，公司如何积极维护自身市场地位、品牌形象和市值管理？比如行业标杆贵州茅台在股价被低估时多次实施股票回购注销、大股东二级市场直接增持等多项积极市值管理措施！</w:t>
            </w:r>
          </w:p>
          <w:p>
            <w:pPr>
              <w:spacing w:line="360" w:lineRule="auto"/>
              <w:rPr>
                <w:rFonts w:hint="default" w:ascii="宋体"/>
                <w:sz w:val="24"/>
                <w:lang w:val="en-US"/>
              </w:rPr>
            </w:pPr>
            <w:r>
              <w:rPr>
                <w:rFonts w:hint="default" w:ascii="宋体"/>
                <w:b/>
                <w:bCs/>
                <w:sz w:val="24"/>
                <w:lang w:val="en-US"/>
              </w:rPr>
              <w:t>答:</w:t>
            </w:r>
            <w:r>
              <w:rPr>
                <w:rFonts w:hint="default" w:ascii="宋体"/>
                <w:sz w:val="24"/>
                <w:lang w:val="en-US"/>
              </w:rPr>
              <w:t>感谢您对公司的关注和建议。请参看已回复的同类问题。</w:t>
            </w:r>
          </w:p>
          <w:p>
            <w:pPr>
              <w:spacing w:line="360" w:lineRule="auto"/>
              <w:rPr>
                <w:rFonts w:hint="default" w:ascii="宋体"/>
                <w:sz w:val="24"/>
                <w:lang w:val="en-US"/>
              </w:rPr>
            </w:pPr>
          </w:p>
          <w:p>
            <w:pPr>
              <w:spacing w:line="360" w:lineRule="auto"/>
              <w:rPr>
                <w:b/>
                <w:bCs/>
              </w:rPr>
            </w:pPr>
            <w:r>
              <w:rPr>
                <w:rFonts w:hint="default" w:ascii="宋体"/>
                <w:b/>
                <w:bCs/>
                <w:sz w:val="24"/>
                <w:lang w:val="en-US"/>
              </w:rPr>
              <w:t>11、</w:t>
            </w:r>
            <w:r>
              <w:rPr>
                <w:rFonts w:hint="eastAsia" w:ascii="宋体"/>
                <w:b/>
                <w:bCs/>
                <w:sz w:val="24"/>
                <w:lang w:val="en-US" w:eastAsia="zh-CN"/>
              </w:rPr>
              <w:t>提问</w:t>
            </w:r>
            <w:r>
              <w:rPr>
                <w:rFonts w:hint="default" w:ascii="宋体"/>
                <w:b/>
                <w:bCs/>
                <w:sz w:val="24"/>
                <w:lang w:val="en-US"/>
              </w:rPr>
              <w:t>：</w:t>
            </w:r>
            <w:r>
              <w:rPr>
                <w:rFonts w:hint="eastAsia" w:ascii="宋体"/>
                <w:b/>
                <w:bCs/>
                <w:sz w:val="24"/>
                <w:lang w:val="en-US" w:eastAsia="zh-CN"/>
              </w:rPr>
              <w:t>公司</w:t>
            </w:r>
            <w:r>
              <w:rPr>
                <w:rFonts w:hint="default" w:ascii="宋体"/>
                <w:b/>
                <w:bCs/>
                <w:sz w:val="24"/>
                <w:lang w:val="en-US"/>
              </w:rPr>
              <w:t>股权回购是否</w:t>
            </w:r>
            <w:r>
              <w:rPr>
                <w:rFonts w:hint="eastAsia" w:ascii="宋体"/>
                <w:b/>
                <w:bCs/>
                <w:sz w:val="24"/>
                <w:lang w:val="en-US" w:eastAsia="zh-CN"/>
              </w:rPr>
              <w:t>用于</w:t>
            </w:r>
            <w:r>
              <w:rPr>
                <w:rFonts w:hint="default" w:ascii="宋体"/>
                <w:b/>
                <w:bCs/>
                <w:sz w:val="24"/>
                <w:lang w:val="en-US"/>
              </w:rPr>
              <w:t>新一轮股权激励？进一步股权激励</w:t>
            </w:r>
            <w:r>
              <w:rPr>
                <w:rFonts w:hint="eastAsia" w:ascii="宋体"/>
                <w:b/>
                <w:bCs/>
                <w:sz w:val="24"/>
                <w:lang w:val="en-US" w:eastAsia="zh-CN"/>
              </w:rPr>
              <w:t>是否会</w:t>
            </w:r>
            <w:r>
              <w:rPr>
                <w:rFonts w:hint="default" w:ascii="宋体"/>
                <w:b/>
                <w:bCs/>
                <w:sz w:val="24"/>
                <w:lang w:val="en-US"/>
              </w:rPr>
              <w:t>损害中小投资者的利益？公司股权激励</w:t>
            </w:r>
            <w:r>
              <w:rPr>
                <w:rFonts w:hint="eastAsia" w:ascii="宋体"/>
                <w:b/>
                <w:bCs/>
                <w:sz w:val="24"/>
                <w:lang w:val="en-US" w:eastAsia="zh-CN"/>
              </w:rPr>
              <w:t>部分股票解禁</w:t>
            </w:r>
            <w:r>
              <w:rPr>
                <w:rFonts w:hint="default" w:ascii="宋体"/>
                <w:b/>
                <w:bCs/>
                <w:sz w:val="24"/>
                <w:lang w:val="en-US"/>
              </w:rPr>
              <w:t>，是不是导致近期股价下跌的一个因素。</w:t>
            </w:r>
          </w:p>
          <w:p>
            <w:pPr>
              <w:spacing w:line="360" w:lineRule="auto"/>
              <w:rPr>
                <w:rFonts w:hint="default" w:ascii="宋体"/>
                <w:sz w:val="24"/>
                <w:lang w:val="en-US"/>
              </w:rPr>
            </w:pPr>
            <w:r>
              <w:rPr>
                <w:rFonts w:hint="default" w:ascii="宋体"/>
                <w:b/>
                <w:bCs/>
                <w:sz w:val="24"/>
                <w:lang w:val="en-US"/>
              </w:rPr>
              <w:t>答:</w:t>
            </w:r>
            <w:r>
              <w:rPr>
                <w:rFonts w:hint="default" w:ascii="宋体"/>
                <w:sz w:val="24"/>
                <w:lang w:val="en-US"/>
              </w:rPr>
              <w:t>公司是科技型企业，人才是企业发展的核心驱动力</w:t>
            </w:r>
            <w:r>
              <w:rPr>
                <w:rFonts w:hint="eastAsia" w:ascii="宋体"/>
                <w:sz w:val="24"/>
                <w:lang w:val="en-US" w:eastAsia="zh-CN"/>
              </w:rPr>
              <w:t>。公司</w:t>
            </w:r>
            <w:r>
              <w:rPr>
                <w:rFonts w:hint="default" w:ascii="宋体"/>
                <w:sz w:val="24"/>
                <w:lang w:val="en-US"/>
              </w:rPr>
              <w:t>于2025年4月发布5-10亿元股份回购方案，回购股份未来用于公司核心骨干的股权激励。公司正积极稳妥实施股份回购计划，截至8月末，已累计回购2,094.75万股，占总股本的0.261%，回购总金额4.62亿元。</w:t>
            </w:r>
          </w:p>
          <w:p>
            <w:pPr>
              <w:spacing w:line="360" w:lineRule="auto"/>
              <w:rPr>
                <w:rFonts w:hint="default" w:ascii="宋体"/>
                <w:sz w:val="24"/>
                <w:lang w:val="en-US"/>
              </w:rPr>
            </w:pPr>
          </w:p>
          <w:p>
            <w:pPr>
              <w:spacing w:line="360" w:lineRule="auto"/>
              <w:rPr>
                <w:rFonts w:hint="default" w:ascii="宋体" w:hAnsi="Calibri" w:eastAsia="宋体" w:cs="Times New Roman"/>
                <w:b/>
                <w:bCs/>
                <w:i w:val="0"/>
                <w:caps w:val="0"/>
                <w:spacing w:val="0"/>
                <w:sz w:val="24"/>
                <w:szCs w:val="22"/>
                <w:shd w:val="clear"/>
              </w:rPr>
            </w:pPr>
            <w:r>
              <w:rPr>
                <w:rFonts w:hint="eastAsia" w:ascii="宋体"/>
                <w:b/>
                <w:bCs/>
                <w:sz w:val="24"/>
                <w:lang w:val="en-US" w:eastAsia="zh-CN"/>
              </w:rPr>
              <w:t>12、</w:t>
            </w:r>
            <w:r>
              <w:rPr>
                <w:rFonts w:hint="default" w:ascii="宋体"/>
                <w:b/>
                <w:bCs/>
                <w:sz w:val="24"/>
                <w:lang w:val="en-US" w:eastAsia="zh-CN"/>
              </w:rPr>
              <w:t>邮件（</w:t>
            </w:r>
            <w:bookmarkStart w:id="0" w:name="OLE_LINK2"/>
            <w:r>
              <w:rPr>
                <w:rFonts w:hint="default" w:ascii="宋体" w:hAnsi="Calibri" w:eastAsia="宋体" w:cs="Times New Roman"/>
                <w:b/>
                <w:bCs/>
                <w:i w:val="0"/>
                <w:caps w:val="0"/>
                <w:spacing w:val="0"/>
                <w:sz w:val="24"/>
                <w:szCs w:val="22"/>
                <w:u w:val="none"/>
                <w:shd w:val="clear"/>
                <w:lang w:val="en-US" w:eastAsia="zh-CN"/>
              </w:rPr>
              <w:t>y13975609579@126.com</w:t>
            </w:r>
            <w:bookmarkEnd w:id="0"/>
            <w:r>
              <w:rPr>
                <w:rFonts w:hint="default" w:ascii="宋体" w:hAnsi="Calibri" w:eastAsia="宋体" w:cs="Times New Roman"/>
                <w:b/>
                <w:bCs/>
                <w:i w:val="0"/>
                <w:caps w:val="0"/>
                <w:spacing w:val="0"/>
                <w:sz w:val="24"/>
                <w:szCs w:val="22"/>
                <w:u w:val="none"/>
                <w:shd w:val="clear"/>
                <w:lang w:val="en-US" w:eastAsia="zh-CN"/>
              </w:rPr>
              <w:t>）</w:t>
            </w:r>
            <w:r>
              <w:rPr>
                <w:rFonts w:hint="default" w:ascii="宋体"/>
                <w:b/>
                <w:bCs/>
                <w:sz w:val="24"/>
                <w:lang w:val="en-US" w:eastAsia="zh-CN"/>
              </w:rPr>
              <w:t>提问问题：</w:t>
            </w:r>
            <w:r>
              <w:rPr>
                <w:rFonts w:hint="default" w:ascii="宋体" w:hAnsi="Calibri" w:eastAsia="宋体" w:cs="Times New Roman"/>
                <w:b/>
                <w:bCs/>
                <w:i w:val="0"/>
                <w:caps w:val="0"/>
                <w:spacing w:val="0"/>
                <w:sz w:val="24"/>
                <w:szCs w:val="22"/>
                <w:shd w:val="clear"/>
              </w:rPr>
              <w:t>贵司沙特ADMS项目，全部的型式试验是否已按计划在8月份顺利完成？上次8月4日在</w:t>
            </w:r>
            <w:r>
              <w:rPr>
                <w:rFonts w:hint="eastAsia" w:ascii="宋体" w:cs="Times New Roman"/>
                <w:b/>
                <w:bCs/>
                <w:i w:val="0"/>
                <w:caps w:val="0"/>
                <w:spacing w:val="0"/>
                <w:sz w:val="24"/>
                <w:szCs w:val="22"/>
                <w:shd w:val="clear"/>
                <w:lang w:val="en-US" w:eastAsia="zh-CN"/>
              </w:rPr>
              <w:t>E</w:t>
            </w:r>
            <w:r>
              <w:rPr>
                <w:rFonts w:hint="default" w:ascii="宋体" w:hAnsi="Calibri" w:eastAsia="宋体" w:cs="Times New Roman"/>
                <w:b/>
                <w:bCs/>
                <w:i w:val="0"/>
                <w:caps w:val="0"/>
                <w:spacing w:val="0"/>
                <w:sz w:val="24"/>
                <w:szCs w:val="22"/>
                <w:shd w:val="clear"/>
              </w:rPr>
              <w:t>互动问答说已完成60%，然后还想问一下，在以公司董事长郑宗强先生为代表的全新的领导班子的带领下，贵司</w:t>
            </w:r>
            <w:bookmarkStart w:id="1" w:name="OLE_LINK1"/>
            <w:r>
              <w:rPr>
                <w:rFonts w:hint="default" w:ascii="宋体" w:hAnsi="Calibri" w:eastAsia="宋体" w:cs="Times New Roman"/>
                <w:b/>
                <w:bCs/>
                <w:i w:val="0"/>
                <w:caps w:val="0"/>
                <w:spacing w:val="0"/>
                <w:sz w:val="24"/>
                <w:szCs w:val="22"/>
                <w:shd w:val="clear"/>
              </w:rPr>
              <w:t>是否也有在规划赴香港H股上市的雄心壮志</w:t>
            </w:r>
            <w:bookmarkEnd w:id="1"/>
            <w:r>
              <w:rPr>
                <w:rFonts w:hint="default" w:ascii="宋体" w:hAnsi="Calibri" w:eastAsia="宋体" w:cs="Times New Roman"/>
                <w:b/>
                <w:bCs/>
                <w:i w:val="0"/>
                <w:caps w:val="0"/>
                <w:spacing w:val="0"/>
                <w:sz w:val="24"/>
                <w:szCs w:val="22"/>
                <w:shd w:val="clear"/>
              </w:rPr>
              <w:t>，像今年A股市场内赴港上市表现较为优异的立讯精密、胜宏科技、天岳先进等一样，将公司的市值价值和投资价值更上一层楼，吸引更多的中小投资者长期跟随！给他们更大的投资信心！</w:t>
            </w:r>
          </w:p>
          <w:p>
            <w:pPr>
              <w:spacing w:line="360" w:lineRule="auto"/>
              <w:rPr>
                <w:rFonts w:hint="default" w:ascii="宋体" w:hAnsi="Calibri" w:eastAsia="宋体" w:cs="Times New Roman"/>
                <w:i w:val="0"/>
                <w:caps w:val="0"/>
                <w:spacing w:val="0"/>
                <w:sz w:val="24"/>
                <w:szCs w:val="22"/>
                <w:shd w:val="clear"/>
                <w:lang w:val="en-US" w:eastAsia="zh-CN"/>
              </w:rPr>
            </w:pPr>
            <w:r>
              <w:rPr>
                <w:rFonts w:hint="default" w:ascii="宋体" w:cs="Times New Roman"/>
                <w:b/>
                <w:bCs/>
                <w:i w:val="0"/>
                <w:caps w:val="0"/>
                <w:spacing w:val="0"/>
                <w:sz w:val="24"/>
                <w:szCs w:val="22"/>
                <w:shd w:val="clear"/>
                <w:lang w:val="en-US" w:eastAsia="zh-CN"/>
              </w:rPr>
              <w:t>答：</w:t>
            </w:r>
            <w:r>
              <w:rPr>
                <w:rFonts w:hint="default" w:ascii="宋体" w:hAnsi="Calibri" w:eastAsia="宋体" w:cs="Times New Roman"/>
                <w:i w:val="0"/>
                <w:caps w:val="0"/>
                <w:spacing w:val="0"/>
                <w:sz w:val="24"/>
                <w:szCs w:val="22"/>
                <w:shd w:val="clear"/>
                <w:lang w:val="en-US" w:eastAsia="zh-CN"/>
              </w:rPr>
              <w:t>（1）沙特ADMS项目的设计进度已完成75%，目前正按项目整体计划进度有序推进。（2）截至目前，公司暂无赴香港H股上市的相关计划。若未来公司发展进入特定阶段，经综合评估后认为赴港上市有利于公司长远发展，能够更好地回报投资者，公司会积极审慎地研究该方案。届时，公司将严格遵照相关监管规定，及时、准确地履行信息披露义务，切实保障广大投资者的知情权。当前阶段，公司重心在锻造核心竞争力、推进科技创新与产业创新深度融合等方面，持续提升公司的内在价值，为高质量、可持续发展筑牢坚实基础。</w:t>
            </w:r>
          </w:p>
          <w:p>
            <w:pPr>
              <w:pStyle w:val="9"/>
              <w:spacing w:line="460" w:lineRule="exact"/>
              <w:ind w:left="0" w:leftChars="0" w:firstLine="0" w:firstLineChars="0"/>
              <w:rPr>
                <w:rFonts w:hint="default" w:ascii="宋体" w:hAnsi="宋体"/>
                <w:sz w:val="24"/>
                <w:szCs w:val="24"/>
                <w:lang w:val="en-US"/>
              </w:rPr>
            </w:pPr>
          </w:p>
        </w:tc>
      </w:tr>
    </w:tbl>
    <w:p>
      <w:pPr>
        <w:rPr>
          <w:rFonts w:hint="eastAsia"/>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right"/>
    </w:pPr>
    <w:r>
      <w:rPr>
        <w:rFonts w:hint="eastAsia"/>
      </w:rPr>
      <w:t>国电南瑞科技股份有限公司投资者关系活动记录表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2C4"/>
    <w:multiLevelType w:val="singleLevel"/>
    <w:tmpl w:val="0C6D62C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NTlhNGJhZTk1YmZkMTc2MTM0MTg2MGI3NTFmMTEifQ=="/>
  </w:docVars>
  <w:rsids>
    <w:rsidRoot w:val="00000000"/>
    <w:rsid w:val="01541FBE"/>
    <w:rsid w:val="0AF303CE"/>
    <w:rsid w:val="17E90AB2"/>
    <w:rsid w:val="1CB2496B"/>
    <w:rsid w:val="26DC2EBB"/>
    <w:rsid w:val="2CD26905"/>
    <w:rsid w:val="31B00187"/>
    <w:rsid w:val="35F74B91"/>
    <w:rsid w:val="39C82115"/>
    <w:rsid w:val="495D4265"/>
    <w:rsid w:val="4AA57C3A"/>
    <w:rsid w:val="4BEC2E2F"/>
    <w:rsid w:val="4FC036A0"/>
    <w:rsid w:val="58400A27"/>
    <w:rsid w:val="61B42C51"/>
    <w:rsid w:val="670E1BEF"/>
    <w:rsid w:val="6FEF49C8"/>
    <w:rsid w:val="7D6433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8">
    <w:name w:val="Hyperlink"/>
    <w:basedOn w:val="7"/>
    <w:unhideWhenUsed/>
    <w:qFormat/>
    <w:uiPriority w:val="99"/>
    <w:rPr>
      <w:color w:val="0563C1"/>
      <w:u w:val="single"/>
    </w:rPr>
  </w:style>
  <w:style w:type="paragraph" w:customStyle="1" w:styleId="9">
    <w:name w:val="_Style 6"/>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4347</Words>
  <Characters>4666</Characters>
  <Lines>0</Lines>
  <Paragraphs>0</Paragraphs>
  <TotalTime>6</TotalTime>
  <ScaleCrop>false</ScaleCrop>
  <LinksUpToDate>false</LinksUpToDate>
  <CharactersWithSpaces>4697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2023-06-30T02:03:00Z</dcterms:created>
  <dc:creator>Administrator</dc:creator>
  <cp:lastModifiedBy>zhangzhitian</cp:lastModifiedBy>
  <dcterms:modified xsi:type="dcterms:W3CDTF">2025-09-02T09:41:02Z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70BC631A96A64B71B1F673DDFB26822C_13</vt:lpwstr>
  </property>
  <property fmtid="{D5CDD505-2E9C-101B-9397-08002B2CF9AE}" pid="4" name="KSOTemplateDocerSaveRecord">
    <vt:lpwstr>eyJoZGlkIjoiMjVkMTAwNTMyOTI1NjMxYTVhMmMzNjBlZTYyNzQxYTYiLCJ1c2VySWQiOiIzMzA3NTIzNTgifQ==</vt:lpwstr>
  </property>
</Properties>
</file>