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86EC"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证券代码：60</w:t>
      </w:r>
      <w:r>
        <w:rPr>
          <w:rFonts w:asciiTheme="minorEastAsia" w:eastAsiaTheme="minorEastAsia" w:hAnsiTheme="minorEastAsia"/>
          <w:bCs/>
          <w:iCs/>
          <w:color w:val="000000"/>
          <w:sz w:val="24"/>
        </w:rPr>
        <w:t>5077</w:t>
      </w:r>
      <w:r>
        <w:rPr>
          <w:rFonts w:asciiTheme="minorEastAsia" w:eastAsiaTheme="minorEastAsia" w:hAnsiTheme="minorEastAsia" w:hint="eastAsia"/>
          <w:bCs/>
          <w:iCs/>
          <w:color w:val="000000"/>
          <w:sz w:val="24"/>
        </w:rPr>
        <w:t xml:space="preserve">                                 证券简称：华康股份</w:t>
      </w:r>
    </w:p>
    <w:p w14:paraId="40F854B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bCs/>
          <w:iCs/>
          <w:color w:val="000000"/>
          <w:sz w:val="24"/>
        </w:rPr>
        <w:t xml:space="preserve">债券代码：111018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债券简称：华康转债</w:t>
      </w:r>
    </w:p>
    <w:p w14:paraId="655DE9C2" w14:textId="77777777" w:rsidR="009A52D0" w:rsidRDefault="00000000">
      <w:pPr>
        <w:spacing w:beforeLines="100" w:before="312" w:afterLines="50" w:after="156" w:line="400" w:lineRule="exact"/>
        <w:jc w:val="center"/>
        <w:rPr>
          <w:rFonts w:asciiTheme="minorEastAsia" w:eastAsiaTheme="minorEastAsia" w:hAnsiTheme="minorEastAsia" w:hint="eastAsia"/>
          <w:b/>
          <w:bCs/>
          <w:iCs/>
          <w:color w:val="000000"/>
          <w:sz w:val="24"/>
        </w:rPr>
      </w:pPr>
      <w:r>
        <w:rPr>
          <w:rFonts w:asciiTheme="minorEastAsia" w:eastAsiaTheme="minorEastAsia" w:hAnsiTheme="minorEastAsia" w:hint="eastAsia"/>
          <w:b/>
          <w:bCs/>
          <w:iCs/>
          <w:color w:val="000000"/>
          <w:sz w:val="24"/>
        </w:rPr>
        <w:t>浙江华康药业股份有限公司投资者关系活动记录表</w:t>
      </w:r>
    </w:p>
    <w:p w14:paraId="5EDDA6D2" w14:textId="23881A63" w:rsidR="009A52D0" w:rsidRDefault="00000000">
      <w:pPr>
        <w:spacing w:line="400" w:lineRule="exact"/>
        <w:jc w:val="right"/>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                                                       编号：20</w:t>
      </w:r>
      <w:r>
        <w:rPr>
          <w:rFonts w:asciiTheme="minorEastAsia" w:eastAsiaTheme="minorEastAsia" w:hAnsiTheme="minorEastAsia"/>
          <w:bCs/>
          <w:iCs/>
          <w:color w:val="000000"/>
          <w:sz w:val="24"/>
        </w:rPr>
        <w:t>2</w:t>
      </w:r>
      <w:r>
        <w:rPr>
          <w:rFonts w:asciiTheme="minorEastAsia" w:eastAsiaTheme="minorEastAsia" w:hAnsiTheme="minorEastAsia" w:hint="eastAsia"/>
          <w:bCs/>
          <w:iCs/>
          <w:color w:val="000000"/>
          <w:sz w:val="24"/>
        </w:rPr>
        <w:t>5</w:t>
      </w:r>
      <w:r>
        <w:rPr>
          <w:rFonts w:asciiTheme="minorEastAsia" w:eastAsiaTheme="minorEastAsia" w:hAnsiTheme="minorEastAsia"/>
          <w:bCs/>
          <w:iCs/>
          <w:color w:val="000000"/>
          <w:sz w:val="24"/>
        </w:rPr>
        <w:t>-00</w:t>
      </w:r>
      <w:r w:rsidR="00DF3C51">
        <w:rPr>
          <w:rFonts w:asciiTheme="minorEastAsia" w:eastAsiaTheme="minorEastAsia" w:hAnsiTheme="minorEastAsia" w:hint="eastAsia"/>
          <w:bCs/>
          <w:iCs/>
          <w:color w:val="000000"/>
          <w:sz w:val="24"/>
        </w:rPr>
        <w:t>5</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2"/>
      </w:tblGrid>
      <w:tr w:rsidR="009A52D0" w14:paraId="11A0FBBB" w14:textId="77777777">
        <w:trPr>
          <w:trHeight w:val="866"/>
        </w:trPr>
        <w:tc>
          <w:tcPr>
            <w:tcW w:w="1702" w:type="dxa"/>
            <w:tcBorders>
              <w:top w:val="single" w:sz="4" w:space="0" w:color="auto"/>
              <w:left w:val="single" w:sz="4" w:space="0" w:color="auto"/>
              <w:bottom w:val="single" w:sz="4" w:space="0" w:color="auto"/>
              <w:right w:val="single" w:sz="4" w:space="0" w:color="auto"/>
            </w:tcBorders>
            <w:vAlign w:val="center"/>
          </w:tcPr>
          <w:p w14:paraId="78559CF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投资者关系活动类别</w:t>
            </w:r>
          </w:p>
        </w:tc>
        <w:tc>
          <w:tcPr>
            <w:tcW w:w="7512" w:type="dxa"/>
            <w:tcBorders>
              <w:top w:val="single" w:sz="4" w:space="0" w:color="auto"/>
              <w:left w:val="single" w:sz="4" w:space="0" w:color="auto"/>
              <w:bottom w:val="single" w:sz="4" w:space="0" w:color="auto"/>
              <w:right w:val="single" w:sz="4" w:space="0" w:color="auto"/>
            </w:tcBorders>
            <w:vAlign w:val="center"/>
          </w:tcPr>
          <w:p w14:paraId="07742918"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特定对象调研</w:t>
            </w:r>
          </w:p>
          <w:p w14:paraId="0E59446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现场及网络调研</w:t>
            </w:r>
          </w:p>
        </w:tc>
      </w:tr>
      <w:tr w:rsidR="009A52D0" w14:paraId="28B31B23" w14:textId="77777777">
        <w:trPr>
          <w:trHeight w:val="766"/>
        </w:trPr>
        <w:tc>
          <w:tcPr>
            <w:tcW w:w="1702" w:type="dxa"/>
            <w:tcBorders>
              <w:top w:val="single" w:sz="4" w:space="0" w:color="auto"/>
              <w:left w:val="single" w:sz="4" w:space="0" w:color="auto"/>
              <w:bottom w:val="single" w:sz="4" w:space="0" w:color="auto"/>
              <w:right w:val="single" w:sz="4" w:space="0" w:color="auto"/>
            </w:tcBorders>
            <w:vAlign w:val="center"/>
          </w:tcPr>
          <w:p w14:paraId="67E5FB24" w14:textId="77777777" w:rsidR="009A52D0" w:rsidRPr="00C61026" w:rsidRDefault="00000000">
            <w:pPr>
              <w:rPr>
                <w:rFonts w:asciiTheme="minorEastAsia" w:eastAsiaTheme="minorEastAsia" w:hAnsiTheme="minorEastAsia" w:hint="eastAsia"/>
                <w:sz w:val="24"/>
              </w:rPr>
            </w:pPr>
            <w:r w:rsidRPr="00C61026">
              <w:rPr>
                <w:rFonts w:asciiTheme="minorEastAsia" w:eastAsiaTheme="minorEastAsia" w:hAnsiTheme="minorEastAsia" w:hint="eastAsia"/>
                <w:sz w:val="24"/>
              </w:rPr>
              <w:t>参与单位名称及人员姓名</w:t>
            </w:r>
          </w:p>
        </w:tc>
        <w:tc>
          <w:tcPr>
            <w:tcW w:w="7512" w:type="dxa"/>
            <w:tcBorders>
              <w:top w:val="single" w:sz="4" w:space="0" w:color="auto"/>
              <w:left w:val="single" w:sz="4" w:space="0" w:color="auto"/>
              <w:bottom w:val="single" w:sz="4" w:space="0" w:color="auto"/>
              <w:right w:val="single" w:sz="4" w:space="0" w:color="auto"/>
            </w:tcBorders>
            <w:vAlign w:val="center"/>
          </w:tcPr>
          <w:p w14:paraId="419AD12A" w14:textId="008B284A" w:rsidR="00C61026" w:rsidRPr="00CC01D3" w:rsidRDefault="00CC01D3" w:rsidP="00BE50B5">
            <w:pPr>
              <w:rPr>
                <w:rFonts w:asciiTheme="minorEastAsia" w:eastAsiaTheme="minorEastAsia" w:hAnsiTheme="minorEastAsia" w:hint="eastAsia"/>
                <w:sz w:val="24"/>
              </w:rPr>
            </w:pPr>
            <w:r w:rsidRPr="00CC01D3">
              <w:rPr>
                <w:rFonts w:asciiTheme="minorEastAsia" w:eastAsiaTheme="minorEastAsia" w:hAnsiTheme="minorEastAsia" w:hint="eastAsia"/>
                <w:sz w:val="24"/>
              </w:rPr>
              <w:t>弘尚资产</w:t>
            </w:r>
            <w:r w:rsidR="006C6500" w:rsidRPr="00CC01D3">
              <w:rPr>
                <w:rFonts w:asciiTheme="minorEastAsia" w:eastAsiaTheme="minorEastAsia" w:hAnsiTheme="minorEastAsia" w:hint="eastAsia"/>
                <w:sz w:val="24"/>
              </w:rPr>
              <w:t xml:space="preserve"> </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国金证券</w:t>
            </w:r>
            <w:r w:rsidR="006C6500" w:rsidRPr="00CC01D3">
              <w:rPr>
                <w:rFonts w:asciiTheme="minorEastAsia" w:eastAsiaTheme="minorEastAsia" w:hAnsiTheme="minorEastAsia" w:hint="eastAsia"/>
                <w:sz w:val="24"/>
              </w:rPr>
              <w:t xml:space="preserve"> </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申万宏源</w:t>
            </w:r>
          </w:p>
          <w:p w14:paraId="6DC76156" w14:textId="0BC3A12E" w:rsidR="006C6500" w:rsidRPr="00CC01D3" w:rsidRDefault="00CC01D3" w:rsidP="00BE50B5">
            <w:pPr>
              <w:rPr>
                <w:rFonts w:asciiTheme="minorEastAsia" w:eastAsiaTheme="minorEastAsia" w:hAnsiTheme="minorEastAsia" w:hint="eastAsia"/>
                <w:sz w:val="24"/>
              </w:rPr>
            </w:pPr>
            <w:r w:rsidRPr="00CC01D3">
              <w:rPr>
                <w:rFonts w:asciiTheme="minorEastAsia" w:eastAsiaTheme="minorEastAsia" w:hAnsiTheme="minorEastAsia" w:hint="eastAsia"/>
                <w:sz w:val="24"/>
              </w:rPr>
              <w:t>浙能基金</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民生证券</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交银施罗德</w:t>
            </w:r>
          </w:p>
          <w:p w14:paraId="7F77A4F6" w14:textId="7E050B89" w:rsidR="006C6500" w:rsidRPr="00CC01D3" w:rsidRDefault="00CC01D3" w:rsidP="00BE50B5">
            <w:pPr>
              <w:rPr>
                <w:rFonts w:asciiTheme="minorEastAsia" w:eastAsiaTheme="minorEastAsia" w:hAnsiTheme="minorEastAsia" w:hint="eastAsia"/>
                <w:sz w:val="24"/>
              </w:rPr>
            </w:pPr>
            <w:r w:rsidRPr="00CC01D3">
              <w:rPr>
                <w:rFonts w:asciiTheme="minorEastAsia" w:eastAsiaTheme="minorEastAsia" w:hAnsiTheme="minorEastAsia" w:hint="eastAsia"/>
                <w:sz w:val="24"/>
              </w:rPr>
              <w:t>招商基金</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华夏基金</w:t>
            </w:r>
            <w:r w:rsidR="00661F69" w:rsidRPr="00CC01D3">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西部利得</w:t>
            </w:r>
          </w:p>
          <w:p w14:paraId="067E72B4" w14:textId="77777777" w:rsidR="00661F69" w:rsidRPr="00CC01D3" w:rsidRDefault="00CC01D3" w:rsidP="00BE50B5">
            <w:pPr>
              <w:rPr>
                <w:rFonts w:asciiTheme="minorEastAsia" w:eastAsiaTheme="minorEastAsia" w:hAnsiTheme="minorEastAsia" w:hint="eastAsia"/>
                <w:sz w:val="24"/>
              </w:rPr>
            </w:pPr>
            <w:r w:rsidRPr="00CC01D3">
              <w:rPr>
                <w:rFonts w:asciiTheme="minorEastAsia" w:eastAsiaTheme="minorEastAsia" w:hAnsiTheme="minorEastAsia" w:hint="eastAsia"/>
                <w:sz w:val="24"/>
              </w:rPr>
              <w:t>浙商证券                 开源证券                 海通证券</w:t>
            </w:r>
          </w:p>
          <w:p w14:paraId="093C3CD2" w14:textId="77777777" w:rsidR="00CC01D3" w:rsidRDefault="00CC01D3" w:rsidP="00BE50B5">
            <w:pPr>
              <w:rPr>
                <w:rFonts w:asciiTheme="minorEastAsia" w:eastAsiaTheme="minorEastAsia" w:hAnsiTheme="minorEastAsia"/>
                <w:sz w:val="24"/>
              </w:rPr>
            </w:pPr>
            <w:r w:rsidRPr="00CC01D3">
              <w:rPr>
                <w:rFonts w:asciiTheme="minorEastAsia" w:eastAsiaTheme="minorEastAsia" w:hAnsiTheme="minorEastAsia" w:hint="eastAsia"/>
                <w:sz w:val="24"/>
              </w:rPr>
              <w:t>中信建投</w:t>
            </w:r>
            <w:r w:rsidR="002D56F3">
              <w:rPr>
                <w:rFonts w:asciiTheme="minorEastAsia" w:eastAsiaTheme="minorEastAsia" w:hAnsiTheme="minorEastAsia" w:hint="eastAsia"/>
                <w:sz w:val="24"/>
              </w:rPr>
              <w:t xml:space="preserve">                 </w:t>
            </w:r>
            <w:r w:rsidR="002D56F3" w:rsidRPr="002D56F3">
              <w:rPr>
                <w:rFonts w:asciiTheme="minorEastAsia" w:eastAsiaTheme="minorEastAsia" w:hAnsiTheme="minorEastAsia" w:hint="eastAsia"/>
                <w:sz w:val="24"/>
              </w:rPr>
              <w:t>广发证券</w:t>
            </w:r>
            <w:r w:rsidR="002D56F3">
              <w:rPr>
                <w:rFonts w:asciiTheme="minorEastAsia" w:eastAsiaTheme="minorEastAsia" w:hAnsiTheme="minorEastAsia" w:hint="eastAsia"/>
                <w:sz w:val="24"/>
              </w:rPr>
              <w:t xml:space="preserve">                 </w:t>
            </w:r>
            <w:r w:rsidR="002D56F3" w:rsidRPr="002D56F3">
              <w:rPr>
                <w:rFonts w:asciiTheme="minorEastAsia" w:eastAsiaTheme="minorEastAsia" w:hAnsiTheme="minorEastAsia"/>
                <w:sz w:val="24"/>
              </w:rPr>
              <w:t>东方资管</w:t>
            </w:r>
            <w:r w:rsidR="002D56F3">
              <w:rPr>
                <w:rFonts w:asciiTheme="minorEastAsia" w:eastAsiaTheme="minorEastAsia" w:hAnsiTheme="minorEastAsia" w:hint="eastAsia"/>
                <w:sz w:val="24"/>
              </w:rPr>
              <w:t xml:space="preserve"> </w:t>
            </w:r>
          </w:p>
          <w:p w14:paraId="66F5F152" w14:textId="2825687B"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中信证券</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中加基金</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中银国际</w:t>
            </w:r>
          </w:p>
          <w:p w14:paraId="0437B700" w14:textId="54761943"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元葵资产</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光大保德信</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光证资管</w:t>
            </w:r>
          </w:p>
          <w:p w14:paraId="459AB409" w14:textId="77777777" w:rsidR="002D56F3" w:rsidRDefault="002D56F3" w:rsidP="002D56F3">
            <w:pPr>
              <w:rPr>
                <w:rFonts w:asciiTheme="minorEastAsia" w:eastAsiaTheme="minorEastAsia" w:hAnsiTheme="minorEastAsia"/>
                <w:sz w:val="24"/>
              </w:rPr>
            </w:pPr>
            <w:r w:rsidRPr="002D56F3">
              <w:rPr>
                <w:rFonts w:asciiTheme="minorEastAsia" w:eastAsiaTheme="minorEastAsia" w:hAnsiTheme="minorEastAsia"/>
                <w:sz w:val="24"/>
              </w:rPr>
              <w:t>兴业基金</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华商基金</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兴银基金</w:t>
            </w:r>
          </w:p>
          <w:p w14:paraId="6F8E31D8" w14:textId="7AE7B9B1"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华泰柏瑞</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嘉实基金</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国泰基金</w:t>
            </w:r>
          </w:p>
          <w:p w14:paraId="3D1B30EB" w14:textId="1AF07F52"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圆信永丰</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太平基金</w:t>
            </w:r>
            <w:r>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安信基金</w:t>
            </w:r>
          </w:p>
          <w:p w14:paraId="57306E2D" w14:textId="4FBA19D1" w:rsidR="002D56F3" w:rsidRDefault="002D56F3" w:rsidP="002D56F3">
            <w:pPr>
              <w:rPr>
                <w:rFonts w:asciiTheme="minorEastAsia" w:eastAsiaTheme="minorEastAsia" w:hAnsiTheme="minorEastAsia"/>
                <w:sz w:val="24"/>
              </w:rPr>
            </w:pPr>
            <w:r w:rsidRPr="002D56F3">
              <w:rPr>
                <w:rFonts w:asciiTheme="minorEastAsia" w:eastAsiaTheme="minorEastAsia" w:hAnsiTheme="minorEastAsia"/>
                <w:sz w:val="24"/>
              </w:rPr>
              <w:t>招证资管</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摩根资产</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敦敏投资</w:t>
            </w:r>
          </w:p>
          <w:p w14:paraId="38DF93E5" w14:textId="33166F34"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易方达基金</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杭银理财</w:t>
            </w:r>
            <w:r w:rsidRPr="00CC01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民生加银</w:t>
            </w:r>
          </w:p>
          <w:p w14:paraId="74397E2C" w14:textId="435E5451" w:rsidR="002D56F3" w:rsidRDefault="002D56F3" w:rsidP="002D56F3">
            <w:pPr>
              <w:rPr>
                <w:rFonts w:asciiTheme="minorEastAsia" w:eastAsiaTheme="minorEastAsia" w:hAnsiTheme="minorEastAsia"/>
                <w:sz w:val="24"/>
              </w:rPr>
            </w:pPr>
            <w:r w:rsidRPr="002D56F3">
              <w:rPr>
                <w:rFonts w:asciiTheme="minorEastAsia" w:eastAsiaTheme="minorEastAsia" w:hAnsiTheme="minorEastAsia"/>
                <w:sz w:val="24"/>
              </w:rPr>
              <w:t>汇丰晋信</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浙商资管</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浦银安盛</w:t>
            </w:r>
          </w:p>
          <w:p w14:paraId="5CAA50D9" w14:textId="32E92912"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海富通</w:t>
            </w:r>
            <w:r w:rsidRPr="00CC01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申万菱信</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盛宇基金</w:t>
            </w:r>
          </w:p>
          <w:p w14:paraId="0CEC8035" w14:textId="467D8F3F" w:rsidR="002D56F3" w:rsidRPr="00CC01D3"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西部证券</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银华基金</w:t>
            </w:r>
            <w:r>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CC01D3">
              <w:rPr>
                <w:rFonts w:asciiTheme="minorEastAsia" w:eastAsiaTheme="minorEastAsia" w:hAnsiTheme="minorEastAsia" w:hint="eastAsia"/>
                <w:sz w:val="24"/>
              </w:rPr>
              <w:t xml:space="preserve"> </w:t>
            </w:r>
            <w:r w:rsidRPr="002D56F3">
              <w:rPr>
                <w:rFonts w:asciiTheme="minorEastAsia" w:eastAsiaTheme="minorEastAsia" w:hAnsiTheme="minorEastAsia"/>
                <w:sz w:val="24"/>
              </w:rPr>
              <w:t>长信基金</w:t>
            </w:r>
          </w:p>
          <w:p w14:paraId="11BBAE24" w14:textId="743EDA5F" w:rsidR="002D56F3" w:rsidRPr="00BE50B5" w:rsidRDefault="002D56F3" w:rsidP="002D56F3">
            <w:pPr>
              <w:rPr>
                <w:rFonts w:asciiTheme="minorEastAsia" w:eastAsiaTheme="minorEastAsia" w:hAnsiTheme="minorEastAsia" w:hint="eastAsia"/>
                <w:sz w:val="24"/>
              </w:rPr>
            </w:pPr>
            <w:r w:rsidRPr="002D56F3">
              <w:rPr>
                <w:rFonts w:asciiTheme="minorEastAsia" w:eastAsiaTheme="minorEastAsia" w:hAnsiTheme="minorEastAsia"/>
                <w:sz w:val="24"/>
              </w:rPr>
              <w:t>鹏华基金</w:t>
            </w:r>
            <w:r>
              <w:rPr>
                <w:rFonts w:asciiTheme="minorEastAsia" w:eastAsiaTheme="minorEastAsia" w:hAnsiTheme="minorEastAsia" w:hint="eastAsia"/>
                <w:sz w:val="24"/>
              </w:rPr>
              <w:t xml:space="preserve">                 </w:t>
            </w:r>
            <w:r w:rsidRPr="002D56F3">
              <w:rPr>
                <w:rFonts w:asciiTheme="minorEastAsia" w:eastAsiaTheme="minorEastAsia" w:hAnsiTheme="minorEastAsia"/>
                <w:sz w:val="24"/>
              </w:rPr>
              <w:t>华泰保兴</w:t>
            </w:r>
            <w:r>
              <w:rPr>
                <w:rFonts w:asciiTheme="minorEastAsia" w:eastAsiaTheme="minorEastAsia" w:hAnsiTheme="minorEastAsia" w:hint="eastAsia"/>
                <w:sz w:val="24"/>
              </w:rPr>
              <w:t xml:space="preserve">                 </w:t>
            </w:r>
            <w:r w:rsidRPr="002D56F3">
              <w:rPr>
                <w:rFonts w:asciiTheme="minorEastAsia" w:eastAsiaTheme="minorEastAsia" w:hAnsiTheme="minorEastAsia" w:hint="eastAsia"/>
                <w:sz w:val="24"/>
              </w:rPr>
              <w:t>博时</w:t>
            </w:r>
            <w:r>
              <w:rPr>
                <w:rFonts w:asciiTheme="minorEastAsia" w:eastAsiaTheme="minorEastAsia" w:hAnsiTheme="minorEastAsia" w:hint="eastAsia"/>
                <w:sz w:val="24"/>
              </w:rPr>
              <w:t>基金</w:t>
            </w:r>
          </w:p>
        </w:tc>
      </w:tr>
      <w:tr w:rsidR="009A52D0" w14:paraId="4FE4C682" w14:textId="77777777">
        <w:trPr>
          <w:trHeight w:val="549"/>
        </w:trPr>
        <w:tc>
          <w:tcPr>
            <w:tcW w:w="1702" w:type="dxa"/>
            <w:tcBorders>
              <w:top w:val="single" w:sz="4" w:space="0" w:color="auto"/>
              <w:left w:val="single" w:sz="4" w:space="0" w:color="auto"/>
              <w:bottom w:val="single" w:sz="4" w:space="0" w:color="auto"/>
              <w:right w:val="single" w:sz="4" w:space="0" w:color="auto"/>
            </w:tcBorders>
            <w:vAlign w:val="center"/>
          </w:tcPr>
          <w:p w14:paraId="7A24D92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时间</w:t>
            </w:r>
          </w:p>
        </w:tc>
        <w:tc>
          <w:tcPr>
            <w:tcW w:w="7512" w:type="dxa"/>
            <w:tcBorders>
              <w:top w:val="single" w:sz="4" w:space="0" w:color="auto"/>
              <w:left w:val="single" w:sz="4" w:space="0" w:color="auto"/>
              <w:bottom w:val="single" w:sz="4" w:space="0" w:color="auto"/>
              <w:right w:val="single" w:sz="4" w:space="0" w:color="auto"/>
            </w:tcBorders>
            <w:vAlign w:val="center"/>
          </w:tcPr>
          <w:p w14:paraId="72AC1D16" w14:textId="555FC33C"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2</w:t>
            </w:r>
            <w:r>
              <w:rPr>
                <w:rFonts w:asciiTheme="minorEastAsia" w:eastAsiaTheme="minorEastAsia" w:hAnsiTheme="minorEastAsia"/>
                <w:bCs/>
                <w:iCs/>
                <w:color w:val="000000"/>
                <w:sz w:val="24"/>
              </w:rPr>
              <w:t>02</w:t>
            </w:r>
            <w:r>
              <w:rPr>
                <w:rFonts w:asciiTheme="minorEastAsia" w:eastAsiaTheme="minorEastAsia" w:hAnsiTheme="minorEastAsia" w:hint="eastAsia"/>
                <w:bCs/>
                <w:iCs/>
                <w:color w:val="000000"/>
                <w:sz w:val="24"/>
              </w:rPr>
              <w:t>5年</w:t>
            </w:r>
            <w:r w:rsidR="00DF3C51">
              <w:rPr>
                <w:rFonts w:asciiTheme="minorEastAsia" w:eastAsiaTheme="minorEastAsia" w:hAnsiTheme="minorEastAsia" w:hint="eastAsia"/>
                <w:bCs/>
                <w:iCs/>
                <w:color w:val="000000"/>
                <w:sz w:val="24"/>
              </w:rPr>
              <w:t>8</w:t>
            </w:r>
            <w:r>
              <w:rPr>
                <w:rFonts w:asciiTheme="minorEastAsia" w:eastAsiaTheme="minorEastAsia" w:hAnsiTheme="minorEastAsia" w:hint="eastAsia"/>
                <w:bCs/>
                <w:iCs/>
                <w:color w:val="000000"/>
                <w:sz w:val="24"/>
              </w:rPr>
              <w:t>月</w:t>
            </w:r>
          </w:p>
        </w:tc>
      </w:tr>
      <w:tr w:rsidR="009A52D0" w14:paraId="244377BA" w14:textId="77777777">
        <w:trPr>
          <w:trHeight w:val="570"/>
        </w:trPr>
        <w:tc>
          <w:tcPr>
            <w:tcW w:w="1702" w:type="dxa"/>
            <w:tcBorders>
              <w:top w:val="single" w:sz="4" w:space="0" w:color="auto"/>
              <w:left w:val="single" w:sz="4" w:space="0" w:color="auto"/>
              <w:bottom w:val="single" w:sz="4" w:space="0" w:color="auto"/>
              <w:right w:val="single" w:sz="4" w:space="0" w:color="auto"/>
            </w:tcBorders>
            <w:vAlign w:val="center"/>
          </w:tcPr>
          <w:p w14:paraId="16A04A4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地点</w:t>
            </w:r>
          </w:p>
        </w:tc>
        <w:tc>
          <w:tcPr>
            <w:tcW w:w="7512" w:type="dxa"/>
            <w:tcBorders>
              <w:top w:val="single" w:sz="4" w:space="0" w:color="auto"/>
              <w:left w:val="single" w:sz="4" w:space="0" w:color="auto"/>
              <w:bottom w:val="single" w:sz="4" w:space="0" w:color="auto"/>
              <w:right w:val="single" w:sz="4" w:space="0" w:color="auto"/>
            </w:tcBorders>
            <w:vAlign w:val="center"/>
          </w:tcPr>
          <w:p w14:paraId="42F97083" w14:textId="3929F3FC"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浙江省衢州市开化县华埠镇华工路1</w:t>
            </w:r>
            <w:r>
              <w:rPr>
                <w:rFonts w:asciiTheme="minorEastAsia" w:eastAsiaTheme="minorEastAsia" w:hAnsiTheme="minorEastAsia"/>
                <w:bCs/>
                <w:iCs/>
                <w:color w:val="000000"/>
                <w:sz w:val="24"/>
              </w:rPr>
              <w:t>8</w:t>
            </w:r>
            <w:r>
              <w:rPr>
                <w:rFonts w:asciiTheme="minorEastAsia" w:eastAsiaTheme="minorEastAsia" w:hAnsiTheme="minorEastAsia" w:hint="eastAsia"/>
                <w:bCs/>
                <w:iCs/>
                <w:color w:val="000000"/>
                <w:sz w:val="24"/>
              </w:rPr>
              <w:t>号</w:t>
            </w:r>
          </w:p>
          <w:p w14:paraId="1E4DA86F" w14:textId="56F368B8"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浙江省杭州市西湖区求是路8号</w:t>
            </w:r>
          </w:p>
        </w:tc>
      </w:tr>
      <w:tr w:rsidR="009A52D0" w14:paraId="0DE19EC4" w14:textId="77777777">
        <w:tc>
          <w:tcPr>
            <w:tcW w:w="1702" w:type="dxa"/>
            <w:tcBorders>
              <w:top w:val="single" w:sz="4" w:space="0" w:color="auto"/>
              <w:left w:val="single" w:sz="4" w:space="0" w:color="auto"/>
              <w:bottom w:val="single" w:sz="4" w:space="0" w:color="auto"/>
              <w:right w:val="single" w:sz="4" w:space="0" w:color="auto"/>
            </w:tcBorders>
            <w:vAlign w:val="center"/>
          </w:tcPr>
          <w:p w14:paraId="4B54E666"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上市公司接待人员姓名</w:t>
            </w:r>
          </w:p>
        </w:tc>
        <w:tc>
          <w:tcPr>
            <w:tcW w:w="7512" w:type="dxa"/>
            <w:tcBorders>
              <w:top w:val="single" w:sz="4" w:space="0" w:color="auto"/>
              <w:left w:val="single" w:sz="4" w:space="0" w:color="auto"/>
              <w:bottom w:val="single" w:sz="4" w:space="0" w:color="auto"/>
              <w:right w:val="single" w:sz="4" w:space="0" w:color="auto"/>
            </w:tcBorders>
            <w:vAlign w:val="center"/>
          </w:tcPr>
          <w:p w14:paraId="1FC50B4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董事会秘书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  吴志平</w:t>
            </w:r>
          </w:p>
          <w:p w14:paraId="1317AA0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证券事务代表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柳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强</w:t>
            </w:r>
          </w:p>
        </w:tc>
      </w:tr>
      <w:tr w:rsidR="009A52D0" w14:paraId="773C24C5" w14:textId="77777777">
        <w:tc>
          <w:tcPr>
            <w:tcW w:w="1702" w:type="dxa"/>
            <w:tcBorders>
              <w:top w:val="single" w:sz="4" w:space="0" w:color="auto"/>
              <w:left w:val="single" w:sz="4" w:space="0" w:color="auto"/>
              <w:bottom w:val="single" w:sz="4" w:space="0" w:color="auto"/>
              <w:right w:val="single" w:sz="4" w:space="0" w:color="auto"/>
            </w:tcBorders>
            <w:vAlign w:val="center"/>
          </w:tcPr>
          <w:p w14:paraId="269B6F6E" w14:textId="77777777" w:rsidR="009A52D0" w:rsidRDefault="00000000">
            <w:pPr>
              <w:spacing w:line="480" w:lineRule="atLeast"/>
              <w:rPr>
                <w:rFonts w:ascii="宋体" w:hAnsi="宋体" w:hint="eastAsia"/>
                <w:color w:val="333333"/>
                <w:sz w:val="24"/>
                <w:shd w:val="clear" w:color="auto" w:fill="FFFFFF"/>
              </w:rPr>
            </w:pPr>
            <w:r>
              <w:rPr>
                <w:rFonts w:ascii="宋体" w:hAnsi="宋体" w:hint="eastAsia"/>
                <w:color w:val="333333"/>
                <w:sz w:val="24"/>
                <w:shd w:val="clear" w:color="auto" w:fill="FFFFFF"/>
              </w:rPr>
              <w:t>访谈主要内容介绍</w:t>
            </w:r>
          </w:p>
          <w:p w14:paraId="1305B9B0" w14:textId="77777777" w:rsidR="009A52D0" w:rsidRDefault="009A52D0">
            <w:pPr>
              <w:rPr>
                <w:rFonts w:ascii="宋体" w:hAnsi="宋体" w:hint="eastAsia"/>
                <w:color w:val="333333"/>
                <w:sz w:val="24"/>
                <w:shd w:val="clear" w:color="auto" w:fill="FFFFFF"/>
              </w:rPr>
            </w:pPr>
          </w:p>
        </w:tc>
        <w:tc>
          <w:tcPr>
            <w:tcW w:w="7512" w:type="dxa"/>
            <w:tcBorders>
              <w:top w:val="single" w:sz="4" w:space="0" w:color="auto"/>
              <w:left w:val="single" w:sz="4" w:space="0" w:color="auto"/>
              <w:bottom w:val="single" w:sz="4" w:space="0" w:color="auto"/>
              <w:right w:val="single" w:sz="4" w:space="0" w:color="auto"/>
            </w:tcBorders>
            <w:vAlign w:val="center"/>
          </w:tcPr>
          <w:p w14:paraId="74B659E4" w14:textId="77777777" w:rsidR="009A52D0" w:rsidRDefault="00000000" w:rsidP="00AD15ED">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1、公司介绍</w:t>
            </w:r>
          </w:p>
          <w:p w14:paraId="28F52D8A" w14:textId="77777777" w:rsidR="009A52D0" w:rsidRDefault="00000000" w:rsidP="00AD15ED">
            <w:pPr>
              <w:keepNext/>
              <w:keepLines/>
              <w:pageBreakBefore/>
              <w:spacing w:line="360" w:lineRule="auto"/>
              <w:ind w:firstLineChars="200" w:firstLine="480"/>
              <w:rPr>
                <w:rFonts w:ascii="宋体" w:hAnsi="宋体" w:hint="eastAsia"/>
                <w:color w:val="333333"/>
                <w:sz w:val="24"/>
                <w:shd w:val="clear" w:color="auto" w:fill="FFFFFF"/>
              </w:rPr>
            </w:pPr>
            <w:r>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2D656F01" w14:textId="1981EEE1" w:rsidR="009A52D0" w:rsidRDefault="00000000" w:rsidP="00AD15ED">
            <w:pPr>
              <w:pStyle w:val="ac"/>
              <w:widowControl/>
              <w:spacing w:beforeAutospacing="0" w:afterAutospacing="0" w:line="360" w:lineRule="auto"/>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公司持续秉持“做世界领先的糖醇专家”的企业愿景，贯彻落实“客户至上，精益求精”的经营思想。通过深耕主业，聚焦优势产品，不断优化组织布局，持续加大资源投入，推进技术创新和产品应用，公司在业务方面总体上保持了相对稳定的发展态势。</w:t>
            </w:r>
          </w:p>
          <w:p w14:paraId="0A6F677D" w14:textId="59A9EB5A" w:rsidR="00DF3C51" w:rsidRDefault="00DF3C51" w:rsidP="00DF3C51">
            <w:pPr>
              <w:pStyle w:val="ac"/>
              <w:widowControl/>
              <w:spacing w:beforeAutospacing="0" w:afterAutospacing="0" w:line="360" w:lineRule="auto"/>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2025年半年度，</w:t>
            </w:r>
            <w:r w:rsidRPr="00DF3C51">
              <w:rPr>
                <w:rFonts w:ascii="宋体" w:hAnsi="宋体" w:hint="eastAsia"/>
                <w:color w:val="333333"/>
                <w:kern w:val="2"/>
                <w:shd w:val="clear" w:color="auto" w:fill="FFFFFF"/>
              </w:rPr>
              <w:t>公司实现营业收入18.66亿元，较去年同期增长37.32%；归属于上市公司股东的净利润1.34亿元，较去年同期下降</w:t>
            </w:r>
            <w:r w:rsidRPr="00DF3C51">
              <w:rPr>
                <w:rFonts w:ascii="宋体" w:hAnsi="宋体" w:hint="eastAsia"/>
                <w:color w:val="333333"/>
                <w:kern w:val="2"/>
                <w:shd w:val="clear" w:color="auto" w:fill="FFFFFF"/>
              </w:rPr>
              <w:lastRenderedPageBreak/>
              <w:t>3.38%，归属于上市公司股东的扣除非经常性损益的净利润1.22亿元，较去年同期下降6.56%。归属于上市公司股东的净资产为32.30亿元，较去年同期下降0.41%；总资产75.65亿元，较去年同期增长8.19%。</w:t>
            </w:r>
          </w:p>
          <w:p w14:paraId="567AB3F3" w14:textId="2CF6643E" w:rsidR="00BA07FC" w:rsidRPr="00BA07FC" w:rsidRDefault="00B90974"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2</w:t>
            </w:r>
            <w:r w:rsidR="00BA07FC" w:rsidRPr="00BA07FC">
              <w:rPr>
                <w:rFonts w:ascii="宋体" w:hAnsi="宋体" w:hint="eastAsia"/>
                <w:b/>
                <w:bCs/>
                <w:color w:val="333333"/>
                <w:shd w:val="clear" w:color="auto" w:fill="FFFFFF"/>
              </w:rPr>
              <w:t>、请问公司</w:t>
            </w:r>
            <w:r w:rsidR="000D0633">
              <w:rPr>
                <w:rFonts w:ascii="宋体" w:hAnsi="宋体" w:hint="eastAsia"/>
                <w:b/>
                <w:bCs/>
                <w:color w:val="333333"/>
                <w:shd w:val="clear" w:color="auto" w:fill="FFFFFF"/>
              </w:rPr>
              <w:t>介绍一下</w:t>
            </w:r>
            <w:r w:rsidR="001D2B16">
              <w:rPr>
                <w:rFonts w:ascii="宋体" w:hAnsi="宋体" w:hint="eastAsia"/>
                <w:b/>
                <w:bCs/>
                <w:color w:val="333333"/>
                <w:shd w:val="clear" w:color="auto" w:fill="FFFFFF"/>
              </w:rPr>
              <w:t>2025年</w:t>
            </w:r>
            <w:r w:rsidR="001E69B0">
              <w:rPr>
                <w:rFonts w:ascii="宋体" w:hAnsi="宋体" w:hint="eastAsia"/>
                <w:b/>
                <w:bCs/>
                <w:color w:val="333333"/>
                <w:shd w:val="clear" w:color="auto" w:fill="FFFFFF"/>
              </w:rPr>
              <w:t>半年度利润同比下降的原因</w:t>
            </w:r>
            <w:r w:rsidR="00BA07FC" w:rsidRPr="00BA07FC">
              <w:rPr>
                <w:rFonts w:ascii="宋体" w:hAnsi="宋体" w:hint="eastAsia"/>
                <w:b/>
                <w:bCs/>
                <w:color w:val="333333"/>
                <w:shd w:val="clear" w:color="auto" w:fill="FFFFFF"/>
              </w:rPr>
              <w:t>？</w:t>
            </w:r>
          </w:p>
          <w:p w14:paraId="3B7000CF" w14:textId="3B4386C8" w:rsidR="001E69B0" w:rsidRDefault="001E69B0" w:rsidP="00AD15ED">
            <w:pPr>
              <w:spacing w:line="360" w:lineRule="auto"/>
              <w:ind w:firstLineChars="200" w:firstLine="480"/>
              <w:rPr>
                <w:rFonts w:ascii="宋体" w:hAnsi="宋体" w:hint="eastAsia"/>
                <w:sz w:val="24"/>
              </w:rPr>
            </w:pPr>
            <w:r w:rsidRPr="001E69B0">
              <w:rPr>
                <w:rFonts w:ascii="宋体" w:hAnsi="宋体" w:hint="eastAsia"/>
                <w:sz w:val="24"/>
              </w:rPr>
              <w:t>公司</w:t>
            </w:r>
            <w:r>
              <w:rPr>
                <w:rFonts w:ascii="宋体" w:hAnsi="宋体" w:hint="eastAsia"/>
                <w:sz w:val="24"/>
              </w:rPr>
              <w:t>2025</w:t>
            </w:r>
            <w:r w:rsidR="00C72FE3">
              <w:rPr>
                <w:rFonts w:ascii="宋体" w:hAnsi="宋体" w:hint="eastAsia"/>
                <w:sz w:val="24"/>
              </w:rPr>
              <w:t>年</w:t>
            </w:r>
            <w:r w:rsidRPr="001E69B0">
              <w:rPr>
                <w:rFonts w:ascii="宋体" w:hAnsi="宋体" w:hint="eastAsia"/>
                <w:sz w:val="24"/>
              </w:rPr>
              <w:t>半年度利润同比下降的原因主要系</w:t>
            </w:r>
            <w:r>
              <w:rPr>
                <w:rFonts w:ascii="宋体" w:hAnsi="宋体" w:hint="eastAsia"/>
                <w:sz w:val="24"/>
              </w:rPr>
              <w:t>：</w:t>
            </w:r>
          </w:p>
          <w:p w14:paraId="70BB24AB" w14:textId="2CE076E3" w:rsidR="00BA07FC" w:rsidRDefault="001E69B0" w:rsidP="00AD15ED">
            <w:pPr>
              <w:spacing w:line="360" w:lineRule="auto"/>
              <w:ind w:firstLineChars="200" w:firstLine="480"/>
              <w:rPr>
                <w:rFonts w:ascii="宋体" w:hAnsi="宋体" w:hint="eastAsia"/>
                <w:sz w:val="24"/>
              </w:rPr>
            </w:pPr>
            <w:r>
              <w:rPr>
                <w:rFonts w:ascii="宋体" w:hAnsi="宋体" w:hint="eastAsia"/>
                <w:sz w:val="24"/>
              </w:rPr>
              <w:t>（1）</w:t>
            </w:r>
            <w:r w:rsidRPr="001E69B0">
              <w:rPr>
                <w:rFonts w:ascii="宋体" w:hAnsi="宋体" w:hint="eastAsia"/>
                <w:sz w:val="24"/>
              </w:rPr>
              <w:t>公司一期项目“100万吨玉米精深加工健康食品配料项目”的第一阶段基本建设完成，</w:t>
            </w:r>
            <w:r>
              <w:rPr>
                <w:rFonts w:ascii="宋体" w:hAnsi="宋体" w:hint="eastAsia"/>
                <w:sz w:val="24"/>
              </w:rPr>
              <w:t>以毛利率较低的</w:t>
            </w:r>
            <w:r w:rsidR="00BB35BE" w:rsidRPr="00BB35BE">
              <w:rPr>
                <w:rFonts w:ascii="宋体" w:hAnsi="宋体" w:hint="eastAsia"/>
                <w:sz w:val="24"/>
              </w:rPr>
              <w:t>液体糖浆类及部分晶体糖醇产品</w:t>
            </w:r>
            <w:r w:rsidRPr="001E69B0">
              <w:rPr>
                <w:rFonts w:ascii="宋体" w:hAnsi="宋体" w:hint="eastAsia"/>
                <w:sz w:val="24"/>
              </w:rPr>
              <w:t>为主</w:t>
            </w:r>
            <w:r>
              <w:rPr>
                <w:rFonts w:ascii="宋体" w:hAnsi="宋体" w:hint="eastAsia"/>
                <w:sz w:val="24"/>
              </w:rPr>
              <w:t>，且</w:t>
            </w:r>
            <w:r w:rsidRPr="001E69B0">
              <w:rPr>
                <w:rFonts w:ascii="宋体" w:hAnsi="宋体" w:hint="eastAsia"/>
                <w:sz w:val="24"/>
              </w:rPr>
              <w:t>目前项目尚处于产能逐步爬坡、生产效率逐步提升阶段，单位成本相对较高</w:t>
            </w:r>
            <w:r w:rsidR="002C2DCA">
              <w:rPr>
                <w:rFonts w:ascii="宋体" w:hAnsi="宋体" w:hint="eastAsia"/>
                <w:sz w:val="24"/>
              </w:rPr>
              <w:t>，因此毛利率较去年同期</w:t>
            </w:r>
            <w:r w:rsidR="002C2DCA" w:rsidRPr="002C2DCA">
              <w:rPr>
                <w:rFonts w:ascii="宋体" w:hAnsi="宋体" w:hint="eastAsia"/>
                <w:sz w:val="24"/>
              </w:rPr>
              <w:t>有所下降</w:t>
            </w:r>
            <w:r w:rsidR="002C2DCA">
              <w:rPr>
                <w:rFonts w:ascii="宋体" w:hAnsi="宋体" w:hint="eastAsia"/>
                <w:sz w:val="24"/>
              </w:rPr>
              <w:t>。</w:t>
            </w:r>
          </w:p>
          <w:p w14:paraId="44DDDB84" w14:textId="57C562B6" w:rsidR="001E69B0" w:rsidRDefault="00D14DD4" w:rsidP="00AD15ED">
            <w:pPr>
              <w:spacing w:line="360" w:lineRule="auto"/>
              <w:ind w:firstLineChars="200" w:firstLine="480"/>
              <w:rPr>
                <w:rFonts w:ascii="宋体" w:hAnsi="宋体" w:hint="eastAsia"/>
                <w:sz w:val="24"/>
              </w:rPr>
            </w:pPr>
            <w:r>
              <w:rPr>
                <w:rFonts w:ascii="宋体" w:hAnsi="宋体" w:hint="eastAsia"/>
                <w:sz w:val="24"/>
              </w:rPr>
              <w:t>（2）</w:t>
            </w:r>
            <w:r w:rsidR="00421F93">
              <w:rPr>
                <w:rFonts w:ascii="宋体" w:hAnsi="宋体" w:hint="eastAsia"/>
                <w:sz w:val="24"/>
              </w:rPr>
              <w:t>2025年</w:t>
            </w:r>
            <w:r w:rsidR="00410D77">
              <w:rPr>
                <w:rFonts w:ascii="宋体" w:hAnsi="宋体" w:hint="eastAsia"/>
                <w:sz w:val="24"/>
              </w:rPr>
              <w:t>上半年，</w:t>
            </w:r>
            <w:r w:rsidR="001E69B0">
              <w:rPr>
                <w:rFonts w:ascii="宋体" w:hAnsi="宋体" w:hint="eastAsia"/>
                <w:sz w:val="24"/>
              </w:rPr>
              <w:t>舟山华康</w:t>
            </w:r>
            <w:r w:rsidR="00D81A60">
              <w:rPr>
                <w:rFonts w:ascii="宋体" w:hAnsi="宋体" w:hint="eastAsia"/>
                <w:sz w:val="24"/>
              </w:rPr>
              <w:t>部分</w:t>
            </w:r>
            <w:r w:rsidR="00C72FE3">
              <w:rPr>
                <w:rFonts w:ascii="宋体" w:hAnsi="宋体" w:hint="eastAsia"/>
                <w:sz w:val="24"/>
              </w:rPr>
              <w:t>在建</w:t>
            </w:r>
            <w:r w:rsidR="001E69B0">
              <w:rPr>
                <w:rFonts w:ascii="宋体" w:hAnsi="宋体" w:hint="eastAsia"/>
                <w:sz w:val="24"/>
              </w:rPr>
              <w:t>工程</w:t>
            </w:r>
            <w:r w:rsidR="00421F93">
              <w:rPr>
                <w:rFonts w:ascii="宋体" w:hAnsi="宋体" w:hint="eastAsia"/>
                <w:sz w:val="24"/>
              </w:rPr>
              <w:t>逐步</w:t>
            </w:r>
            <w:r w:rsidR="001E69B0">
              <w:rPr>
                <w:rFonts w:ascii="宋体" w:hAnsi="宋体" w:hint="eastAsia"/>
                <w:sz w:val="24"/>
              </w:rPr>
              <w:t>转固，</w:t>
            </w:r>
            <w:r w:rsidR="00410D77" w:rsidRPr="00410D77">
              <w:rPr>
                <w:rFonts w:ascii="宋体" w:hAnsi="宋体" w:hint="eastAsia"/>
                <w:sz w:val="24"/>
              </w:rPr>
              <w:t>公司对</w:t>
            </w:r>
            <w:r w:rsidR="00410D77">
              <w:rPr>
                <w:rFonts w:ascii="宋体" w:hAnsi="宋体" w:hint="eastAsia"/>
                <w:sz w:val="24"/>
              </w:rPr>
              <w:t>该部分</w:t>
            </w:r>
            <w:r w:rsidR="00410D77" w:rsidRPr="00410D77">
              <w:rPr>
                <w:rFonts w:ascii="宋体" w:hAnsi="宋体" w:hint="eastAsia"/>
                <w:sz w:val="24"/>
              </w:rPr>
              <w:t>固定资产计提</w:t>
            </w:r>
            <w:r w:rsidR="00410D77">
              <w:rPr>
                <w:rFonts w:ascii="宋体" w:hAnsi="宋体" w:hint="eastAsia"/>
                <w:sz w:val="24"/>
              </w:rPr>
              <w:t>了</w:t>
            </w:r>
            <w:r w:rsidR="00410D77" w:rsidRPr="00410D77">
              <w:rPr>
                <w:rFonts w:ascii="宋体" w:hAnsi="宋体" w:hint="eastAsia"/>
                <w:sz w:val="24"/>
              </w:rPr>
              <w:t>折旧</w:t>
            </w:r>
            <w:r w:rsidR="00D81A60">
              <w:rPr>
                <w:rFonts w:ascii="宋体" w:hAnsi="宋体" w:hint="eastAsia"/>
                <w:sz w:val="24"/>
              </w:rPr>
              <w:t>，</w:t>
            </w:r>
            <w:r w:rsidR="00410D77">
              <w:rPr>
                <w:rFonts w:ascii="宋体" w:hAnsi="宋体" w:hint="eastAsia"/>
                <w:sz w:val="24"/>
              </w:rPr>
              <w:t>且</w:t>
            </w:r>
            <w:r w:rsidR="00421F93">
              <w:rPr>
                <w:rFonts w:ascii="宋体" w:hAnsi="宋体" w:hint="eastAsia"/>
                <w:sz w:val="24"/>
              </w:rPr>
              <w:t>对应</w:t>
            </w:r>
            <w:r w:rsidR="00410D77">
              <w:rPr>
                <w:rFonts w:ascii="宋体" w:hAnsi="宋体" w:hint="eastAsia"/>
                <w:sz w:val="24"/>
              </w:rPr>
              <w:t>的</w:t>
            </w:r>
            <w:r w:rsidR="001E69B0" w:rsidRPr="001E69B0">
              <w:rPr>
                <w:rFonts w:ascii="宋体" w:hAnsi="宋体" w:hint="eastAsia"/>
                <w:sz w:val="24"/>
              </w:rPr>
              <w:t>可转债利息支出</w:t>
            </w:r>
            <w:r w:rsidR="00C72FE3">
              <w:rPr>
                <w:rFonts w:ascii="宋体" w:hAnsi="宋体" w:hint="eastAsia"/>
                <w:sz w:val="24"/>
              </w:rPr>
              <w:t>进入</w:t>
            </w:r>
            <w:r w:rsidR="00410D77">
              <w:rPr>
                <w:rFonts w:ascii="宋体" w:hAnsi="宋体" w:hint="eastAsia"/>
                <w:sz w:val="24"/>
              </w:rPr>
              <w:t>了</w:t>
            </w:r>
            <w:r w:rsidR="00421F93">
              <w:rPr>
                <w:rFonts w:ascii="宋体" w:hAnsi="宋体" w:hint="eastAsia"/>
                <w:sz w:val="24"/>
              </w:rPr>
              <w:t>当期损益</w:t>
            </w:r>
            <w:r w:rsidR="001E69B0">
              <w:rPr>
                <w:rFonts w:ascii="宋体" w:hAnsi="宋体" w:hint="eastAsia"/>
                <w:sz w:val="24"/>
              </w:rPr>
              <w:t>，导致公司财务费用</w:t>
            </w:r>
            <w:r w:rsidR="00C72FE3">
              <w:rPr>
                <w:rFonts w:ascii="宋体" w:hAnsi="宋体" w:hint="eastAsia"/>
                <w:sz w:val="24"/>
              </w:rPr>
              <w:t>增加。</w:t>
            </w:r>
          </w:p>
          <w:p w14:paraId="0E7A9F7C" w14:textId="7531B57A" w:rsidR="00BA07FC" w:rsidRDefault="00B90974"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3</w:t>
            </w:r>
            <w:r w:rsidR="00BA07FC">
              <w:rPr>
                <w:rFonts w:ascii="宋体" w:hAnsi="宋体" w:hint="eastAsia"/>
                <w:b/>
                <w:bCs/>
                <w:color w:val="333333"/>
                <w:shd w:val="clear" w:color="auto" w:fill="FFFFFF"/>
              </w:rPr>
              <w:t>、请介绍一下</w:t>
            </w:r>
            <w:r w:rsidR="000D0633" w:rsidRPr="000D0633">
              <w:rPr>
                <w:rFonts w:ascii="宋体" w:hAnsi="宋体" w:hint="eastAsia"/>
                <w:b/>
                <w:bCs/>
                <w:color w:val="333333"/>
                <w:shd w:val="clear" w:color="auto" w:fill="FFFFFF"/>
              </w:rPr>
              <w:t>木糖醇行业市场状况</w:t>
            </w:r>
            <w:r w:rsidR="00C72FE3">
              <w:rPr>
                <w:rFonts w:ascii="宋体" w:hAnsi="宋体" w:hint="eastAsia"/>
                <w:b/>
                <w:bCs/>
                <w:color w:val="333333"/>
                <w:shd w:val="clear" w:color="auto" w:fill="FFFFFF"/>
              </w:rPr>
              <w:t>和竞争格局</w:t>
            </w:r>
            <w:r w:rsidR="00BA07FC" w:rsidRPr="00F561C2">
              <w:rPr>
                <w:rFonts w:ascii="宋体" w:hAnsi="宋体" w:hint="eastAsia"/>
                <w:b/>
                <w:bCs/>
                <w:color w:val="333333"/>
                <w:shd w:val="clear" w:color="auto" w:fill="FFFFFF"/>
              </w:rPr>
              <w:t>？</w:t>
            </w:r>
          </w:p>
          <w:p w14:paraId="11451498" w14:textId="0B7CBF93" w:rsidR="00BA07FC" w:rsidRDefault="000D0633" w:rsidP="00AD15ED">
            <w:pPr>
              <w:spacing w:line="360" w:lineRule="auto"/>
              <w:ind w:firstLineChars="200" w:firstLine="480"/>
              <w:rPr>
                <w:rFonts w:ascii="宋体" w:hAnsi="宋体" w:hint="eastAsia"/>
                <w:sz w:val="24"/>
              </w:rPr>
            </w:pPr>
            <w:r w:rsidRPr="000D0633">
              <w:rPr>
                <w:rFonts w:ascii="宋体" w:hAnsi="宋体" w:hint="eastAsia"/>
                <w:sz w:val="24"/>
              </w:rPr>
              <w:t>随着社会整体消费观念的改变和生活水平的提高，人们的饮食消费逐渐由温饱型向营养型、保健型转变。在这种背景下，功能性糖醇作为低热量、不致龋齿、对人体健康有益的甜味剂，越来越受到人们的喜爱，被广泛用于食品、饮料、日化等领域，直接推动了功能性糖醇产业的持续发展。根据The Business Research Company最新预测，2024年全球木糖醇市场规模约为11.2亿美元，预计到2029年全球木糖醇市场规模将达到16.4亿美元，2024年到2029年的年复合增长率为7.9%</w:t>
            </w:r>
            <w:r w:rsidR="00BA07FC">
              <w:rPr>
                <w:rFonts w:ascii="宋体" w:hAnsi="宋体" w:hint="eastAsia"/>
                <w:sz w:val="24"/>
              </w:rPr>
              <w:t>。</w:t>
            </w:r>
          </w:p>
          <w:p w14:paraId="5791DC92" w14:textId="3C35525F" w:rsidR="00C72FE3" w:rsidRDefault="00C72FE3" w:rsidP="00761AAC">
            <w:pPr>
              <w:spacing w:line="360" w:lineRule="auto"/>
              <w:ind w:firstLineChars="200" w:firstLine="480"/>
              <w:rPr>
                <w:rFonts w:ascii="宋体" w:hAnsi="宋体" w:hint="eastAsia"/>
                <w:sz w:val="24"/>
              </w:rPr>
            </w:pPr>
            <w:r w:rsidRPr="00C72FE3">
              <w:rPr>
                <w:rFonts w:ascii="宋体" w:hAnsi="宋体" w:hint="eastAsia"/>
                <w:sz w:val="24"/>
              </w:rPr>
              <w:t>2010年以后木糖醇行业竞争格局趋向稳定，市场供给主要由</w:t>
            </w:r>
            <w:r w:rsidR="00761AAC" w:rsidRPr="00C72FE3">
              <w:rPr>
                <w:rFonts w:ascii="宋体" w:hAnsi="宋体" w:hint="eastAsia"/>
                <w:sz w:val="24"/>
              </w:rPr>
              <w:t>公司、</w:t>
            </w:r>
            <w:r w:rsidRPr="00C72FE3">
              <w:rPr>
                <w:rFonts w:ascii="宋体" w:hAnsi="宋体"/>
                <w:sz w:val="24"/>
              </w:rPr>
              <w:t>丹尼斯克</w:t>
            </w:r>
            <w:r>
              <w:rPr>
                <w:rFonts w:ascii="宋体" w:hAnsi="宋体" w:hint="eastAsia"/>
                <w:sz w:val="24"/>
              </w:rPr>
              <w:t>、豫鑫糖醇</w:t>
            </w:r>
            <w:r w:rsidRPr="00C72FE3">
              <w:rPr>
                <w:rFonts w:ascii="宋体" w:hAnsi="宋体" w:hint="eastAsia"/>
                <w:sz w:val="24"/>
              </w:rPr>
              <w:t>、龙力生物、福田药业、山东绿健等企业占据，没有新的进入者打破格局。</w:t>
            </w:r>
            <w:r w:rsidR="00761AAC" w:rsidRPr="00761AAC">
              <w:rPr>
                <w:rFonts w:ascii="宋体" w:hAnsi="宋体" w:hint="eastAsia"/>
                <w:sz w:val="24"/>
              </w:rPr>
              <w:t>其中龙力生物从A股退市、营收大幅下降，目前</w:t>
            </w:r>
            <w:r w:rsidR="00761AAC">
              <w:rPr>
                <w:rFonts w:ascii="宋体" w:hAnsi="宋体" w:hint="eastAsia"/>
                <w:sz w:val="24"/>
              </w:rPr>
              <w:t>公司</w:t>
            </w:r>
            <w:r w:rsidR="00761AAC" w:rsidRPr="00761AAC">
              <w:rPr>
                <w:rFonts w:ascii="宋体" w:hAnsi="宋体" w:hint="eastAsia"/>
                <w:sz w:val="24"/>
              </w:rPr>
              <w:t>与</w:t>
            </w:r>
            <w:r w:rsidR="00761AAC">
              <w:rPr>
                <w:rFonts w:ascii="宋体" w:hAnsi="宋体" w:hint="eastAsia"/>
                <w:sz w:val="24"/>
              </w:rPr>
              <w:t>豫鑫糖醇</w:t>
            </w:r>
            <w:r w:rsidR="00761AAC" w:rsidRPr="00761AAC">
              <w:rPr>
                <w:rFonts w:ascii="宋体" w:hAnsi="宋体" w:hint="eastAsia"/>
                <w:sz w:val="24"/>
              </w:rPr>
              <w:t>已成为我国木糖醇领域生产能力与工艺水平均处于领先地位、市场竞争力较强的两家主要生产企业。</w:t>
            </w:r>
          </w:p>
          <w:p w14:paraId="3EF5C1FE" w14:textId="569247A7" w:rsidR="003C5331" w:rsidRDefault="003C5331" w:rsidP="00AD15ED">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4、请介绍一下</w:t>
            </w:r>
            <w:r w:rsidR="00761AAC" w:rsidRPr="00761AAC">
              <w:rPr>
                <w:rFonts w:ascii="宋体" w:hAnsi="宋体" w:hint="eastAsia"/>
                <w:b/>
                <w:bCs/>
                <w:color w:val="333333"/>
                <w:sz w:val="24"/>
                <w:shd w:val="clear" w:color="auto" w:fill="FFFFFF"/>
              </w:rPr>
              <w:t>木糖醇下游应用</w:t>
            </w:r>
            <w:r w:rsidR="00761AAC">
              <w:rPr>
                <w:rFonts w:ascii="宋体" w:hAnsi="宋体" w:hint="eastAsia"/>
                <w:b/>
                <w:bCs/>
                <w:color w:val="333333"/>
                <w:sz w:val="24"/>
                <w:shd w:val="clear" w:color="auto" w:fill="FFFFFF"/>
              </w:rPr>
              <w:t>情况</w:t>
            </w:r>
            <w:r>
              <w:rPr>
                <w:rFonts w:ascii="宋体" w:hAnsi="宋体" w:hint="eastAsia"/>
                <w:b/>
                <w:bCs/>
                <w:color w:val="333333"/>
                <w:sz w:val="24"/>
                <w:shd w:val="clear" w:color="auto" w:fill="FFFFFF"/>
              </w:rPr>
              <w:t>？</w:t>
            </w:r>
          </w:p>
          <w:p w14:paraId="25E78C15" w14:textId="322AEE9C" w:rsidR="003C5331" w:rsidRDefault="004322E9" w:rsidP="00AD15ED">
            <w:pPr>
              <w:spacing w:line="360" w:lineRule="auto"/>
              <w:ind w:firstLineChars="200" w:firstLine="480"/>
              <w:rPr>
                <w:rFonts w:ascii="宋体" w:hAnsi="宋体" w:hint="eastAsia"/>
                <w:sz w:val="24"/>
              </w:rPr>
            </w:pPr>
            <w:r w:rsidRPr="004322E9">
              <w:rPr>
                <w:rFonts w:hint="eastAsia"/>
                <w:sz w:val="24"/>
              </w:rPr>
              <w:t>木糖醇是功能性糖醇中最主要的一个品种，是一种低热值型的甜味剂，热量为</w:t>
            </w:r>
            <w:r w:rsidRPr="004322E9">
              <w:rPr>
                <w:rFonts w:hint="eastAsia"/>
                <w:sz w:val="24"/>
              </w:rPr>
              <w:t>10kJ/g</w:t>
            </w:r>
            <w:r w:rsidRPr="004322E9">
              <w:rPr>
                <w:rFonts w:hint="eastAsia"/>
                <w:sz w:val="24"/>
              </w:rPr>
              <w:t>，仅为蔗糖的</w:t>
            </w:r>
            <w:r w:rsidRPr="004322E9">
              <w:rPr>
                <w:rFonts w:hint="eastAsia"/>
                <w:sz w:val="24"/>
              </w:rPr>
              <w:t>60%</w:t>
            </w:r>
            <w:r w:rsidRPr="004322E9">
              <w:rPr>
                <w:rFonts w:hint="eastAsia"/>
                <w:sz w:val="24"/>
              </w:rPr>
              <w:t>。外观为白色结晶颗粒或结晶性</w:t>
            </w:r>
            <w:r w:rsidRPr="004322E9">
              <w:rPr>
                <w:rFonts w:hint="eastAsia"/>
                <w:sz w:val="24"/>
              </w:rPr>
              <w:lastRenderedPageBreak/>
              <w:t>粉末，甜度相当于蔗糖，极易溶于水，</w:t>
            </w:r>
            <w:r w:rsidRPr="004322E9">
              <w:rPr>
                <w:rFonts w:hint="eastAsia"/>
                <w:sz w:val="24"/>
              </w:rPr>
              <w:t>GI</w:t>
            </w:r>
            <w:r w:rsidRPr="004322E9">
              <w:rPr>
                <w:rFonts w:hint="eastAsia"/>
                <w:sz w:val="24"/>
              </w:rPr>
              <w:t>值为</w:t>
            </w:r>
            <w:r w:rsidRPr="004322E9">
              <w:rPr>
                <w:rFonts w:hint="eastAsia"/>
                <w:sz w:val="24"/>
              </w:rPr>
              <w:t>13</w:t>
            </w:r>
            <w:r w:rsidRPr="004322E9">
              <w:rPr>
                <w:rFonts w:hint="eastAsia"/>
                <w:sz w:val="24"/>
              </w:rPr>
              <w:t>。</w:t>
            </w:r>
            <w:r>
              <w:rPr>
                <w:rFonts w:hint="eastAsia"/>
                <w:sz w:val="24"/>
              </w:rPr>
              <w:t>木糖醇</w:t>
            </w:r>
            <w:r w:rsidRPr="004322E9">
              <w:rPr>
                <w:rFonts w:hint="eastAsia"/>
                <w:sz w:val="24"/>
              </w:rPr>
              <w:t>具有防龋齿、有助于体重管理、调节肠道微生物促进肠道短链脂肪酸生成等功能，从下游应用领域来看，无糖食品、无糖或低糖糖果、口香糖等应用较多</w:t>
            </w:r>
            <w:r w:rsidR="003C5331">
              <w:rPr>
                <w:rFonts w:ascii="宋体" w:hAnsi="宋体" w:hint="eastAsia"/>
                <w:sz w:val="24"/>
              </w:rPr>
              <w:t>。</w:t>
            </w:r>
          </w:p>
          <w:p w14:paraId="62C49F10" w14:textId="4A68D574" w:rsidR="003C5331" w:rsidRDefault="003C5331" w:rsidP="00AD15ED">
            <w:pPr>
              <w:spacing w:line="360" w:lineRule="auto"/>
              <w:ind w:firstLineChars="200" w:firstLine="482"/>
              <w:rPr>
                <w:rFonts w:ascii="宋体" w:hAnsi="宋体" w:hint="eastAsia"/>
                <w:b/>
                <w:bCs/>
                <w:color w:val="333333"/>
                <w:sz w:val="24"/>
                <w:shd w:val="clear" w:color="auto" w:fill="FFFFFF"/>
              </w:rPr>
            </w:pPr>
            <w:r w:rsidRPr="003C5331">
              <w:rPr>
                <w:rFonts w:ascii="宋体" w:hAnsi="宋体" w:hint="eastAsia"/>
                <w:b/>
                <w:bCs/>
                <w:color w:val="333333"/>
                <w:sz w:val="24"/>
                <w:shd w:val="clear" w:color="auto" w:fill="FFFFFF"/>
              </w:rPr>
              <w:t>5、</w:t>
            </w:r>
            <w:r w:rsidR="00142CF5">
              <w:rPr>
                <w:rFonts w:ascii="宋体" w:hAnsi="宋体" w:hint="eastAsia"/>
                <w:b/>
                <w:bCs/>
                <w:color w:val="333333"/>
                <w:sz w:val="24"/>
                <w:shd w:val="clear" w:color="auto" w:fill="FFFFFF"/>
              </w:rPr>
              <w:t>请介绍一下公司收购豫鑫的目的和进程</w:t>
            </w:r>
            <w:r w:rsidR="00D81A60">
              <w:rPr>
                <w:rFonts w:ascii="宋体" w:hAnsi="宋体" w:hint="eastAsia"/>
                <w:b/>
                <w:bCs/>
                <w:color w:val="333333"/>
                <w:sz w:val="24"/>
                <w:shd w:val="clear" w:color="auto" w:fill="FFFFFF"/>
              </w:rPr>
              <w:t>？</w:t>
            </w:r>
          </w:p>
          <w:p w14:paraId="0AF1EFF4" w14:textId="01FD5CFF" w:rsidR="003C5331" w:rsidRDefault="00142CF5" w:rsidP="00AD15ED">
            <w:pPr>
              <w:spacing w:line="360" w:lineRule="auto"/>
              <w:ind w:firstLineChars="200" w:firstLine="480"/>
              <w:rPr>
                <w:sz w:val="24"/>
              </w:rPr>
            </w:pPr>
            <w:r w:rsidRPr="00142CF5">
              <w:rPr>
                <w:rFonts w:hint="eastAsia"/>
                <w:sz w:val="24"/>
              </w:rPr>
              <w:t>豫鑫糖醇的木糖醇客户与公司的重合度不高，公司与豫鑫糖醇为行业内木糖醇生产能力与工艺水平均处于领先地位、市场竞争力较强的两家企业，本次交易有利于提升和巩固上市公司在国内外木糖醇市场中的竞争地位，成为全球木糖醇领域龙头企业；通过更为集约、高效的经营管理，双方能够整合在原料供应、生产与质量管理、产品线、技术与工艺、销售渠道等方面各自的优势资源，发挥业务协同效应；并可进一步巩固上市公司从原材料到产成品的产业链稳定性，提升客户综合服务水平，维护行业健康发展，最终实现上市公司盈利能力和抗风险能力的提升。</w:t>
            </w:r>
          </w:p>
          <w:p w14:paraId="4DF53F47" w14:textId="60CDD1D5" w:rsidR="00142CF5" w:rsidRDefault="00142CF5" w:rsidP="00142CF5">
            <w:pPr>
              <w:spacing w:line="360" w:lineRule="auto"/>
              <w:ind w:firstLineChars="200" w:firstLine="480"/>
              <w:rPr>
                <w:sz w:val="24"/>
              </w:rPr>
            </w:pPr>
            <w:r w:rsidRPr="00142CF5">
              <w:rPr>
                <w:rFonts w:hint="eastAsia"/>
                <w:sz w:val="24"/>
              </w:rPr>
              <w:t>2025</w:t>
            </w:r>
            <w:r w:rsidRPr="00142CF5">
              <w:rPr>
                <w:rFonts w:hint="eastAsia"/>
                <w:sz w:val="24"/>
              </w:rPr>
              <w:t>年</w:t>
            </w:r>
            <w:r w:rsidRPr="00142CF5">
              <w:rPr>
                <w:rFonts w:hint="eastAsia"/>
                <w:sz w:val="24"/>
              </w:rPr>
              <w:t>5</w:t>
            </w:r>
            <w:r w:rsidRPr="00142CF5">
              <w:rPr>
                <w:rFonts w:hint="eastAsia"/>
                <w:sz w:val="24"/>
              </w:rPr>
              <w:t>月</w:t>
            </w:r>
            <w:r w:rsidRPr="00142CF5">
              <w:rPr>
                <w:rFonts w:hint="eastAsia"/>
                <w:sz w:val="24"/>
              </w:rPr>
              <w:t>14</w:t>
            </w:r>
            <w:r w:rsidRPr="00142CF5">
              <w:rPr>
                <w:rFonts w:hint="eastAsia"/>
                <w:sz w:val="24"/>
              </w:rPr>
              <w:t>日，公司收到上海证券交易所（以下简称“上交所”）出具的《关于浙江华康药业股份有限公司发行股份及支付现金购买资产暨关联交易申请的审核问询函》。</w:t>
            </w:r>
            <w:r w:rsidRPr="00142CF5">
              <w:rPr>
                <w:rFonts w:hint="eastAsia"/>
                <w:sz w:val="24"/>
              </w:rPr>
              <w:t>2025</w:t>
            </w:r>
            <w:r w:rsidRPr="00142CF5">
              <w:rPr>
                <w:rFonts w:hint="eastAsia"/>
                <w:sz w:val="24"/>
              </w:rPr>
              <w:t>年</w:t>
            </w:r>
            <w:r w:rsidRPr="00142CF5">
              <w:rPr>
                <w:rFonts w:hint="eastAsia"/>
                <w:sz w:val="24"/>
              </w:rPr>
              <w:t>7</w:t>
            </w:r>
            <w:r w:rsidRPr="00142CF5">
              <w:rPr>
                <w:rFonts w:hint="eastAsia"/>
                <w:sz w:val="24"/>
              </w:rPr>
              <w:t>月</w:t>
            </w:r>
            <w:r w:rsidRPr="00142CF5">
              <w:rPr>
                <w:rFonts w:hint="eastAsia"/>
                <w:sz w:val="24"/>
              </w:rPr>
              <w:t>4</w:t>
            </w:r>
            <w:r w:rsidRPr="00142CF5">
              <w:rPr>
                <w:rFonts w:hint="eastAsia"/>
                <w:sz w:val="24"/>
              </w:rPr>
              <w:t>日披露了《关于浙江华康药业股份有限公司发行股份及支付现金购买资产暨关联交易申请的审核问询函之回复报告》，本次交易尚需上交所审核通过以及中国证券监督管理委员会同意注册后方可实施。</w:t>
            </w:r>
          </w:p>
          <w:p w14:paraId="0BD6C778" w14:textId="42BA537B" w:rsidR="009C67E7" w:rsidRDefault="009C67E7"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sidRPr="001C63BB">
              <w:rPr>
                <w:rFonts w:ascii="宋体" w:hAnsi="宋体" w:hint="eastAsia"/>
                <w:b/>
                <w:bCs/>
                <w:color w:val="333333"/>
                <w:shd w:val="clear" w:color="auto" w:fill="FFFFFF"/>
              </w:rPr>
              <w:t>6、请介绍一下</w:t>
            </w:r>
            <w:r w:rsidR="00142CF5" w:rsidRPr="00142CF5">
              <w:rPr>
                <w:rFonts w:ascii="宋体" w:hAnsi="宋体" w:hint="eastAsia"/>
                <w:b/>
                <w:bCs/>
                <w:color w:val="333333"/>
                <w:shd w:val="clear" w:color="auto" w:fill="FFFFFF"/>
              </w:rPr>
              <w:t>豫鑫</w:t>
            </w:r>
            <w:r w:rsidR="00142CF5">
              <w:rPr>
                <w:rFonts w:ascii="宋体" w:hAnsi="宋体" w:hint="eastAsia"/>
                <w:b/>
                <w:bCs/>
                <w:color w:val="333333"/>
                <w:shd w:val="clear" w:color="auto" w:fill="FFFFFF"/>
              </w:rPr>
              <w:t>糖醇木糖醇</w:t>
            </w:r>
            <w:r w:rsidR="001D2B16">
              <w:rPr>
                <w:rFonts w:ascii="宋体" w:hAnsi="宋体" w:hint="eastAsia"/>
                <w:b/>
                <w:bCs/>
                <w:color w:val="333333"/>
                <w:shd w:val="clear" w:color="auto" w:fill="FFFFFF"/>
              </w:rPr>
              <w:t>产品</w:t>
            </w:r>
            <w:r w:rsidR="00142CF5">
              <w:rPr>
                <w:rFonts w:ascii="宋体" w:hAnsi="宋体" w:hint="eastAsia"/>
                <w:b/>
                <w:bCs/>
                <w:color w:val="333333"/>
                <w:shd w:val="clear" w:color="auto" w:fill="FFFFFF"/>
              </w:rPr>
              <w:t>的产</w:t>
            </w:r>
            <w:r w:rsidR="00142CF5" w:rsidRPr="00142CF5">
              <w:rPr>
                <w:rFonts w:ascii="宋体" w:hAnsi="宋体" w:hint="eastAsia"/>
                <w:b/>
                <w:bCs/>
                <w:color w:val="333333"/>
                <w:shd w:val="clear" w:color="auto" w:fill="FFFFFF"/>
              </w:rPr>
              <w:t>能规模</w:t>
            </w:r>
            <w:r w:rsidR="00142CF5">
              <w:rPr>
                <w:rFonts w:ascii="宋体" w:hAnsi="宋体" w:hint="eastAsia"/>
                <w:b/>
                <w:bCs/>
                <w:color w:val="333333"/>
                <w:shd w:val="clear" w:color="auto" w:fill="FFFFFF"/>
              </w:rPr>
              <w:t>以及2025年整体的收入情况</w:t>
            </w:r>
            <w:r w:rsidR="001C63BB">
              <w:rPr>
                <w:rFonts w:ascii="宋体" w:hAnsi="宋体" w:hint="eastAsia"/>
                <w:b/>
                <w:bCs/>
                <w:color w:val="333333"/>
                <w:shd w:val="clear" w:color="auto" w:fill="FFFFFF"/>
              </w:rPr>
              <w:t>？</w:t>
            </w:r>
          </w:p>
          <w:p w14:paraId="2409E22F" w14:textId="31153D1D" w:rsidR="001C63BB" w:rsidRDefault="00142CF5" w:rsidP="00142CF5">
            <w:pPr>
              <w:spacing w:line="360" w:lineRule="auto"/>
              <w:ind w:firstLineChars="200" w:firstLine="480"/>
              <w:rPr>
                <w:rFonts w:ascii="宋体" w:hAnsi="宋体" w:hint="eastAsia"/>
                <w:sz w:val="24"/>
              </w:rPr>
            </w:pPr>
            <w:r w:rsidRPr="00142CF5">
              <w:rPr>
                <w:rFonts w:ascii="宋体" w:hAnsi="宋体" w:hint="eastAsia"/>
                <w:sz w:val="24"/>
              </w:rPr>
              <w:t>豫鑫糖醇拥有年产2万吨木糖醇及年产2万吨赤藓糖醇生产线</w:t>
            </w:r>
            <w:r w:rsidR="00D81A60">
              <w:rPr>
                <w:rFonts w:ascii="宋体" w:hAnsi="宋体" w:hint="eastAsia"/>
                <w:sz w:val="24"/>
              </w:rPr>
              <w:t>，</w:t>
            </w:r>
            <w:r w:rsidRPr="00142CF5">
              <w:rPr>
                <w:rFonts w:ascii="宋体" w:hAnsi="宋体" w:hint="eastAsia"/>
                <w:sz w:val="24"/>
              </w:rPr>
              <w:t>根据主管部门出具的说明，2万吨赤藓糖醇生产线允许用于选择性生产2.5万吨木糖醇/1.5万吨晶体麦芽糖醇/2,000吨阿拉伯糖/8,000吨木糖，以及1.5万吨液体麦芽糖醇等产品。</w:t>
            </w:r>
          </w:p>
          <w:p w14:paraId="6EFB521A" w14:textId="18E2F049" w:rsidR="001C63BB" w:rsidRPr="001C63BB" w:rsidRDefault="001D2B16" w:rsidP="001D2B16">
            <w:pPr>
              <w:spacing w:line="360" w:lineRule="auto"/>
              <w:ind w:firstLineChars="200" w:firstLine="480"/>
              <w:rPr>
                <w:rFonts w:ascii="宋体" w:hAnsi="宋体" w:hint="eastAsia"/>
                <w:sz w:val="24"/>
              </w:rPr>
            </w:pPr>
            <w:r>
              <w:rPr>
                <w:rFonts w:ascii="宋体" w:hAnsi="宋体" w:hint="eastAsia"/>
                <w:sz w:val="24"/>
              </w:rPr>
              <w:t>根据公司</w:t>
            </w:r>
            <w:r w:rsidRPr="001D2B16">
              <w:rPr>
                <w:rFonts w:ascii="宋体" w:hAnsi="宋体" w:hint="eastAsia"/>
                <w:sz w:val="24"/>
              </w:rPr>
              <w:t>披露</w:t>
            </w:r>
            <w:r>
              <w:rPr>
                <w:rFonts w:ascii="宋体" w:hAnsi="宋体" w:hint="eastAsia"/>
                <w:sz w:val="24"/>
              </w:rPr>
              <w:t>的</w:t>
            </w:r>
            <w:r w:rsidRPr="001D2B16">
              <w:rPr>
                <w:rFonts w:ascii="宋体" w:hAnsi="宋体" w:hint="eastAsia"/>
                <w:sz w:val="24"/>
              </w:rPr>
              <w:t>《关于浙江华康药业股份有限公司发行股份及支付现金购买资产暨关联交易申请的审核问询函之回复报告》</w:t>
            </w:r>
            <w:r>
              <w:rPr>
                <w:rFonts w:ascii="宋体" w:hAnsi="宋体" w:hint="eastAsia"/>
                <w:sz w:val="24"/>
              </w:rPr>
              <w:t>，</w:t>
            </w:r>
            <w:r w:rsidRPr="001D2B16">
              <w:rPr>
                <w:rFonts w:ascii="宋体" w:hAnsi="宋体" w:hint="eastAsia"/>
                <w:sz w:val="24"/>
              </w:rPr>
              <w:t>2025年</w:t>
            </w:r>
            <w:r w:rsidR="00D81A60">
              <w:rPr>
                <w:rFonts w:ascii="宋体" w:hAnsi="宋体" w:hint="eastAsia"/>
                <w:sz w:val="24"/>
              </w:rPr>
              <w:t>1-</w:t>
            </w:r>
            <w:r w:rsidRPr="001D2B16">
              <w:rPr>
                <w:rFonts w:ascii="宋体" w:hAnsi="宋体" w:hint="eastAsia"/>
                <w:sz w:val="24"/>
              </w:rPr>
              <w:t>5月</w:t>
            </w:r>
            <w:r>
              <w:rPr>
                <w:rFonts w:ascii="宋体" w:hAnsi="宋体" w:hint="eastAsia"/>
                <w:sz w:val="24"/>
              </w:rPr>
              <w:t>豫鑫糖醇</w:t>
            </w:r>
            <w:r w:rsidRPr="001D2B16">
              <w:rPr>
                <w:rFonts w:ascii="宋体" w:hAnsi="宋体" w:hint="eastAsia"/>
                <w:sz w:val="24"/>
              </w:rPr>
              <w:t>未经审计的总体收入</w:t>
            </w:r>
            <w:r>
              <w:rPr>
                <w:rFonts w:ascii="宋体" w:hAnsi="宋体" w:hint="eastAsia"/>
                <w:sz w:val="24"/>
              </w:rPr>
              <w:t>为</w:t>
            </w:r>
            <w:r w:rsidRPr="001D2B16">
              <w:rPr>
                <w:rFonts w:ascii="宋体" w:hAnsi="宋体"/>
                <w:sz w:val="24"/>
              </w:rPr>
              <w:t>37,104.35</w:t>
            </w:r>
            <w:r>
              <w:rPr>
                <w:rFonts w:ascii="宋体" w:hAnsi="宋体" w:hint="eastAsia"/>
                <w:sz w:val="24"/>
              </w:rPr>
              <w:t>万元</w:t>
            </w:r>
            <w:r w:rsidR="00DE5333">
              <w:rPr>
                <w:rFonts w:ascii="宋体" w:hAnsi="宋体" w:hint="eastAsia"/>
                <w:sz w:val="24"/>
              </w:rPr>
              <w:t>，</w:t>
            </w:r>
            <w:r w:rsidRPr="001D2B16">
              <w:rPr>
                <w:rFonts w:ascii="宋体" w:hAnsi="宋体" w:hint="eastAsia"/>
                <w:sz w:val="24"/>
              </w:rPr>
              <w:t>净利</w:t>
            </w:r>
            <w:r>
              <w:rPr>
                <w:rFonts w:ascii="宋体" w:hAnsi="宋体" w:hint="eastAsia"/>
                <w:sz w:val="24"/>
              </w:rPr>
              <w:t>为</w:t>
            </w:r>
            <w:r w:rsidRPr="001D2B16">
              <w:rPr>
                <w:rFonts w:ascii="宋体" w:hAnsi="宋体"/>
                <w:sz w:val="24"/>
              </w:rPr>
              <w:t>4,399.78</w:t>
            </w:r>
            <w:r>
              <w:rPr>
                <w:rFonts w:ascii="宋体" w:hAnsi="宋体" w:hint="eastAsia"/>
                <w:sz w:val="24"/>
              </w:rPr>
              <w:t>万元</w:t>
            </w:r>
            <w:r w:rsidR="00AD15ED" w:rsidRPr="005F2892">
              <w:rPr>
                <w:rFonts w:ascii="宋体" w:hAnsi="宋体" w:hint="eastAsia"/>
                <w:spacing w:val="-6"/>
                <w:sz w:val="24"/>
              </w:rPr>
              <w:t>。</w:t>
            </w:r>
          </w:p>
          <w:p w14:paraId="66A87FBD" w14:textId="4FCEA687" w:rsidR="009A52D0" w:rsidRPr="005F2892" w:rsidRDefault="00AD15ED" w:rsidP="00AD15ED">
            <w:pPr>
              <w:pStyle w:val="ac"/>
              <w:widowControl/>
              <w:spacing w:beforeAutospacing="0" w:afterAutospacing="0" w:line="360" w:lineRule="auto"/>
              <w:ind w:firstLineChars="200" w:firstLine="466"/>
              <w:jc w:val="both"/>
              <w:rPr>
                <w:rFonts w:ascii="宋体" w:hAnsi="宋体" w:hint="eastAsia"/>
                <w:b/>
                <w:bCs/>
                <w:color w:val="333333"/>
                <w:spacing w:val="-4"/>
                <w:shd w:val="clear" w:color="auto" w:fill="FFFFFF"/>
              </w:rPr>
            </w:pPr>
            <w:r w:rsidRPr="005F2892">
              <w:rPr>
                <w:rFonts w:ascii="宋体" w:hAnsi="宋体" w:hint="eastAsia"/>
                <w:b/>
                <w:bCs/>
                <w:color w:val="333333"/>
                <w:spacing w:val="-4"/>
                <w:shd w:val="clear" w:color="auto" w:fill="FFFFFF"/>
              </w:rPr>
              <w:lastRenderedPageBreak/>
              <w:t>7</w:t>
            </w:r>
            <w:r w:rsidR="003919D8" w:rsidRPr="005F2892">
              <w:rPr>
                <w:rFonts w:ascii="宋体" w:hAnsi="宋体" w:hint="eastAsia"/>
                <w:b/>
                <w:bCs/>
                <w:color w:val="333333"/>
                <w:spacing w:val="-4"/>
                <w:shd w:val="clear" w:color="auto" w:fill="FFFFFF"/>
              </w:rPr>
              <w:t>、请介绍一下舟山华康</w:t>
            </w:r>
            <w:r w:rsidR="00C70843" w:rsidRPr="005F2892">
              <w:rPr>
                <w:rFonts w:ascii="宋体" w:hAnsi="宋体" w:hint="eastAsia"/>
                <w:b/>
                <w:bCs/>
                <w:color w:val="333333"/>
                <w:spacing w:val="-4"/>
                <w:shd w:val="clear" w:color="auto" w:fill="FFFFFF"/>
              </w:rPr>
              <w:t>的建设进度</w:t>
            </w:r>
            <w:r w:rsidR="00F561C2" w:rsidRPr="005F2892">
              <w:rPr>
                <w:rFonts w:ascii="宋体" w:hAnsi="宋体" w:hint="eastAsia"/>
                <w:b/>
                <w:bCs/>
                <w:color w:val="333333"/>
                <w:spacing w:val="-4"/>
                <w:shd w:val="clear" w:color="auto" w:fill="FFFFFF"/>
              </w:rPr>
              <w:t>，</w:t>
            </w:r>
            <w:r w:rsidR="00DE1754" w:rsidRPr="005F2892">
              <w:rPr>
                <w:rFonts w:ascii="宋体" w:hAnsi="宋体" w:hint="eastAsia"/>
                <w:b/>
                <w:bCs/>
                <w:color w:val="333333"/>
                <w:spacing w:val="-4"/>
                <w:shd w:val="clear" w:color="auto" w:fill="FFFFFF"/>
              </w:rPr>
              <w:t>以及</w:t>
            </w:r>
            <w:r w:rsidR="00065498">
              <w:rPr>
                <w:rFonts w:hint="eastAsia"/>
                <w:b/>
                <w:bCs/>
              </w:rPr>
              <w:t>后续的建设规划</w:t>
            </w:r>
            <w:r w:rsidR="00F561C2" w:rsidRPr="005F2892">
              <w:rPr>
                <w:rFonts w:ascii="宋体" w:hAnsi="宋体" w:hint="eastAsia"/>
                <w:b/>
                <w:bCs/>
                <w:color w:val="333333"/>
                <w:spacing w:val="-4"/>
                <w:shd w:val="clear" w:color="auto" w:fill="FFFFFF"/>
              </w:rPr>
              <w:t>？</w:t>
            </w:r>
          </w:p>
          <w:p w14:paraId="700F326B" w14:textId="70506A45" w:rsidR="003F79F2" w:rsidRDefault="00065498" w:rsidP="00065498">
            <w:pPr>
              <w:spacing w:line="360" w:lineRule="auto"/>
              <w:ind w:firstLineChars="200" w:firstLine="480"/>
              <w:rPr>
                <w:rFonts w:ascii="宋体" w:hAnsi="宋体" w:hint="eastAsia"/>
                <w:sz w:val="24"/>
              </w:rPr>
            </w:pPr>
            <w:r>
              <w:rPr>
                <w:rFonts w:ascii="宋体" w:hAnsi="宋体" w:hint="eastAsia"/>
                <w:sz w:val="24"/>
              </w:rPr>
              <w:t>根据公司披露的《</w:t>
            </w:r>
            <w:r w:rsidRPr="00065498">
              <w:rPr>
                <w:rFonts w:ascii="宋体" w:hAnsi="宋体" w:hint="eastAsia"/>
                <w:sz w:val="24"/>
              </w:rPr>
              <w:t>华康股份2025年半年度报告</w:t>
            </w:r>
            <w:r>
              <w:rPr>
                <w:rFonts w:ascii="宋体" w:hAnsi="宋体" w:hint="eastAsia"/>
                <w:sz w:val="24"/>
              </w:rPr>
              <w:t>》，公司“100万吨玉米精深加工健康食品配料项目”</w:t>
            </w:r>
            <w:r w:rsidRPr="00065498">
              <w:rPr>
                <w:rFonts w:ascii="宋体" w:hAnsi="宋体" w:hint="eastAsia"/>
                <w:sz w:val="24"/>
              </w:rPr>
              <w:t>第一阶段基本建设完成，第一阶段主要以液体糖浆类及部分晶体糖醇产品为主</w:t>
            </w:r>
            <w:r>
              <w:rPr>
                <w:rFonts w:ascii="宋体" w:hAnsi="宋体" w:hint="eastAsia"/>
                <w:sz w:val="24"/>
              </w:rPr>
              <w:t>，</w:t>
            </w:r>
            <w:r w:rsidRPr="00065498">
              <w:rPr>
                <w:rFonts w:ascii="宋体" w:hAnsi="宋体" w:hint="eastAsia"/>
                <w:sz w:val="24"/>
              </w:rPr>
              <w:t>第二阶段规划的各个产品线也将择机投入建设</w:t>
            </w:r>
            <w:r>
              <w:rPr>
                <w:rFonts w:ascii="宋体" w:hAnsi="宋体" w:hint="eastAsia"/>
                <w:sz w:val="24"/>
              </w:rPr>
              <w:t>，其中阿洛酮糖部分产能正在建设</w:t>
            </w:r>
            <w:r w:rsidR="00D335E5">
              <w:rPr>
                <w:rFonts w:ascii="宋体" w:hAnsi="宋体" w:hint="eastAsia"/>
                <w:sz w:val="24"/>
              </w:rPr>
              <w:t>中</w:t>
            </w:r>
            <w:r>
              <w:rPr>
                <w:rFonts w:ascii="宋体" w:hAnsi="宋体" w:hint="eastAsia"/>
                <w:sz w:val="24"/>
              </w:rPr>
              <w:t>。</w:t>
            </w:r>
          </w:p>
          <w:p w14:paraId="7D394C77" w14:textId="47BAFCF4" w:rsidR="00DE1754" w:rsidRDefault="00AD15ED"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8</w:t>
            </w:r>
            <w:r w:rsidR="00DE1754">
              <w:rPr>
                <w:rFonts w:ascii="宋体" w:hAnsi="宋体" w:hint="eastAsia"/>
                <w:b/>
                <w:bCs/>
                <w:color w:val="333333"/>
                <w:shd w:val="clear" w:color="auto" w:fill="FFFFFF"/>
              </w:rPr>
              <w:t>、</w:t>
            </w:r>
            <w:r w:rsidR="00DE1754" w:rsidRPr="00DE1754">
              <w:rPr>
                <w:rFonts w:ascii="宋体" w:hAnsi="宋体" w:hint="eastAsia"/>
                <w:b/>
                <w:bCs/>
                <w:color w:val="333333"/>
                <w:shd w:val="clear" w:color="auto" w:fill="FFFFFF"/>
              </w:rPr>
              <w:t>请公司介绍一下</w:t>
            </w:r>
            <w:r w:rsidR="001C1243">
              <w:rPr>
                <w:rFonts w:ascii="宋体" w:hAnsi="宋体" w:hint="eastAsia"/>
                <w:b/>
                <w:bCs/>
                <w:color w:val="333333"/>
                <w:shd w:val="clear" w:color="auto" w:fill="FFFFFF"/>
              </w:rPr>
              <w:t>舟山华康和华和热电的业绩情况</w:t>
            </w:r>
            <w:r w:rsidR="00DE1754" w:rsidRPr="00DE1754">
              <w:rPr>
                <w:rFonts w:ascii="宋体" w:hAnsi="宋体" w:hint="eastAsia"/>
                <w:b/>
                <w:bCs/>
                <w:color w:val="333333"/>
                <w:shd w:val="clear" w:color="auto" w:fill="FFFFFF"/>
              </w:rPr>
              <w:t>？</w:t>
            </w:r>
          </w:p>
          <w:p w14:paraId="2554FA4B" w14:textId="74B4AAE1" w:rsidR="00DE5333" w:rsidRDefault="00DE5333" w:rsidP="00AD15ED">
            <w:pPr>
              <w:pStyle w:val="ac"/>
              <w:widowControl/>
              <w:spacing w:beforeAutospacing="0" w:afterAutospacing="0" w:line="360" w:lineRule="auto"/>
              <w:ind w:firstLineChars="200" w:firstLine="480"/>
              <w:jc w:val="both"/>
              <w:rPr>
                <w:rFonts w:ascii="宋体" w:hAnsi="宋体" w:hint="eastAsia"/>
                <w:kern w:val="2"/>
              </w:rPr>
            </w:pPr>
            <w:r w:rsidRPr="00DE5333">
              <w:rPr>
                <w:rFonts w:ascii="宋体" w:hAnsi="宋体" w:hint="eastAsia"/>
                <w:kern w:val="2"/>
              </w:rPr>
              <w:t>根据公司披露的《华康股份2025年半年度报告》，公司“100万吨玉米精深加工健康食品配料项目”第一阶段基本建设完成</w:t>
            </w:r>
            <w:r>
              <w:rPr>
                <w:rFonts w:ascii="宋体" w:hAnsi="宋体" w:hint="eastAsia"/>
                <w:kern w:val="2"/>
              </w:rPr>
              <w:t>，</w:t>
            </w:r>
            <w:r w:rsidRPr="00DE5333">
              <w:rPr>
                <w:rFonts w:ascii="宋体" w:hAnsi="宋体" w:hint="eastAsia"/>
                <w:kern w:val="2"/>
              </w:rPr>
              <w:t>目前项目尚处于产能逐步爬坡、生产效率逐步提升阶段</w:t>
            </w:r>
            <w:r>
              <w:rPr>
                <w:rFonts w:ascii="宋体" w:hAnsi="宋体" w:hint="eastAsia"/>
                <w:kern w:val="2"/>
              </w:rPr>
              <w:t>。截至</w:t>
            </w:r>
            <w:r w:rsidR="001C1243" w:rsidRPr="001C1243">
              <w:rPr>
                <w:rFonts w:ascii="宋体" w:hAnsi="宋体" w:hint="eastAsia"/>
                <w:kern w:val="2"/>
              </w:rPr>
              <w:t>2025年</w:t>
            </w:r>
            <w:r>
              <w:rPr>
                <w:rFonts w:ascii="宋体" w:hAnsi="宋体" w:hint="eastAsia"/>
                <w:kern w:val="2"/>
              </w:rPr>
              <w:t>6月30日</w:t>
            </w:r>
            <w:r w:rsidR="001C1243" w:rsidRPr="001C1243">
              <w:rPr>
                <w:rFonts w:ascii="宋体" w:hAnsi="宋体" w:hint="eastAsia"/>
                <w:kern w:val="2"/>
              </w:rPr>
              <w:t>，</w:t>
            </w:r>
            <w:r w:rsidR="001C1243">
              <w:rPr>
                <w:rFonts w:ascii="宋体" w:hAnsi="宋体" w:hint="eastAsia"/>
                <w:kern w:val="2"/>
              </w:rPr>
              <w:t>舟山华康</w:t>
            </w:r>
            <w:r w:rsidR="001C1243" w:rsidRPr="001C1243">
              <w:rPr>
                <w:rFonts w:ascii="宋体" w:hAnsi="宋体" w:hint="eastAsia"/>
                <w:kern w:val="2"/>
              </w:rPr>
              <w:t>实现营业收入</w:t>
            </w:r>
            <w:r w:rsidR="001C1243" w:rsidRPr="001C1243">
              <w:rPr>
                <w:rFonts w:ascii="宋体" w:hAnsi="宋体"/>
                <w:kern w:val="2"/>
              </w:rPr>
              <w:t>87,781.02</w:t>
            </w:r>
            <w:r w:rsidR="001C1243">
              <w:rPr>
                <w:rFonts w:ascii="宋体" w:hAnsi="宋体" w:hint="eastAsia"/>
                <w:kern w:val="2"/>
              </w:rPr>
              <w:t>万</w:t>
            </w:r>
            <w:r w:rsidR="001C1243" w:rsidRPr="001C1243">
              <w:rPr>
                <w:rFonts w:ascii="宋体" w:hAnsi="宋体" w:hint="eastAsia"/>
                <w:kern w:val="2"/>
              </w:rPr>
              <w:t>元，净利润</w:t>
            </w:r>
            <w:r w:rsidR="001C1243" w:rsidRPr="001C1243">
              <w:rPr>
                <w:rFonts w:ascii="宋体" w:hAnsi="宋体"/>
                <w:kern w:val="2"/>
              </w:rPr>
              <w:t>-1,418.05</w:t>
            </w:r>
            <w:r w:rsidR="001C1243">
              <w:rPr>
                <w:rFonts w:ascii="宋体" w:hAnsi="宋体" w:hint="eastAsia"/>
                <w:kern w:val="2"/>
              </w:rPr>
              <w:t>万</w:t>
            </w:r>
            <w:r w:rsidR="001C1243" w:rsidRPr="001C1243">
              <w:rPr>
                <w:rFonts w:ascii="宋体" w:hAnsi="宋体" w:hint="eastAsia"/>
                <w:kern w:val="2"/>
              </w:rPr>
              <w:t>元</w:t>
            </w:r>
            <w:r>
              <w:rPr>
                <w:rFonts w:ascii="宋体" w:hAnsi="宋体" w:hint="eastAsia"/>
                <w:kern w:val="2"/>
              </w:rPr>
              <w:t>。</w:t>
            </w:r>
          </w:p>
          <w:p w14:paraId="5198CC0E" w14:textId="4812E15E" w:rsidR="001C1243" w:rsidRDefault="001C1243" w:rsidP="00AD15ED">
            <w:pPr>
              <w:pStyle w:val="ac"/>
              <w:widowControl/>
              <w:spacing w:beforeAutospacing="0" w:afterAutospacing="0" w:line="360" w:lineRule="auto"/>
              <w:ind w:firstLineChars="200" w:firstLine="480"/>
              <w:jc w:val="both"/>
              <w:rPr>
                <w:rFonts w:ascii="宋体" w:hAnsi="宋体" w:hint="eastAsia"/>
                <w:kern w:val="2"/>
              </w:rPr>
            </w:pPr>
            <w:r w:rsidRPr="001C1243">
              <w:rPr>
                <w:rFonts w:ascii="宋体" w:hAnsi="宋体" w:hint="eastAsia"/>
                <w:kern w:val="2"/>
              </w:rPr>
              <w:t>华和热电</w:t>
            </w:r>
            <w:r w:rsidR="00DE5333">
              <w:rPr>
                <w:rFonts w:ascii="宋体" w:hAnsi="宋体" w:hint="eastAsia"/>
                <w:kern w:val="2"/>
              </w:rPr>
              <w:t>因为舟山华康项目的陆续投产，</w:t>
            </w:r>
            <w:r w:rsidR="00DE5333" w:rsidRPr="00B12539">
              <w:rPr>
                <w:rFonts w:ascii="宋体" w:hAnsi="宋体"/>
              </w:rPr>
              <w:t>蒸汽</w:t>
            </w:r>
            <w:r w:rsidR="00DE5333">
              <w:rPr>
                <w:rFonts w:ascii="宋体" w:hAnsi="宋体" w:hint="eastAsia"/>
              </w:rPr>
              <w:t>和</w:t>
            </w:r>
            <w:r w:rsidR="00DE5333" w:rsidRPr="00B12539">
              <w:rPr>
                <w:rFonts w:ascii="宋体" w:hAnsi="宋体"/>
              </w:rPr>
              <w:t>电力</w:t>
            </w:r>
            <w:r w:rsidR="00DE5333">
              <w:rPr>
                <w:rFonts w:ascii="宋体" w:hAnsi="宋体" w:hint="eastAsia"/>
              </w:rPr>
              <w:t>的销售量有所提升。</w:t>
            </w:r>
            <w:r w:rsidR="00DE5333">
              <w:rPr>
                <w:rFonts w:ascii="宋体" w:hAnsi="宋体" w:hint="eastAsia"/>
                <w:kern w:val="2"/>
              </w:rPr>
              <w:t>截至</w:t>
            </w:r>
            <w:r w:rsidR="00DE5333" w:rsidRPr="001C1243">
              <w:rPr>
                <w:rFonts w:ascii="宋体" w:hAnsi="宋体" w:hint="eastAsia"/>
                <w:kern w:val="2"/>
              </w:rPr>
              <w:t>2025年</w:t>
            </w:r>
            <w:r w:rsidR="00DE5333">
              <w:rPr>
                <w:rFonts w:ascii="宋体" w:hAnsi="宋体" w:hint="eastAsia"/>
                <w:kern w:val="2"/>
              </w:rPr>
              <w:t>6月30日，华和热电</w:t>
            </w:r>
            <w:r w:rsidRPr="001C1243">
              <w:rPr>
                <w:rFonts w:ascii="宋体" w:hAnsi="宋体" w:hint="eastAsia"/>
                <w:kern w:val="2"/>
              </w:rPr>
              <w:t>实现营业收入</w:t>
            </w:r>
            <w:r w:rsidRPr="001C1243">
              <w:rPr>
                <w:rFonts w:ascii="宋体" w:hAnsi="宋体"/>
                <w:kern w:val="2"/>
              </w:rPr>
              <w:t>11,199.28</w:t>
            </w:r>
            <w:r>
              <w:rPr>
                <w:rFonts w:ascii="宋体" w:hAnsi="宋体" w:hint="eastAsia"/>
                <w:kern w:val="2"/>
              </w:rPr>
              <w:t>万</w:t>
            </w:r>
            <w:r w:rsidRPr="001C1243">
              <w:rPr>
                <w:rFonts w:ascii="宋体" w:hAnsi="宋体" w:hint="eastAsia"/>
                <w:kern w:val="2"/>
              </w:rPr>
              <w:t>元，净利润</w:t>
            </w:r>
            <w:r w:rsidRPr="001C1243">
              <w:rPr>
                <w:rFonts w:ascii="宋体" w:hAnsi="宋体"/>
                <w:kern w:val="2"/>
              </w:rPr>
              <w:t>2,579.09</w:t>
            </w:r>
            <w:r>
              <w:rPr>
                <w:rFonts w:ascii="宋体" w:hAnsi="宋体" w:hint="eastAsia"/>
                <w:kern w:val="2"/>
              </w:rPr>
              <w:t>万</w:t>
            </w:r>
            <w:r w:rsidRPr="001C1243">
              <w:rPr>
                <w:rFonts w:ascii="宋体" w:hAnsi="宋体" w:hint="eastAsia"/>
                <w:kern w:val="2"/>
              </w:rPr>
              <w:t>元。</w:t>
            </w:r>
          </w:p>
          <w:p w14:paraId="5AB3E3C8" w14:textId="3E1AD867" w:rsidR="009A52D0" w:rsidRDefault="00AD15ED"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9</w:t>
            </w:r>
            <w:r w:rsidR="003919D8">
              <w:rPr>
                <w:rFonts w:ascii="宋体" w:hAnsi="宋体" w:hint="eastAsia"/>
                <w:b/>
                <w:bCs/>
                <w:color w:val="333333"/>
                <w:shd w:val="clear" w:color="auto" w:fill="FFFFFF"/>
              </w:rPr>
              <w:t>、</w:t>
            </w:r>
            <w:r w:rsidR="00013DCA">
              <w:rPr>
                <w:rFonts w:ascii="宋体" w:hAnsi="宋体" w:hint="eastAsia"/>
                <w:b/>
                <w:bCs/>
                <w:color w:val="333333"/>
                <w:shd w:val="clear" w:color="auto" w:fill="FFFFFF"/>
              </w:rPr>
              <w:t>请</w:t>
            </w:r>
            <w:r w:rsidR="00A12D7C">
              <w:rPr>
                <w:rFonts w:ascii="宋体" w:hAnsi="宋体" w:hint="eastAsia"/>
                <w:b/>
                <w:bCs/>
                <w:color w:val="333333"/>
                <w:shd w:val="clear" w:color="auto" w:fill="FFFFFF"/>
              </w:rPr>
              <w:t>展望</w:t>
            </w:r>
            <w:r w:rsidR="00013DCA">
              <w:rPr>
                <w:rFonts w:ascii="宋体" w:hAnsi="宋体" w:hint="eastAsia"/>
                <w:b/>
                <w:bCs/>
                <w:color w:val="333333"/>
                <w:shd w:val="clear" w:color="auto" w:fill="FFFFFF"/>
              </w:rPr>
              <w:t>一下</w:t>
            </w:r>
            <w:r w:rsidR="00AA6FB6">
              <w:rPr>
                <w:rFonts w:hint="eastAsia"/>
                <w:b/>
                <w:bCs/>
              </w:rPr>
              <w:t>舟山华康</w:t>
            </w:r>
            <w:r w:rsidR="00A12D7C">
              <w:rPr>
                <w:rFonts w:hint="eastAsia"/>
                <w:b/>
                <w:bCs/>
              </w:rPr>
              <w:t>未来的运行情况</w:t>
            </w:r>
            <w:r w:rsidR="003919D8">
              <w:rPr>
                <w:rFonts w:ascii="宋体" w:hAnsi="宋体" w:hint="eastAsia"/>
                <w:b/>
                <w:bCs/>
                <w:color w:val="333333"/>
                <w:shd w:val="clear" w:color="auto" w:fill="FFFFFF"/>
              </w:rPr>
              <w:t>？</w:t>
            </w:r>
          </w:p>
          <w:p w14:paraId="6F80E40E" w14:textId="1C0BBBC8" w:rsidR="00F26557" w:rsidRDefault="00AA6FB6" w:rsidP="00AD15ED">
            <w:pPr>
              <w:spacing w:line="360" w:lineRule="auto"/>
              <w:ind w:firstLineChars="200" w:firstLine="480"/>
              <w:rPr>
                <w:rFonts w:ascii="宋体" w:hAnsi="宋体" w:hint="eastAsia"/>
                <w:spacing w:val="-4"/>
                <w:sz w:val="24"/>
              </w:rPr>
            </w:pPr>
            <w:r>
              <w:rPr>
                <w:rFonts w:ascii="宋体" w:hAnsi="宋体" w:hint="eastAsia"/>
                <w:sz w:val="24"/>
                <w:lang w:eastAsia="zh-Hans"/>
              </w:rPr>
              <w:t>舟山华康</w:t>
            </w:r>
            <w:r w:rsidRPr="00AA6FB6">
              <w:rPr>
                <w:rFonts w:ascii="宋体" w:hAnsi="宋体" w:hint="eastAsia"/>
                <w:sz w:val="24"/>
                <w:lang w:eastAsia="zh-Hans"/>
              </w:rPr>
              <w:t>“100万吨玉米精深加工健康食品配料项目”的第一阶段</w:t>
            </w:r>
            <w:r w:rsidRPr="001E69B0">
              <w:rPr>
                <w:rFonts w:ascii="宋体" w:hAnsi="宋体" w:hint="eastAsia"/>
                <w:sz w:val="24"/>
              </w:rPr>
              <w:t>目前尚处于产能逐步爬坡、生产效率逐步提升阶段</w:t>
            </w:r>
            <w:r w:rsidR="00D81A60">
              <w:rPr>
                <w:rFonts w:ascii="宋体" w:hAnsi="宋体" w:hint="eastAsia"/>
                <w:sz w:val="24"/>
              </w:rPr>
              <w:t>。</w:t>
            </w:r>
            <w:r>
              <w:rPr>
                <w:rFonts w:ascii="宋体" w:hAnsi="宋体" w:hint="eastAsia"/>
                <w:sz w:val="24"/>
              </w:rPr>
              <w:t>随着公司目标市场进一步开拓、项目</w:t>
            </w:r>
            <w:r w:rsidRPr="00AA6FB6">
              <w:rPr>
                <w:rFonts w:ascii="宋体" w:hAnsi="宋体" w:hint="eastAsia"/>
                <w:sz w:val="24"/>
              </w:rPr>
              <w:t>运行逐步稳定</w:t>
            </w:r>
            <w:r>
              <w:rPr>
                <w:rFonts w:ascii="宋体" w:hAnsi="宋体" w:hint="eastAsia"/>
                <w:sz w:val="24"/>
              </w:rPr>
              <w:t>、</w:t>
            </w:r>
            <w:r w:rsidRPr="00AA6FB6">
              <w:rPr>
                <w:rFonts w:ascii="宋体" w:hAnsi="宋体" w:hint="eastAsia"/>
                <w:sz w:val="24"/>
              </w:rPr>
              <w:t>生产效率持续优化</w:t>
            </w:r>
            <w:r>
              <w:rPr>
                <w:rFonts w:ascii="宋体" w:hAnsi="宋体" w:hint="eastAsia"/>
                <w:sz w:val="24"/>
              </w:rPr>
              <w:t>，给舟山华康一些时间，经营情况</w:t>
            </w:r>
            <w:r w:rsidR="00DE5333">
              <w:rPr>
                <w:rFonts w:ascii="宋体" w:hAnsi="宋体" w:hint="eastAsia"/>
                <w:sz w:val="24"/>
              </w:rPr>
              <w:t>将</w:t>
            </w:r>
            <w:r>
              <w:rPr>
                <w:rFonts w:ascii="宋体" w:hAnsi="宋体" w:hint="eastAsia"/>
                <w:sz w:val="24"/>
              </w:rPr>
              <w:t>会得到</w:t>
            </w:r>
            <w:r w:rsidR="00DE5333">
              <w:rPr>
                <w:rFonts w:ascii="宋体" w:hAnsi="宋体" w:hint="eastAsia"/>
                <w:sz w:val="24"/>
              </w:rPr>
              <w:t>进一步</w:t>
            </w:r>
            <w:r>
              <w:rPr>
                <w:rFonts w:ascii="宋体" w:hAnsi="宋体" w:hint="eastAsia"/>
                <w:sz w:val="24"/>
              </w:rPr>
              <w:t>改善。</w:t>
            </w:r>
          </w:p>
          <w:p w14:paraId="12EAB100" w14:textId="3A7AF2F4" w:rsidR="00C70843" w:rsidRPr="003E5884" w:rsidRDefault="00AD15ED" w:rsidP="00AD15ED">
            <w:pPr>
              <w:pStyle w:val="ac"/>
              <w:widowControl/>
              <w:spacing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10</w:t>
            </w:r>
            <w:r w:rsidR="00C70843" w:rsidRPr="003E5884">
              <w:rPr>
                <w:rFonts w:ascii="宋体" w:hAnsi="宋体" w:hint="eastAsia"/>
                <w:b/>
                <w:bCs/>
                <w:color w:val="333333"/>
                <w:shd w:val="clear" w:color="auto" w:fill="FFFFFF"/>
              </w:rPr>
              <w:t>、</w:t>
            </w:r>
            <w:r w:rsidR="00C70843">
              <w:rPr>
                <w:rFonts w:ascii="宋体" w:hAnsi="宋体" w:hint="eastAsia"/>
                <w:b/>
                <w:bCs/>
                <w:color w:val="333333"/>
                <w:shd w:val="clear" w:color="auto" w:fill="FFFFFF"/>
              </w:rPr>
              <w:t>请介绍一下</w:t>
            </w:r>
            <w:r w:rsidR="00A12D7C">
              <w:rPr>
                <w:rFonts w:ascii="宋体" w:hAnsi="宋体" w:hint="eastAsia"/>
                <w:b/>
                <w:bCs/>
                <w:color w:val="333333"/>
                <w:shd w:val="clear" w:color="auto" w:fill="FFFFFF"/>
              </w:rPr>
              <w:t>公司收购华和热电的</w:t>
            </w:r>
            <w:r w:rsidR="00C70843" w:rsidRPr="007D6087">
              <w:rPr>
                <w:rFonts w:ascii="宋体" w:hAnsi="宋体" w:hint="eastAsia"/>
                <w:b/>
                <w:bCs/>
                <w:color w:val="333333"/>
                <w:shd w:val="clear" w:color="auto" w:fill="FFFFFF"/>
              </w:rPr>
              <w:t>情况</w:t>
            </w:r>
            <w:r w:rsidR="00A12D7C">
              <w:rPr>
                <w:rFonts w:ascii="宋体" w:hAnsi="宋体" w:hint="eastAsia"/>
                <w:b/>
                <w:bCs/>
                <w:color w:val="333333"/>
                <w:shd w:val="clear" w:color="auto" w:fill="FFFFFF"/>
              </w:rPr>
              <w:t>以及华和热电的收入构成</w:t>
            </w:r>
            <w:r w:rsidR="00D81A60">
              <w:rPr>
                <w:rFonts w:ascii="宋体" w:hAnsi="宋体" w:hint="eastAsia"/>
                <w:b/>
                <w:bCs/>
                <w:color w:val="333333"/>
                <w:shd w:val="clear" w:color="auto" w:fill="FFFFFF"/>
              </w:rPr>
              <w:t>？</w:t>
            </w:r>
          </w:p>
          <w:p w14:paraId="79E65BE9" w14:textId="54032461" w:rsidR="009A52D0" w:rsidRDefault="00A12D7C" w:rsidP="00A12D7C">
            <w:pPr>
              <w:spacing w:line="360" w:lineRule="auto"/>
              <w:ind w:firstLineChars="200" w:firstLine="480"/>
              <w:rPr>
                <w:rFonts w:ascii="宋体" w:hAnsi="宋体" w:hint="eastAsia"/>
                <w:sz w:val="24"/>
              </w:rPr>
            </w:pPr>
            <w:bookmarkStart w:id="0" w:name="_Hlk199506487"/>
            <w:r w:rsidRPr="00A12D7C">
              <w:rPr>
                <w:rFonts w:ascii="宋体" w:hAnsi="宋体" w:hint="eastAsia"/>
                <w:sz w:val="24"/>
                <w:lang w:eastAsia="zh-Hans"/>
              </w:rPr>
              <w:t>为保障</w:t>
            </w:r>
            <w:r w:rsidR="00DE5333">
              <w:rPr>
                <w:rFonts w:ascii="宋体" w:hAnsi="宋体" w:hint="eastAsia"/>
                <w:sz w:val="24"/>
                <w:lang w:eastAsia="zh-Hans"/>
              </w:rPr>
              <w:t>舟山华康</w:t>
            </w:r>
            <w:r w:rsidRPr="00A12D7C">
              <w:rPr>
                <w:rFonts w:ascii="宋体" w:hAnsi="宋体" w:hint="eastAsia"/>
                <w:sz w:val="24"/>
                <w:lang w:eastAsia="zh-Hans"/>
              </w:rPr>
              <w:t>“</w:t>
            </w:r>
            <w:r>
              <w:rPr>
                <w:rFonts w:ascii="宋体" w:hAnsi="宋体" w:hint="eastAsia"/>
                <w:sz w:val="24"/>
              </w:rPr>
              <w:t>2</w:t>
            </w:r>
            <w:r w:rsidRPr="00A12D7C">
              <w:rPr>
                <w:rFonts w:ascii="宋体" w:hAnsi="宋体" w:hint="eastAsia"/>
                <w:sz w:val="24"/>
                <w:lang w:eastAsia="zh-Hans"/>
              </w:rPr>
              <w:t>00万吨玉米精深加工健康食品配料项目”所需蒸汽能源的持续稳定供应，</w:t>
            </w:r>
            <w:r>
              <w:rPr>
                <w:rFonts w:ascii="宋体" w:hAnsi="宋体" w:hint="eastAsia"/>
                <w:sz w:val="24"/>
              </w:rPr>
              <w:t>2022年12月29日公司披露了《</w:t>
            </w:r>
            <w:r w:rsidRPr="00A12D7C">
              <w:rPr>
                <w:rFonts w:ascii="宋体" w:hAnsi="宋体" w:hint="eastAsia"/>
                <w:sz w:val="24"/>
                <w:lang w:eastAsia="zh-Hans"/>
              </w:rPr>
              <w:t>华康股份关于收购浙江华和热电有限公司和舟山新易盛贸易有限公司各95%股权的公告</w:t>
            </w:r>
            <w:r>
              <w:rPr>
                <w:rFonts w:ascii="宋体" w:hAnsi="宋体" w:hint="eastAsia"/>
                <w:sz w:val="24"/>
                <w:lang w:eastAsia="zh-Hans"/>
              </w:rPr>
              <w:t>》，</w:t>
            </w:r>
            <w:r w:rsidRPr="00A12D7C">
              <w:rPr>
                <w:rFonts w:ascii="宋体" w:hAnsi="宋体" w:hint="eastAsia"/>
                <w:sz w:val="24"/>
                <w:lang w:eastAsia="zh-Hans"/>
              </w:rPr>
              <w:t>公司以人民币52,250万元收购宁波瑞顺久贸易有限公司所持有的华和热电95%股权及新易盛95%股权</w:t>
            </w:r>
            <w:r w:rsidR="00E14880">
              <w:rPr>
                <w:rFonts w:ascii="宋体" w:hAnsi="宋体" w:hint="eastAsia"/>
                <w:sz w:val="24"/>
                <w:lang w:eastAsia="zh-Hans"/>
              </w:rPr>
              <w:t>。</w:t>
            </w:r>
          </w:p>
          <w:p w14:paraId="46416426" w14:textId="76ACC7F2" w:rsidR="00B12539" w:rsidRPr="00B12539" w:rsidRDefault="00B12539" w:rsidP="00A12D7C">
            <w:pPr>
              <w:spacing w:line="360" w:lineRule="auto"/>
              <w:ind w:firstLineChars="200" w:firstLine="480"/>
              <w:rPr>
                <w:rFonts w:ascii="宋体" w:hAnsi="宋体" w:hint="eastAsia"/>
                <w:sz w:val="24"/>
              </w:rPr>
            </w:pPr>
            <w:r>
              <w:rPr>
                <w:rFonts w:ascii="宋体" w:hAnsi="宋体" w:hint="eastAsia"/>
                <w:sz w:val="24"/>
              </w:rPr>
              <w:t>华和热电</w:t>
            </w:r>
            <w:r w:rsidRPr="00B12539">
              <w:rPr>
                <w:rFonts w:ascii="宋体" w:hAnsi="宋体"/>
                <w:sz w:val="24"/>
              </w:rPr>
              <w:t>主营业务为蒸汽和电力的供应。生产的蒸汽系面向工业用户供应，主要用于满足舟山粮食产业园内工业企业的蒸汽能源需求，生产的电力销售给当地国家电网公司。</w:t>
            </w:r>
            <w:r>
              <w:rPr>
                <w:rFonts w:ascii="宋体" w:hAnsi="宋体" w:hint="eastAsia"/>
                <w:sz w:val="24"/>
              </w:rPr>
              <w:t>随着舟山华康</w:t>
            </w:r>
            <w:r w:rsidRPr="00AA6FB6">
              <w:rPr>
                <w:rFonts w:ascii="宋体" w:hAnsi="宋体" w:hint="eastAsia"/>
                <w:sz w:val="24"/>
                <w:lang w:eastAsia="zh-Hans"/>
              </w:rPr>
              <w:t>“100万吨玉米精深加工健康食品配料项目”的第一阶段</w:t>
            </w:r>
            <w:r>
              <w:rPr>
                <w:rFonts w:ascii="宋体" w:hAnsi="宋体" w:hint="eastAsia"/>
                <w:sz w:val="24"/>
                <w:lang w:eastAsia="zh-Hans"/>
              </w:rPr>
              <w:t>的陆续投产，</w:t>
            </w:r>
            <w:r w:rsidRPr="00B12539">
              <w:rPr>
                <w:rFonts w:ascii="宋体" w:hAnsi="宋体"/>
                <w:sz w:val="24"/>
              </w:rPr>
              <w:t>蒸汽</w:t>
            </w:r>
            <w:r>
              <w:rPr>
                <w:rFonts w:ascii="宋体" w:hAnsi="宋体" w:hint="eastAsia"/>
                <w:sz w:val="24"/>
              </w:rPr>
              <w:t>的需求量在不</w:t>
            </w:r>
            <w:r>
              <w:rPr>
                <w:rFonts w:ascii="宋体" w:hAnsi="宋体" w:hint="eastAsia"/>
                <w:sz w:val="24"/>
              </w:rPr>
              <w:lastRenderedPageBreak/>
              <w:t>断上升，</w:t>
            </w:r>
            <w:r w:rsidR="003B6EB9">
              <w:rPr>
                <w:rFonts w:ascii="宋体" w:hAnsi="宋体" w:hint="eastAsia"/>
                <w:sz w:val="24"/>
              </w:rPr>
              <w:t>因此</w:t>
            </w:r>
            <w:r w:rsidR="00D81A60">
              <w:rPr>
                <w:rFonts w:ascii="宋体" w:hAnsi="宋体" w:hint="eastAsia"/>
                <w:sz w:val="24"/>
              </w:rPr>
              <w:t>2025年上半年</w:t>
            </w:r>
            <w:r>
              <w:rPr>
                <w:rFonts w:ascii="宋体" w:hAnsi="宋体" w:hint="eastAsia"/>
                <w:sz w:val="24"/>
                <w:lang w:eastAsia="zh-Hans"/>
              </w:rPr>
              <w:t>华和热电的</w:t>
            </w:r>
            <w:r w:rsidR="00D81A60" w:rsidRPr="00D81A60">
              <w:rPr>
                <w:rFonts w:ascii="宋体" w:hAnsi="宋体" w:hint="eastAsia"/>
                <w:sz w:val="24"/>
                <w:lang w:eastAsia="zh-Hans"/>
              </w:rPr>
              <w:t>蒸汽和电力的销售量</w:t>
            </w:r>
            <w:r w:rsidR="00D81A60">
              <w:rPr>
                <w:rFonts w:ascii="宋体" w:hAnsi="宋体" w:hint="eastAsia"/>
                <w:sz w:val="24"/>
                <w:lang w:eastAsia="zh-Hans"/>
              </w:rPr>
              <w:t>有所</w:t>
            </w:r>
            <w:r w:rsidR="00D81A60" w:rsidRPr="00D81A60">
              <w:rPr>
                <w:rFonts w:ascii="宋体" w:hAnsi="宋体" w:hint="eastAsia"/>
                <w:sz w:val="24"/>
                <w:lang w:eastAsia="zh-Hans"/>
              </w:rPr>
              <w:t>提升</w:t>
            </w:r>
            <w:r>
              <w:rPr>
                <w:rFonts w:ascii="宋体" w:hAnsi="宋体" w:hint="eastAsia"/>
                <w:sz w:val="24"/>
                <w:lang w:eastAsia="zh-Hans"/>
              </w:rPr>
              <w:t>。截至2025年6月30日，</w:t>
            </w:r>
            <w:r w:rsidRPr="00B12539">
              <w:rPr>
                <w:rFonts w:ascii="宋体" w:hAnsi="宋体" w:hint="eastAsia"/>
                <w:sz w:val="24"/>
                <w:lang w:eastAsia="zh-Hans"/>
              </w:rPr>
              <w:t>华和热电实现营业收入</w:t>
            </w:r>
            <w:r w:rsidRPr="00B12539">
              <w:rPr>
                <w:rFonts w:ascii="宋体" w:hAnsi="宋体"/>
                <w:sz w:val="24"/>
                <w:lang w:eastAsia="zh-Hans"/>
              </w:rPr>
              <w:t>11,199.28</w:t>
            </w:r>
            <w:r w:rsidRPr="00B12539">
              <w:rPr>
                <w:rFonts w:ascii="宋体" w:hAnsi="宋体" w:hint="eastAsia"/>
                <w:sz w:val="24"/>
                <w:lang w:eastAsia="zh-Hans"/>
              </w:rPr>
              <w:t>万元，净利润</w:t>
            </w:r>
            <w:r w:rsidRPr="00B12539">
              <w:rPr>
                <w:rFonts w:ascii="宋体" w:hAnsi="宋体"/>
                <w:sz w:val="24"/>
                <w:lang w:eastAsia="zh-Hans"/>
              </w:rPr>
              <w:t>2,579.09</w:t>
            </w:r>
            <w:r w:rsidRPr="00B12539">
              <w:rPr>
                <w:rFonts w:ascii="宋体" w:hAnsi="宋体" w:hint="eastAsia"/>
                <w:sz w:val="24"/>
                <w:lang w:eastAsia="zh-Hans"/>
              </w:rPr>
              <w:t>万元。</w:t>
            </w:r>
          </w:p>
          <w:bookmarkEnd w:id="0"/>
          <w:p w14:paraId="51563A86" w14:textId="388B8C0E" w:rsidR="009C67E7" w:rsidRPr="003E5884" w:rsidRDefault="009C67E7" w:rsidP="00AD15ED">
            <w:pPr>
              <w:spacing w:line="360" w:lineRule="auto"/>
              <w:ind w:firstLineChars="200" w:firstLine="422"/>
              <w:rPr>
                <w:rFonts w:ascii="宋体" w:hAnsi="宋体" w:hint="eastAsia"/>
                <w:sz w:val="24"/>
              </w:rPr>
            </w:pPr>
            <w:r>
              <w:rPr>
                <w:rFonts w:ascii="宋体" w:hAnsi="宋体" w:hint="eastAsia"/>
                <w:b/>
                <w:bCs/>
                <w:color w:val="333333"/>
                <w:shd w:val="clear" w:color="auto" w:fill="FFFFFF"/>
              </w:rPr>
              <w:t>1</w:t>
            </w:r>
            <w:r w:rsidR="00AD15ED">
              <w:rPr>
                <w:rFonts w:ascii="宋体" w:hAnsi="宋体" w:hint="eastAsia"/>
                <w:b/>
                <w:bCs/>
                <w:color w:val="333333"/>
                <w:shd w:val="clear" w:color="auto" w:fill="FFFFFF"/>
              </w:rPr>
              <w:t>1</w:t>
            </w:r>
            <w:r w:rsidRPr="003E5884">
              <w:rPr>
                <w:rFonts w:ascii="宋体" w:hAnsi="宋体" w:hint="eastAsia"/>
                <w:b/>
                <w:bCs/>
                <w:color w:val="333333"/>
                <w:sz w:val="24"/>
                <w:shd w:val="clear" w:color="auto" w:fill="FFFFFF"/>
              </w:rPr>
              <w:t>、</w:t>
            </w:r>
            <w:r>
              <w:rPr>
                <w:rFonts w:ascii="宋体" w:hAnsi="宋体" w:hint="eastAsia"/>
                <w:b/>
                <w:bCs/>
                <w:color w:val="333333"/>
                <w:sz w:val="24"/>
                <w:shd w:val="clear" w:color="auto" w:fill="FFFFFF"/>
              </w:rPr>
              <w:t>请</w:t>
            </w:r>
            <w:r w:rsidR="00B12539">
              <w:rPr>
                <w:rFonts w:ascii="宋体" w:hAnsi="宋体" w:hint="eastAsia"/>
                <w:b/>
                <w:bCs/>
                <w:color w:val="333333"/>
                <w:sz w:val="24"/>
                <w:shd w:val="clear" w:color="auto" w:fill="FFFFFF"/>
              </w:rPr>
              <w:t>对公司下半年和明年的情况进行一下展望</w:t>
            </w:r>
            <w:r>
              <w:rPr>
                <w:rFonts w:ascii="宋体" w:hAnsi="宋体" w:hint="eastAsia"/>
                <w:b/>
                <w:bCs/>
                <w:color w:val="333333"/>
                <w:sz w:val="24"/>
                <w:shd w:val="clear" w:color="auto" w:fill="FFFFFF"/>
              </w:rPr>
              <w:t>?</w:t>
            </w:r>
          </w:p>
          <w:p w14:paraId="5DB155F9" w14:textId="60CCA346" w:rsidR="009A52D0" w:rsidRDefault="00B12539" w:rsidP="00B12539">
            <w:pPr>
              <w:spacing w:line="360" w:lineRule="auto"/>
              <w:ind w:firstLineChars="200" w:firstLine="480"/>
              <w:rPr>
                <w:rFonts w:ascii="宋体" w:hAnsi="宋体" w:hint="eastAsia"/>
                <w:sz w:val="24"/>
              </w:rPr>
            </w:pPr>
            <w:r w:rsidRPr="00B12539">
              <w:rPr>
                <w:rFonts w:ascii="宋体" w:hAnsi="宋体" w:hint="eastAsia"/>
                <w:sz w:val="24"/>
                <w:lang w:eastAsia="zh-Hans"/>
              </w:rPr>
              <w:t>随着舟山华康一期项目“100万吨玉米精深加工健康食品配料项目”第一阶段</w:t>
            </w:r>
            <w:r w:rsidR="00CC01D3">
              <w:rPr>
                <w:rFonts w:ascii="宋体" w:hAnsi="宋体" w:hint="eastAsia"/>
                <w:sz w:val="24"/>
                <w:lang w:eastAsia="zh-Hans"/>
              </w:rPr>
              <w:t>产线</w:t>
            </w:r>
            <w:r w:rsidRPr="00AA6FB6">
              <w:rPr>
                <w:rFonts w:ascii="宋体" w:hAnsi="宋体" w:hint="eastAsia"/>
                <w:sz w:val="24"/>
              </w:rPr>
              <w:t>运行逐步稳定</w:t>
            </w:r>
            <w:r>
              <w:rPr>
                <w:rFonts w:ascii="宋体" w:hAnsi="宋体" w:hint="eastAsia"/>
                <w:sz w:val="24"/>
              </w:rPr>
              <w:t>，</w:t>
            </w:r>
            <w:r w:rsidRPr="00AA6FB6">
              <w:rPr>
                <w:rFonts w:ascii="宋体" w:hAnsi="宋体" w:hint="eastAsia"/>
                <w:sz w:val="24"/>
              </w:rPr>
              <w:t>生产效率持续优化</w:t>
            </w:r>
            <w:r w:rsidR="00CC01D3">
              <w:rPr>
                <w:rFonts w:ascii="宋体" w:hAnsi="宋体" w:hint="eastAsia"/>
                <w:sz w:val="24"/>
                <w:lang w:eastAsia="zh-Hans"/>
              </w:rPr>
              <w:t>；</w:t>
            </w:r>
            <w:r w:rsidRPr="00B12539">
              <w:rPr>
                <w:rFonts w:ascii="宋体" w:hAnsi="宋体" w:hint="eastAsia"/>
                <w:sz w:val="24"/>
                <w:lang w:eastAsia="zh-Hans"/>
              </w:rPr>
              <w:t>以及未来“发行股份及支付现金购买资产项目”的落地，豫鑫糖醇将成为公司的全资子公司</w:t>
            </w:r>
            <w:r w:rsidR="003B6EB9">
              <w:rPr>
                <w:rFonts w:ascii="宋体" w:hAnsi="宋体" w:hint="eastAsia"/>
                <w:sz w:val="24"/>
                <w:lang w:eastAsia="zh-Hans"/>
              </w:rPr>
              <w:t>。</w:t>
            </w:r>
            <w:r w:rsidRPr="00B12539">
              <w:rPr>
                <w:rFonts w:ascii="宋体" w:hAnsi="宋体" w:hint="eastAsia"/>
                <w:sz w:val="24"/>
                <w:lang w:eastAsia="zh-Hans"/>
              </w:rPr>
              <w:t>2025年</w:t>
            </w:r>
            <w:r w:rsidR="00CC01D3">
              <w:rPr>
                <w:rFonts w:ascii="宋体" w:hAnsi="宋体" w:hint="eastAsia"/>
                <w:sz w:val="24"/>
                <w:lang w:eastAsia="zh-Hans"/>
              </w:rPr>
              <w:t>下半年以及</w:t>
            </w:r>
            <w:r w:rsidR="00CC01D3">
              <w:rPr>
                <w:rFonts w:ascii="宋体" w:hAnsi="宋体" w:hint="eastAsia"/>
                <w:sz w:val="24"/>
              </w:rPr>
              <w:t>2026年公司的</w:t>
            </w:r>
            <w:r w:rsidR="00CC01D3">
              <w:rPr>
                <w:rFonts w:ascii="宋体" w:hAnsi="宋体" w:hint="eastAsia"/>
                <w:sz w:val="24"/>
                <w:lang w:eastAsia="zh-Hans"/>
              </w:rPr>
              <w:t>经营情况</w:t>
            </w:r>
            <w:r w:rsidRPr="00B12539">
              <w:rPr>
                <w:rFonts w:ascii="宋体" w:hAnsi="宋体" w:hint="eastAsia"/>
                <w:sz w:val="24"/>
                <w:lang w:eastAsia="zh-Hans"/>
              </w:rPr>
              <w:t>将</w:t>
            </w:r>
            <w:r w:rsidR="003B6EB9">
              <w:rPr>
                <w:rFonts w:ascii="宋体" w:hAnsi="宋体" w:hint="eastAsia"/>
                <w:sz w:val="24"/>
                <w:lang w:eastAsia="zh-Hans"/>
              </w:rPr>
              <w:t>有望</w:t>
            </w:r>
            <w:r w:rsidR="00CC01D3">
              <w:rPr>
                <w:rFonts w:ascii="宋体" w:hAnsi="宋体" w:hint="eastAsia"/>
                <w:sz w:val="24"/>
                <w:lang w:eastAsia="zh-Hans"/>
              </w:rPr>
              <w:t>得到一定的改善</w:t>
            </w:r>
            <w:r w:rsidRPr="00B12539">
              <w:rPr>
                <w:rFonts w:ascii="宋体" w:hAnsi="宋体" w:hint="eastAsia"/>
                <w:sz w:val="24"/>
                <w:lang w:eastAsia="zh-Hans"/>
              </w:rPr>
              <w:t>。</w:t>
            </w:r>
          </w:p>
        </w:tc>
      </w:tr>
      <w:tr w:rsidR="009A52D0" w14:paraId="772CD8E6" w14:textId="77777777">
        <w:tc>
          <w:tcPr>
            <w:tcW w:w="1702" w:type="dxa"/>
            <w:tcBorders>
              <w:top w:val="single" w:sz="4" w:space="0" w:color="auto"/>
              <w:left w:val="single" w:sz="4" w:space="0" w:color="auto"/>
              <w:bottom w:val="single" w:sz="4" w:space="0" w:color="auto"/>
              <w:right w:val="single" w:sz="4" w:space="0" w:color="auto"/>
            </w:tcBorders>
            <w:vAlign w:val="center"/>
          </w:tcPr>
          <w:p w14:paraId="22964DE2"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lastRenderedPageBreak/>
              <w:t>附件清单（如有）</w:t>
            </w:r>
          </w:p>
        </w:tc>
        <w:tc>
          <w:tcPr>
            <w:tcW w:w="7512" w:type="dxa"/>
            <w:tcBorders>
              <w:top w:val="single" w:sz="4" w:space="0" w:color="auto"/>
              <w:left w:val="single" w:sz="4" w:space="0" w:color="auto"/>
              <w:bottom w:val="single" w:sz="4" w:space="0" w:color="auto"/>
              <w:right w:val="single" w:sz="4" w:space="0" w:color="auto"/>
            </w:tcBorders>
            <w:vAlign w:val="center"/>
          </w:tcPr>
          <w:p w14:paraId="7B368F8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无</w:t>
            </w:r>
          </w:p>
        </w:tc>
      </w:tr>
    </w:tbl>
    <w:p w14:paraId="59DA99BC" w14:textId="77777777" w:rsidR="009A52D0" w:rsidRDefault="009A52D0">
      <w:pPr>
        <w:rPr>
          <w:rFonts w:asciiTheme="minorEastAsia" w:eastAsiaTheme="minorEastAsia" w:hAnsiTheme="minorEastAsia" w:hint="eastAsia"/>
          <w:sz w:val="24"/>
        </w:rPr>
      </w:pPr>
    </w:p>
    <w:sectPr w:rsidR="009A5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970C" w14:textId="77777777" w:rsidR="0064555B" w:rsidRDefault="0064555B" w:rsidP="00AF46A0">
      <w:r>
        <w:separator/>
      </w:r>
    </w:p>
  </w:endnote>
  <w:endnote w:type="continuationSeparator" w:id="0">
    <w:p w14:paraId="6F6CA5F7" w14:textId="77777777" w:rsidR="0064555B" w:rsidRDefault="0064555B" w:rsidP="00AF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0DB9" w14:textId="77777777" w:rsidR="0064555B" w:rsidRDefault="0064555B" w:rsidP="00AF46A0">
      <w:r>
        <w:separator/>
      </w:r>
    </w:p>
  </w:footnote>
  <w:footnote w:type="continuationSeparator" w:id="0">
    <w:p w14:paraId="274AD055" w14:textId="77777777" w:rsidR="0064555B" w:rsidRDefault="0064555B" w:rsidP="00AF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68340"/>
    <w:multiLevelType w:val="multilevel"/>
    <w:tmpl w:val="5E968340"/>
    <w:lvl w:ilvl="0">
      <w:start w:val="1"/>
      <w:numFmt w:val="chineseCounting"/>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num w:numId="1" w16cid:durableId="6770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1362"/>
    <w:rsid w:val="0000397F"/>
    <w:rsid w:val="00003DD6"/>
    <w:rsid w:val="0000470A"/>
    <w:rsid w:val="0000521C"/>
    <w:rsid w:val="00005236"/>
    <w:rsid w:val="00005DB8"/>
    <w:rsid w:val="00010CDD"/>
    <w:rsid w:val="0001325A"/>
    <w:rsid w:val="00013DCA"/>
    <w:rsid w:val="0001428C"/>
    <w:rsid w:val="000159F9"/>
    <w:rsid w:val="0001693A"/>
    <w:rsid w:val="00021831"/>
    <w:rsid w:val="00024AB5"/>
    <w:rsid w:val="00026C90"/>
    <w:rsid w:val="00030983"/>
    <w:rsid w:val="00031E25"/>
    <w:rsid w:val="00033EEB"/>
    <w:rsid w:val="0004489A"/>
    <w:rsid w:val="00047742"/>
    <w:rsid w:val="00053E29"/>
    <w:rsid w:val="000606B2"/>
    <w:rsid w:val="00061001"/>
    <w:rsid w:val="00061150"/>
    <w:rsid w:val="00063413"/>
    <w:rsid w:val="00065498"/>
    <w:rsid w:val="0007244E"/>
    <w:rsid w:val="00072888"/>
    <w:rsid w:val="000748D0"/>
    <w:rsid w:val="00075097"/>
    <w:rsid w:val="00081A48"/>
    <w:rsid w:val="00081C4E"/>
    <w:rsid w:val="00090112"/>
    <w:rsid w:val="00093050"/>
    <w:rsid w:val="00094853"/>
    <w:rsid w:val="00094F7E"/>
    <w:rsid w:val="00096618"/>
    <w:rsid w:val="000A5B02"/>
    <w:rsid w:val="000A7C0E"/>
    <w:rsid w:val="000B2D5A"/>
    <w:rsid w:val="000B3259"/>
    <w:rsid w:val="000B5CE2"/>
    <w:rsid w:val="000C5D9D"/>
    <w:rsid w:val="000C7C37"/>
    <w:rsid w:val="000D0633"/>
    <w:rsid w:val="000D3C79"/>
    <w:rsid w:val="000D6B7C"/>
    <w:rsid w:val="000E6F2A"/>
    <w:rsid w:val="000E7CD2"/>
    <w:rsid w:val="000F2CC8"/>
    <w:rsid w:val="000F3ABB"/>
    <w:rsid w:val="000F43AE"/>
    <w:rsid w:val="000F573D"/>
    <w:rsid w:val="00101D55"/>
    <w:rsid w:val="00101F05"/>
    <w:rsid w:val="00102409"/>
    <w:rsid w:val="001046BF"/>
    <w:rsid w:val="001055CA"/>
    <w:rsid w:val="0010632F"/>
    <w:rsid w:val="0010650A"/>
    <w:rsid w:val="00106C34"/>
    <w:rsid w:val="001167A9"/>
    <w:rsid w:val="00126274"/>
    <w:rsid w:val="00127E45"/>
    <w:rsid w:val="00127F99"/>
    <w:rsid w:val="001338B7"/>
    <w:rsid w:val="001360ED"/>
    <w:rsid w:val="00140F29"/>
    <w:rsid w:val="00142CF5"/>
    <w:rsid w:val="001456CE"/>
    <w:rsid w:val="00150323"/>
    <w:rsid w:val="00150D63"/>
    <w:rsid w:val="0015476A"/>
    <w:rsid w:val="00163C38"/>
    <w:rsid w:val="00164B90"/>
    <w:rsid w:val="0017035A"/>
    <w:rsid w:val="00173F07"/>
    <w:rsid w:val="00175B87"/>
    <w:rsid w:val="00185DB6"/>
    <w:rsid w:val="001873F8"/>
    <w:rsid w:val="0019575B"/>
    <w:rsid w:val="00197344"/>
    <w:rsid w:val="001A204E"/>
    <w:rsid w:val="001A36D0"/>
    <w:rsid w:val="001A48E1"/>
    <w:rsid w:val="001A4B98"/>
    <w:rsid w:val="001B100A"/>
    <w:rsid w:val="001B3F9F"/>
    <w:rsid w:val="001B6B57"/>
    <w:rsid w:val="001C1243"/>
    <w:rsid w:val="001C63BB"/>
    <w:rsid w:val="001D2B16"/>
    <w:rsid w:val="001D645E"/>
    <w:rsid w:val="001E0253"/>
    <w:rsid w:val="001E69B0"/>
    <w:rsid w:val="001F2DCA"/>
    <w:rsid w:val="001F2DCB"/>
    <w:rsid w:val="001F7305"/>
    <w:rsid w:val="00204802"/>
    <w:rsid w:val="00207464"/>
    <w:rsid w:val="002105E7"/>
    <w:rsid w:val="00211800"/>
    <w:rsid w:val="002208FF"/>
    <w:rsid w:val="002254B7"/>
    <w:rsid w:val="002310FD"/>
    <w:rsid w:val="00232B1E"/>
    <w:rsid w:val="00236B2E"/>
    <w:rsid w:val="00241988"/>
    <w:rsid w:val="00253E80"/>
    <w:rsid w:val="00254435"/>
    <w:rsid w:val="00257A29"/>
    <w:rsid w:val="00257E2A"/>
    <w:rsid w:val="00263AED"/>
    <w:rsid w:val="00264CD6"/>
    <w:rsid w:val="002704A4"/>
    <w:rsid w:val="00271563"/>
    <w:rsid w:val="002727C3"/>
    <w:rsid w:val="002730B7"/>
    <w:rsid w:val="0029108D"/>
    <w:rsid w:val="00295985"/>
    <w:rsid w:val="002965CE"/>
    <w:rsid w:val="002A5AF4"/>
    <w:rsid w:val="002A7EDF"/>
    <w:rsid w:val="002B01F0"/>
    <w:rsid w:val="002B0DF9"/>
    <w:rsid w:val="002B1076"/>
    <w:rsid w:val="002B18FE"/>
    <w:rsid w:val="002B2589"/>
    <w:rsid w:val="002B7325"/>
    <w:rsid w:val="002B7A57"/>
    <w:rsid w:val="002B7F56"/>
    <w:rsid w:val="002C2DCA"/>
    <w:rsid w:val="002C51DE"/>
    <w:rsid w:val="002C7E6A"/>
    <w:rsid w:val="002D35EF"/>
    <w:rsid w:val="002D44E1"/>
    <w:rsid w:val="002D56F3"/>
    <w:rsid w:val="002D5BD4"/>
    <w:rsid w:val="002D79EB"/>
    <w:rsid w:val="002E0170"/>
    <w:rsid w:val="002E1243"/>
    <w:rsid w:val="002E18CB"/>
    <w:rsid w:val="002F3F9A"/>
    <w:rsid w:val="002F47F7"/>
    <w:rsid w:val="002F4F07"/>
    <w:rsid w:val="00302C05"/>
    <w:rsid w:val="00310081"/>
    <w:rsid w:val="0031221B"/>
    <w:rsid w:val="003140E1"/>
    <w:rsid w:val="003156CA"/>
    <w:rsid w:val="00316303"/>
    <w:rsid w:val="0031669E"/>
    <w:rsid w:val="003177E9"/>
    <w:rsid w:val="00317C46"/>
    <w:rsid w:val="00321406"/>
    <w:rsid w:val="00323B6C"/>
    <w:rsid w:val="003266CB"/>
    <w:rsid w:val="0033078E"/>
    <w:rsid w:val="00331FDF"/>
    <w:rsid w:val="0034410E"/>
    <w:rsid w:val="00345832"/>
    <w:rsid w:val="003465D4"/>
    <w:rsid w:val="0035067D"/>
    <w:rsid w:val="00353868"/>
    <w:rsid w:val="00356D4F"/>
    <w:rsid w:val="00363866"/>
    <w:rsid w:val="00364DAF"/>
    <w:rsid w:val="003661EF"/>
    <w:rsid w:val="0037154C"/>
    <w:rsid w:val="00371EF6"/>
    <w:rsid w:val="00372FC3"/>
    <w:rsid w:val="0038132A"/>
    <w:rsid w:val="00383753"/>
    <w:rsid w:val="00383AEE"/>
    <w:rsid w:val="00383C1A"/>
    <w:rsid w:val="003919D8"/>
    <w:rsid w:val="0039241D"/>
    <w:rsid w:val="00393B64"/>
    <w:rsid w:val="00393C4A"/>
    <w:rsid w:val="00395D93"/>
    <w:rsid w:val="0039601B"/>
    <w:rsid w:val="003A03DC"/>
    <w:rsid w:val="003B23DD"/>
    <w:rsid w:val="003B6EB9"/>
    <w:rsid w:val="003C0CEB"/>
    <w:rsid w:val="003C255A"/>
    <w:rsid w:val="003C5331"/>
    <w:rsid w:val="003C6671"/>
    <w:rsid w:val="003C7A36"/>
    <w:rsid w:val="003D40ED"/>
    <w:rsid w:val="003D52F3"/>
    <w:rsid w:val="003D6B9C"/>
    <w:rsid w:val="003E085E"/>
    <w:rsid w:val="003E25FB"/>
    <w:rsid w:val="003E4C92"/>
    <w:rsid w:val="003E4F63"/>
    <w:rsid w:val="003E5884"/>
    <w:rsid w:val="003F3490"/>
    <w:rsid w:val="003F5608"/>
    <w:rsid w:val="003F6937"/>
    <w:rsid w:val="003F79F2"/>
    <w:rsid w:val="00400470"/>
    <w:rsid w:val="0040303E"/>
    <w:rsid w:val="0040635B"/>
    <w:rsid w:val="00410D77"/>
    <w:rsid w:val="00412EE4"/>
    <w:rsid w:val="00416B0D"/>
    <w:rsid w:val="00416CD5"/>
    <w:rsid w:val="00421F93"/>
    <w:rsid w:val="00423456"/>
    <w:rsid w:val="004322E9"/>
    <w:rsid w:val="004323C8"/>
    <w:rsid w:val="0043467D"/>
    <w:rsid w:val="00436881"/>
    <w:rsid w:val="00445B27"/>
    <w:rsid w:val="0045080C"/>
    <w:rsid w:val="00467FFB"/>
    <w:rsid w:val="00474712"/>
    <w:rsid w:val="00483FA0"/>
    <w:rsid w:val="00484085"/>
    <w:rsid w:val="0048474A"/>
    <w:rsid w:val="004907BC"/>
    <w:rsid w:val="004918E5"/>
    <w:rsid w:val="004968FD"/>
    <w:rsid w:val="004A19FA"/>
    <w:rsid w:val="004A6F59"/>
    <w:rsid w:val="004A717F"/>
    <w:rsid w:val="004A76BD"/>
    <w:rsid w:val="004B21AA"/>
    <w:rsid w:val="004B75E6"/>
    <w:rsid w:val="004C2DE4"/>
    <w:rsid w:val="004C6F66"/>
    <w:rsid w:val="004D0C83"/>
    <w:rsid w:val="004D1D23"/>
    <w:rsid w:val="004D2978"/>
    <w:rsid w:val="004D4881"/>
    <w:rsid w:val="004D5C2B"/>
    <w:rsid w:val="004E2545"/>
    <w:rsid w:val="004E2EA5"/>
    <w:rsid w:val="004F214A"/>
    <w:rsid w:val="004F42CE"/>
    <w:rsid w:val="004F6C0B"/>
    <w:rsid w:val="0050160F"/>
    <w:rsid w:val="005046B9"/>
    <w:rsid w:val="005111BC"/>
    <w:rsid w:val="00512637"/>
    <w:rsid w:val="00514EFF"/>
    <w:rsid w:val="00517E05"/>
    <w:rsid w:val="005322FD"/>
    <w:rsid w:val="00535EE7"/>
    <w:rsid w:val="00536043"/>
    <w:rsid w:val="00536C2C"/>
    <w:rsid w:val="00543237"/>
    <w:rsid w:val="005435EE"/>
    <w:rsid w:val="00545F4A"/>
    <w:rsid w:val="00547BC9"/>
    <w:rsid w:val="005513E0"/>
    <w:rsid w:val="00554338"/>
    <w:rsid w:val="0056370F"/>
    <w:rsid w:val="00563C03"/>
    <w:rsid w:val="00571D12"/>
    <w:rsid w:val="005724D8"/>
    <w:rsid w:val="00583188"/>
    <w:rsid w:val="0059198E"/>
    <w:rsid w:val="00594590"/>
    <w:rsid w:val="005A57F2"/>
    <w:rsid w:val="005B0F30"/>
    <w:rsid w:val="005B200F"/>
    <w:rsid w:val="005B2494"/>
    <w:rsid w:val="005B2E55"/>
    <w:rsid w:val="005B5772"/>
    <w:rsid w:val="005C0172"/>
    <w:rsid w:val="005C1D0A"/>
    <w:rsid w:val="005C1F06"/>
    <w:rsid w:val="005D63A4"/>
    <w:rsid w:val="005D685C"/>
    <w:rsid w:val="005E33A4"/>
    <w:rsid w:val="005E5EEE"/>
    <w:rsid w:val="005E7B51"/>
    <w:rsid w:val="005F0E3D"/>
    <w:rsid w:val="005F2892"/>
    <w:rsid w:val="005F36A2"/>
    <w:rsid w:val="005F4838"/>
    <w:rsid w:val="00603352"/>
    <w:rsid w:val="006110F2"/>
    <w:rsid w:val="00611437"/>
    <w:rsid w:val="0061149D"/>
    <w:rsid w:val="0062688F"/>
    <w:rsid w:val="00626C57"/>
    <w:rsid w:val="0062704A"/>
    <w:rsid w:val="00627AB7"/>
    <w:rsid w:val="006314DA"/>
    <w:rsid w:val="00633201"/>
    <w:rsid w:val="00633757"/>
    <w:rsid w:val="00635676"/>
    <w:rsid w:val="0064555B"/>
    <w:rsid w:val="00652293"/>
    <w:rsid w:val="00661F69"/>
    <w:rsid w:val="0066336A"/>
    <w:rsid w:val="0067098F"/>
    <w:rsid w:val="006717D6"/>
    <w:rsid w:val="00672FF7"/>
    <w:rsid w:val="00673FC9"/>
    <w:rsid w:val="00676843"/>
    <w:rsid w:val="00677463"/>
    <w:rsid w:val="00682777"/>
    <w:rsid w:val="0068378E"/>
    <w:rsid w:val="00684843"/>
    <w:rsid w:val="006903D6"/>
    <w:rsid w:val="006A2252"/>
    <w:rsid w:val="006B0F96"/>
    <w:rsid w:val="006B6BBE"/>
    <w:rsid w:val="006B72F6"/>
    <w:rsid w:val="006C4F51"/>
    <w:rsid w:val="006C56CC"/>
    <w:rsid w:val="006C5E0D"/>
    <w:rsid w:val="006C6500"/>
    <w:rsid w:val="006C672C"/>
    <w:rsid w:val="006D7C23"/>
    <w:rsid w:val="006E1817"/>
    <w:rsid w:val="006E1D7E"/>
    <w:rsid w:val="006E4AE2"/>
    <w:rsid w:val="006E5123"/>
    <w:rsid w:val="006F0573"/>
    <w:rsid w:val="006F2EE3"/>
    <w:rsid w:val="006F3B32"/>
    <w:rsid w:val="006F47A8"/>
    <w:rsid w:val="00705924"/>
    <w:rsid w:val="007121FA"/>
    <w:rsid w:val="007137EC"/>
    <w:rsid w:val="0072075B"/>
    <w:rsid w:val="00720B2A"/>
    <w:rsid w:val="00720E61"/>
    <w:rsid w:val="00722B99"/>
    <w:rsid w:val="00732A55"/>
    <w:rsid w:val="007330D7"/>
    <w:rsid w:val="00733BBD"/>
    <w:rsid w:val="00736069"/>
    <w:rsid w:val="00741C58"/>
    <w:rsid w:val="00742DA4"/>
    <w:rsid w:val="00743001"/>
    <w:rsid w:val="00755769"/>
    <w:rsid w:val="007557C3"/>
    <w:rsid w:val="007603CE"/>
    <w:rsid w:val="00761AAC"/>
    <w:rsid w:val="00765CAD"/>
    <w:rsid w:val="00766F10"/>
    <w:rsid w:val="00771F12"/>
    <w:rsid w:val="00774911"/>
    <w:rsid w:val="00775186"/>
    <w:rsid w:val="00776066"/>
    <w:rsid w:val="00784E41"/>
    <w:rsid w:val="00787A19"/>
    <w:rsid w:val="00793663"/>
    <w:rsid w:val="00797367"/>
    <w:rsid w:val="007A20D8"/>
    <w:rsid w:val="007A4FB4"/>
    <w:rsid w:val="007A5149"/>
    <w:rsid w:val="007A7B06"/>
    <w:rsid w:val="007B21F4"/>
    <w:rsid w:val="007B3016"/>
    <w:rsid w:val="007B5734"/>
    <w:rsid w:val="007B595A"/>
    <w:rsid w:val="007B60E8"/>
    <w:rsid w:val="007B75D2"/>
    <w:rsid w:val="007C0716"/>
    <w:rsid w:val="007C7150"/>
    <w:rsid w:val="007D06D2"/>
    <w:rsid w:val="007D11BD"/>
    <w:rsid w:val="007D4035"/>
    <w:rsid w:val="007D54F1"/>
    <w:rsid w:val="007D6087"/>
    <w:rsid w:val="007E1997"/>
    <w:rsid w:val="007E20CA"/>
    <w:rsid w:val="007E2ED8"/>
    <w:rsid w:val="007E4422"/>
    <w:rsid w:val="007E520F"/>
    <w:rsid w:val="007E7F8E"/>
    <w:rsid w:val="007F0865"/>
    <w:rsid w:val="007F0D15"/>
    <w:rsid w:val="007F508B"/>
    <w:rsid w:val="007F5244"/>
    <w:rsid w:val="00802338"/>
    <w:rsid w:val="008029D8"/>
    <w:rsid w:val="0080421F"/>
    <w:rsid w:val="008051A5"/>
    <w:rsid w:val="00805FB4"/>
    <w:rsid w:val="008061BF"/>
    <w:rsid w:val="00813CED"/>
    <w:rsid w:val="0081747A"/>
    <w:rsid w:val="00817EC6"/>
    <w:rsid w:val="00821068"/>
    <w:rsid w:val="008218DA"/>
    <w:rsid w:val="00821960"/>
    <w:rsid w:val="00822C72"/>
    <w:rsid w:val="00826770"/>
    <w:rsid w:val="008270C0"/>
    <w:rsid w:val="008276CD"/>
    <w:rsid w:val="008312BD"/>
    <w:rsid w:val="008334DF"/>
    <w:rsid w:val="00833925"/>
    <w:rsid w:val="00834169"/>
    <w:rsid w:val="00840DF8"/>
    <w:rsid w:val="00841011"/>
    <w:rsid w:val="00844E5D"/>
    <w:rsid w:val="008467E7"/>
    <w:rsid w:val="008500A2"/>
    <w:rsid w:val="00853DE8"/>
    <w:rsid w:val="008576DF"/>
    <w:rsid w:val="00857D4C"/>
    <w:rsid w:val="008638D7"/>
    <w:rsid w:val="008672FE"/>
    <w:rsid w:val="008719D9"/>
    <w:rsid w:val="00873F72"/>
    <w:rsid w:val="0087437A"/>
    <w:rsid w:val="008745E2"/>
    <w:rsid w:val="00876708"/>
    <w:rsid w:val="0088182B"/>
    <w:rsid w:val="008856C5"/>
    <w:rsid w:val="00886029"/>
    <w:rsid w:val="00890047"/>
    <w:rsid w:val="00892E74"/>
    <w:rsid w:val="008A32A4"/>
    <w:rsid w:val="008B05EC"/>
    <w:rsid w:val="008B41C7"/>
    <w:rsid w:val="008B5EFE"/>
    <w:rsid w:val="008B72A6"/>
    <w:rsid w:val="008C291E"/>
    <w:rsid w:val="008C54C0"/>
    <w:rsid w:val="008C7627"/>
    <w:rsid w:val="008C7A7B"/>
    <w:rsid w:val="008D3001"/>
    <w:rsid w:val="008D653D"/>
    <w:rsid w:val="008D6F81"/>
    <w:rsid w:val="008E54ED"/>
    <w:rsid w:val="008F4EC5"/>
    <w:rsid w:val="008F7DF5"/>
    <w:rsid w:val="00914220"/>
    <w:rsid w:val="0092365B"/>
    <w:rsid w:val="00930D48"/>
    <w:rsid w:val="00931070"/>
    <w:rsid w:val="00931CED"/>
    <w:rsid w:val="00942700"/>
    <w:rsid w:val="0096012D"/>
    <w:rsid w:val="00964CA0"/>
    <w:rsid w:val="0096533F"/>
    <w:rsid w:val="0097083D"/>
    <w:rsid w:val="00980B7A"/>
    <w:rsid w:val="009813F2"/>
    <w:rsid w:val="00984B93"/>
    <w:rsid w:val="00995A4A"/>
    <w:rsid w:val="0099611E"/>
    <w:rsid w:val="009A1566"/>
    <w:rsid w:val="009A18E2"/>
    <w:rsid w:val="009A52D0"/>
    <w:rsid w:val="009A6C88"/>
    <w:rsid w:val="009B415B"/>
    <w:rsid w:val="009C5FEB"/>
    <w:rsid w:val="009C67E7"/>
    <w:rsid w:val="009D3189"/>
    <w:rsid w:val="009E084A"/>
    <w:rsid w:val="009E3E2F"/>
    <w:rsid w:val="009E442C"/>
    <w:rsid w:val="009E7BB8"/>
    <w:rsid w:val="009F23BF"/>
    <w:rsid w:val="009F484B"/>
    <w:rsid w:val="009F4B95"/>
    <w:rsid w:val="00A00277"/>
    <w:rsid w:val="00A00A05"/>
    <w:rsid w:val="00A01EF7"/>
    <w:rsid w:val="00A0360B"/>
    <w:rsid w:val="00A0538F"/>
    <w:rsid w:val="00A06F71"/>
    <w:rsid w:val="00A12BA6"/>
    <w:rsid w:val="00A12D7C"/>
    <w:rsid w:val="00A1392F"/>
    <w:rsid w:val="00A152C7"/>
    <w:rsid w:val="00A16E23"/>
    <w:rsid w:val="00A1719D"/>
    <w:rsid w:val="00A20A7F"/>
    <w:rsid w:val="00A22448"/>
    <w:rsid w:val="00A234C7"/>
    <w:rsid w:val="00A267F3"/>
    <w:rsid w:val="00A27865"/>
    <w:rsid w:val="00A3593D"/>
    <w:rsid w:val="00A408F6"/>
    <w:rsid w:val="00A41773"/>
    <w:rsid w:val="00A432EF"/>
    <w:rsid w:val="00A43656"/>
    <w:rsid w:val="00A4402B"/>
    <w:rsid w:val="00A524A2"/>
    <w:rsid w:val="00A53938"/>
    <w:rsid w:val="00A54C09"/>
    <w:rsid w:val="00A55BD7"/>
    <w:rsid w:val="00A61979"/>
    <w:rsid w:val="00A647C5"/>
    <w:rsid w:val="00A71001"/>
    <w:rsid w:val="00A7356C"/>
    <w:rsid w:val="00A7381E"/>
    <w:rsid w:val="00A82EB6"/>
    <w:rsid w:val="00A87C40"/>
    <w:rsid w:val="00A90CFB"/>
    <w:rsid w:val="00A9226D"/>
    <w:rsid w:val="00AA1D0C"/>
    <w:rsid w:val="00AA4F1C"/>
    <w:rsid w:val="00AA6AC1"/>
    <w:rsid w:val="00AA6FB6"/>
    <w:rsid w:val="00AB2CC1"/>
    <w:rsid w:val="00AB5025"/>
    <w:rsid w:val="00AC189D"/>
    <w:rsid w:val="00AC2F18"/>
    <w:rsid w:val="00AC4422"/>
    <w:rsid w:val="00AC44A3"/>
    <w:rsid w:val="00AC47F1"/>
    <w:rsid w:val="00AC7F44"/>
    <w:rsid w:val="00AD0CBB"/>
    <w:rsid w:val="00AD15ED"/>
    <w:rsid w:val="00AD189C"/>
    <w:rsid w:val="00AD1D9F"/>
    <w:rsid w:val="00AD2528"/>
    <w:rsid w:val="00AE0899"/>
    <w:rsid w:val="00AE0A86"/>
    <w:rsid w:val="00AE4F9A"/>
    <w:rsid w:val="00AF25AF"/>
    <w:rsid w:val="00AF442F"/>
    <w:rsid w:val="00AF46A0"/>
    <w:rsid w:val="00AF52FE"/>
    <w:rsid w:val="00AF7E8D"/>
    <w:rsid w:val="00B01EA3"/>
    <w:rsid w:val="00B0325B"/>
    <w:rsid w:val="00B06269"/>
    <w:rsid w:val="00B10773"/>
    <w:rsid w:val="00B12539"/>
    <w:rsid w:val="00B149A7"/>
    <w:rsid w:val="00B20959"/>
    <w:rsid w:val="00B22B9C"/>
    <w:rsid w:val="00B32096"/>
    <w:rsid w:val="00B32687"/>
    <w:rsid w:val="00B34F1F"/>
    <w:rsid w:val="00B432BE"/>
    <w:rsid w:val="00B453BC"/>
    <w:rsid w:val="00B51D55"/>
    <w:rsid w:val="00B52A40"/>
    <w:rsid w:val="00B649E7"/>
    <w:rsid w:val="00B65DF2"/>
    <w:rsid w:val="00B70D20"/>
    <w:rsid w:val="00B7235C"/>
    <w:rsid w:val="00B748AC"/>
    <w:rsid w:val="00B76DBD"/>
    <w:rsid w:val="00B8028A"/>
    <w:rsid w:val="00B83398"/>
    <w:rsid w:val="00B83C7F"/>
    <w:rsid w:val="00B90570"/>
    <w:rsid w:val="00B90974"/>
    <w:rsid w:val="00B95BE1"/>
    <w:rsid w:val="00BA07FC"/>
    <w:rsid w:val="00BA3580"/>
    <w:rsid w:val="00BA452D"/>
    <w:rsid w:val="00BB0379"/>
    <w:rsid w:val="00BB15EA"/>
    <w:rsid w:val="00BB35BE"/>
    <w:rsid w:val="00BB5EB5"/>
    <w:rsid w:val="00BB6414"/>
    <w:rsid w:val="00BC54B6"/>
    <w:rsid w:val="00BC7DC8"/>
    <w:rsid w:val="00BD492D"/>
    <w:rsid w:val="00BD4B2D"/>
    <w:rsid w:val="00BE4AAF"/>
    <w:rsid w:val="00BE50B5"/>
    <w:rsid w:val="00BF30DC"/>
    <w:rsid w:val="00C02D81"/>
    <w:rsid w:val="00C03A94"/>
    <w:rsid w:val="00C05FC2"/>
    <w:rsid w:val="00C076C0"/>
    <w:rsid w:val="00C12070"/>
    <w:rsid w:val="00C271A3"/>
    <w:rsid w:val="00C27342"/>
    <w:rsid w:val="00C32498"/>
    <w:rsid w:val="00C34690"/>
    <w:rsid w:val="00C35740"/>
    <w:rsid w:val="00C4028C"/>
    <w:rsid w:val="00C40C65"/>
    <w:rsid w:val="00C43441"/>
    <w:rsid w:val="00C53026"/>
    <w:rsid w:val="00C605E7"/>
    <w:rsid w:val="00C61026"/>
    <w:rsid w:val="00C66677"/>
    <w:rsid w:val="00C70843"/>
    <w:rsid w:val="00C7213F"/>
    <w:rsid w:val="00C72FE3"/>
    <w:rsid w:val="00C737F2"/>
    <w:rsid w:val="00C77475"/>
    <w:rsid w:val="00C77763"/>
    <w:rsid w:val="00C823E8"/>
    <w:rsid w:val="00C862B5"/>
    <w:rsid w:val="00C86424"/>
    <w:rsid w:val="00C90043"/>
    <w:rsid w:val="00C90817"/>
    <w:rsid w:val="00C971EE"/>
    <w:rsid w:val="00CA5CEC"/>
    <w:rsid w:val="00CA69EB"/>
    <w:rsid w:val="00CB093E"/>
    <w:rsid w:val="00CB33E1"/>
    <w:rsid w:val="00CB4684"/>
    <w:rsid w:val="00CC01D3"/>
    <w:rsid w:val="00CC1CFA"/>
    <w:rsid w:val="00CD1453"/>
    <w:rsid w:val="00CD190D"/>
    <w:rsid w:val="00CD5D2B"/>
    <w:rsid w:val="00CD5E67"/>
    <w:rsid w:val="00CD72DD"/>
    <w:rsid w:val="00CE174C"/>
    <w:rsid w:val="00CE2938"/>
    <w:rsid w:val="00CF3654"/>
    <w:rsid w:val="00CF4F68"/>
    <w:rsid w:val="00CF536F"/>
    <w:rsid w:val="00D0404A"/>
    <w:rsid w:val="00D04549"/>
    <w:rsid w:val="00D04FFD"/>
    <w:rsid w:val="00D14DD4"/>
    <w:rsid w:val="00D201CD"/>
    <w:rsid w:val="00D22F0C"/>
    <w:rsid w:val="00D23797"/>
    <w:rsid w:val="00D23E9F"/>
    <w:rsid w:val="00D25E6A"/>
    <w:rsid w:val="00D335E5"/>
    <w:rsid w:val="00D37903"/>
    <w:rsid w:val="00D42CC5"/>
    <w:rsid w:val="00D430EE"/>
    <w:rsid w:val="00D504F4"/>
    <w:rsid w:val="00D53B96"/>
    <w:rsid w:val="00D5426B"/>
    <w:rsid w:val="00D54A69"/>
    <w:rsid w:val="00D55FA8"/>
    <w:rsid w:val="00D6584D"/>
    <w:rsid w:val="00D6674E"/>
    <w:rsid w:val="00D70729"/>
    <w:rsid w:val="00D70C53"/>
    <w:rsid w:val="00D71F60"/>
    <w:rsid w:val="00D7299A"/>
    <w:rsid w:val="00D7354F"/>
    <w:rsid w:val="00D743A5"/>
    <w:rsid w:val="00D74D58"/>
    <w:rsid w:val="00D77745"/>
    <w:rsid w:val="00D81A60"/>
    <w:rsid w:val="00D86267"/>
    <w:rsid w:val="00D87C28"/>
    <w:rsid w:val="00D91FF8"/>
    <w:rsid w:val="00D9273E"/>
    <w:rsid w:val="00D97BE2"/>
    <w:rsid w:val="00DA1A87"/>
    <w:rsid w:val="00DA322D"/>
    <w:rsid w:val="00DA3287"/>
    <w:rsid w:val="00DA63FF"/>
    <w:rsid w:val="00DA7D3A"/>
    <w:rsid w:val="00DB05E6"/>
    <w:rsid w:val="00DB2F73"/>
    <w:rsid w:val="00DB361F"/>
    <w:rsid w:val="00DC33D5"/>
    <w:rsid w:val="00DC417C"/>
    <w:rsid w:val="00DC5F97"/>
    <w:rsid w:val="00DC7B55"/>
    <w:rsid w:val="00DD1A6D"/>
    <w:rsid w:val="00DD5FBD"/>
    <w:rsid w:val="00DD6797"/>
    <w:rsid w:val="00DE0D17"/>
    <w:rsid w:val="00DE1754"/>
    <w:rsid w:val="00DE395E"/>
    <w:rsid w:val="00DE5333"/>
    <w:rsid w:val="00DE7584"/>
    <w:rsid w:val="00DF3C51"/>
    <w:rsid w:val="00E02AFD"/>
    <w:rsid w:val="00E02F5A"/>
    <w:rsid w:val="00E07B2F"/>
    <w:rsid w:val="00E13123"/>
    <w:rsid w:val="00E14880"/>
    <w:rsid w:val="00E233DC"/>
    <w:rsid w:val="00E266A3"/>
    <w:rsid w:val="00E35122"/>
    <w:rsid w:val="00E376BE"/>
    <w:rsid w:val="00E43D79"/>
    <w:rsid w:val="00E46EC8"/>
    <w:rsid w:val="00E510CB"/>
    <w:rsid w:val="00E56378"/>
    <w:rsid w:val="00E5730C"/>
    <w:rsid w:val="00E60662"/>
    <w:rsid w:val="00E61D64"/>
    <w:rsid w:val="00E65B81"/>
    <w:rsid w:val="00E71F61"/>
    <w:rsid w:val="00E81723"/>
    <w:rsid w:val="00E824DC"/>
    <w:rsid w:val="00E91B8A"/>
    <w:rsid w:val="00EA2664"/>
    <w:rsid w:val="00EB17C9"/>
    <w:rsid w:val="00EB2CB8"/>
    <w:rsid w:val="00EB55FB"/>
    <w:rsid w:val="00EB61A8"/>
    <w:rsid w:val="00EC14E6"/>
    <w:rsid w:val="00EC191E"/>
    <w:rsid w:val="00EC5B0F"/>
    <w:rsid w:val="00EC6C34"/>
    <w:rsid w:val="00EE2F8A"/>
    <w:rsid w:val="00EF25D2"/>
    <w:rsid w:val="00EF267D"/>
    <w:rsid w:val="00EF2FE4"/>
    <w:rsid w:val="00EF4F22"/>
    <w:rsid w:val="00EF54BD"/>
    <w:rsid w:val="00EF785D"/>
    <w:rsid w:val="00EF7F19"/>
    <w:rsid w:val="00F021E0"/>
    <w:rsid w:val="00F02504"/>
    <w:rsid w:val="00F14CCC"/>
    <w:rsid w:val="00F17AB0"/>
    <w:rsid w:val="00F24938"/>
    <w:rsid w:val="00F26557"/>
    <w:rsid w:val="00F26807"/>
    <w:rsid w:val="00F32977"/>
    <w:rsid w:val="00F338F4"/>
    <w:rsid w:val="00F35448"/>
    <w:rsid w:val="00F37976"/>
    <w:rsid w:val="00F421A5"/>
    <w:rsid w:val="00F44373"/>
    <w:rsid w:val="00F56196"/>
    <w:rsid w:val="00F561C2"/>
    <w:rsid w:val="00F56B4B"/>
    <w:rsid w:val="00F57F04"/>
    <w:rsid w:val="00F605D5"/>
    <w:rsid w:val="00F636D3"/>
    <w:rsid w:val="00F64652"/>
    <w:rsid w:val="00F64E8D"/>
    <w:rsid w:val="00F728FD"/>
    <w:rsid w:val="00F745D9"/>
    <w:rsid w:val="00F75131"/>
    <w:rsid w:val="00F815B4"/>
    <w:rsid w:val="00F866EB"/>
    <w:rsid w:val="00F87994"/>
    <w:rsid w:val="00F902B4"/>
    <w:rsid w:val="00F91097"/>
    <w:rsid w:val="00FA111C"/>
    <w:rsid w:val="00FB120E"/>
    <w:rsid w:val="00FB14CB"/>
    <w:rsid w:val="00FB1619"/>
    <w:rsid w:val="00FB1745"/>
    <w:rsid w:val="00FB1E60"/>
    <w:rsid w:val="00FB320E"/>
    <w:rsid w:val="00FC7795"/>
    <w:rsid w:val="00FD08DB"/>
    <w:rsid w:val="00FD0CB5"/>
    <w:rsid w:val="00FD136E"/>
    <w:rsid w:val="00FD1D60"/>
    <w:rsid w:val="00FD3F2E"/>
    <w:rsid w:val="00FD6CD4"/>
    <w:rsid w:val="00FF1E1F"/>
    <w:rsid w:val="00FF68C2"/>
    <w:rsid w:val="00FF7EB8"/>
    <w:rsid w:val="097C3D4B"/>
    <w:rsid w:val="35CEEC7D"/>
    <w:rsid w:val="367953DF"/>
    <w:rsid w:val="38080D1C"/>
    <w:rsid w:val="41162721"/>
    <w:rsid w:val="447E358A"/>
    <w:rsid w:val="46557B24"/>
    <w:rsid w:val="5CFFBAC6"/>
    <w:rsid w:val="5FBF07D5"/>
    <w:rsid w:val="62DA4EE0"/>
    <w:rsid w:val="7B6C46EB"/>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58F1B"/>
  <w15:docId w15:val="{117D0513-F66D-46AE-8A48-988ECE26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1"/>
    <w:uiPriority w:val="99"/>
    <w:unhideWhenUsed/>
    <w:qFormat/>
    <w:pPr>
      <w:widowControl/>
      <w:snapToGrid w:val="0"/>
      <w:spacing w:beforeLines="50" w:before="50" w:line="360" w:lineRule="auto"/>
      <w:ind w:firstLineChars="200" w:firstLine="200"/>
      <w:jc w:val="left"/>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styleId="af4">
    <w:name w:val="footnote reference"/>
    <w:uiPriority w:val="99"/>
    <w:unhideWhenUsed/>
    <w:qFormat/>
    <w:rPr>
      <w:vertAlign w:val="superscript"/>
    </w:rPr>
  </w:style>
  <w:style w:type="paragraph" w:styleId="af5">
    <w:name w:val="List Paragraph"/>
    <w:basedOn w:val="a"/>
    <w:link w:val="af6"/>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f7">
    <w:name w:val="申报书正文 字符"/>
    <w:link w:val="af8"/>
    <w:qFormat/>
    <w:locked/>
    <w:rPr>
      <w:rFonts w:ascii="Times New Roman" w:eastAsia="宋体" w:hAnsi="Times New Roman" w:cs="Times New Roman"/>
      <w:sz w:val="24"/>
      <w:szCs w:val="24"/>
    </w:rPr>
  </w:style>
  <w:style w:type="paragraph" w:customStyle="1" w:styleId="af8">
    <w:name w:val="申报书正文"/>
    <w:basedOn w:val="a"/>
    <w:link w:val="af7"/>
    <w:qFormat/>
    <w:pPr>
      <w:snapToGrid w:val="0"/>
      <w:spacing w:beforeLines="50" w:afterLines="50" w:line="360" w:lineRule="auto"/>
      <w:ind w:firstLineChars="200" w:firstLine="200"/>
    </w:pPr>
    <w:rPr>
      <w:sz w:val="24"/>
    </w:rPr>
  </w:style>
  <w:style w:type="paragraph" w:customStyle="1" w:styleId="10">
    <w:name w:val="修订1"/>
    <w:hidden/>
    <w:uiPriority w:val="99"/>
    <w:semiHidden/>
    <w:qFormat/>
    <w:rPr>
      <w:kern w:val="2"/>
      <w:sz w:val="21"/>
      <w:szCs w:val="24"/>
    </w:rPr>
  </w:style>
  <w:style w:type="paragraph" w:customStyle="1" w:styleId="af9">
    <w:name w:val="标题四"/>
    <w:basedOn w:val="a"/>
    <w:link w:val="Char"/>
    <w:qFormat/>
    <w:pPr>
      <w:spacing w:beforeLines="50" w:before="120" w:afterLines="50" w:after="120" w:line="360" w:lineRule="auto"/>
      <w:ind w:firstLineChars="200" w:firstLine="482"/>
      <w:outlineLvl w:val="3"/>
    </w:pPr>
    <w:rPr>
      <w:b/>
      <w:sz w:val="24"/>
      <w:szCs w:val="20"/>
    </w:rPr>
  </w:style>
  <w:style w:type="character" w:customStyle="1" w:styleId="Char">
    <w:name w:val="标题四 Char"/>
    <w:link w:val="af9"/>
    <w:qFormat/>
    <w:rPr>
      <w:b/>
      <w:kern w:val="2"/>
      <w:sz w:val="24"/>
    </w:rPr>
  </w:style>
  <w:style w:type="character" w:customStyle="1" w:styleId="afa">
    <w:name w:val="脚注文本 字符"/>
    <w:basedOn w:val="a0"/>
    <w:uiPriority w:val="99"/>
    <w:semiHidden/>
    <w:qFormat/>
    <w:rPr>
      <w:kern w:val="2"/>
      <w:sz w:val="18"/>
      <w:szCs w:val="18"/>
    </w:rPr>
  </w:style>
  <w:style w:type="character" w:customStyle="1" w:styleId="1">
    <w:name w:val="脚注文本 字符1"/>
    <w:link w:val="ab"/>
    <w:uiPriority w:val="99"/>
    <w:qFormat/>
    <w:rPr>
      <w:kern w:val="2"/>
      <w:sz w:val="18"/>
      <w:szCs w:val="18"/>
    </w:rPr>
  </w:style>
  <w:style w:type="paragraph" w:customStyle="1" w:styleId="005">
    <w:name w:val="005正文"/>
    <w:link w:val="005Char"/>
    <w:qFormat/>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Pr>
      <w:kern w:val="2"/>
      <w:sz w:val="24"/>
      <w:szCs w:val="22"/>
    </w:rPr>
  </w:style>
  <w:style w:type="paragraph" w:customStyle="1" w:styleId="004">
    <w:name w:val="004四级标题"/>
    <w:link w:val="004Char"/>
    <w:qFormat/>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Pr>
      <w:b/>
      <w:bCs/>
      <w:kern w:val="2"/>
      <w:sz w:val="24"/>
      <w:szCs w:val="28"/>
    </w:rPr>
  </w:style>
  <w:style w:type="character" w:customStyle="1" w:styleId="af6">
    <w:name w:val="列表段落 字符"/>
    <w:link w:val="af5"/>
    <w:uiPriority w:val="34"/>
    <w:qFormat/>
    <w:locked/>
    <w:rPr>
      <w:kern w:val="2"/>
      <w:sz w:val="21"/>
      <w:szCs w:val="24"/>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96</cp:revision>
  <cp:lastPrinted>2021-08-20T22:42:00Z</cp:lastPrinted>
  <dcterms:created xsi:type="dcterms:W3CDTF">2024-06-04T06:02:00Z</dcterms:created>
  <dcterms:modified xsi:type="dcterms:W3CDTF">2025-08-30T01:11:00Z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6EB7DA02F848DE9BF4A7F462D6F5675A</vt:lpwstr>
  </property>
  <property fmtid="{D5CDD505-2E9C-101B-9397-08002B2CF9AE}" pid="4" name="KSOTemplateDocerSaveRecord">
    <vt:lpwstr>eyJoZGlkIjoiN2YzMjVmNTM5YjZlZDg1NjY1Mjg5NmJmYWU0MzI4ODUiLCJ1c2VySWQiOiIyNDYxMjEwNjkifQ==</vt:lpwstr>
  </property>
</Properties>
</file>