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96900" w14:textId="210D1E62" w:rsidR="00DC5E46" w:rsidRPr="00880942" w:rsidRDefault="006D0E44" w:rsidP="00DC5E46">
      <w:pPr>
        <w:jc w:val="center"/>
        <w:rPr>
          <w:b/>
          <w:bCs/>
          <w:sz w:val="28"/>
          <w:szCs w:val="28"/>
        </w:rPr>
      </w:pPr>
      <w:r>
        <w:rPr>
          <w:rFonts w:hint="eastAsia"/>
          <w:b/>
          <w:bCs/>
          <w:sz w:val="28"/>
          <w:szCs w:val="28"/>
        </w:rPr>
        <w:t>北京键凯科技</w:t>
      </w:r>
      <w:r w:rsidR="00DC5E46" w:rsidRPr="00880942">
        <w:rPr>
          <w:rFonts w:hint="eastAsia"/>
          <w:b/>
          <w:bCs/>
          <w:sz w:val="28"/>
          <w:szCs w:val="28"/>
        </w:rPr>
        <w:t>股份有限公司</w:t>
      </w:r>
    </w:p>
    <w:p w14:paraId="2ACD5126" w14:textId="0DEB9301" w:rsidR="000E1009" w:rsidRPr="00880942" w:rsidRDefault="00DC5E46" w:rsidP="00DC5E46">
      <w:pPr>
        <w:jc w:val="center"/>
        <w:rPr>
          <w:b/>
          <w:bCs/>
          <w:sz w:val="28"/>
          <w:szCs w:val="28"/>
        </w:rPr>
      </w:pPr>
      <w:r w:rsidRPr="00880942">
        <w:rPr>
          <w:rFonts w:hint="eastAsia"/>
          <w:b/>
          <w:bCs/>
          <w:sz w:val="28"/>
          <w:szCs w:val="28"/>
        </w:rPr>
        <w:t>投资者关系活动记录表</w:t>
      </w:r>
    </w:p>
    <w:p w14:paraId="21734988" w14:textId="5DF18B65" w:rsidR="00DC5E46" w:rsidRPr="00880942" w:rsidRDefault="00E9000F" w:rsidP="00E9000F">
      <w:pPr>
        <w:ind w:firstLineChars="100" w:firstLine="241"/>
        <w:rPr>
          <w:b/>
          <w:bCs/>
          <w:szCs w:val="24"/>
        </w:rPr>
      </w:pPr>
      <w:r>
        <w:rPr>
          <w:rFonts w:hint="eastAsia"/>
          <w:b/>
          <w:bCs/>
          <w:szCs w:val="24"/>
        </w:rPr>
        <w:t>证券简称：</w:t>
      </w:r>
      <w:r w:rsidR="006D0E44">
        <w:rPr>
          <w:rFonts w:hint="eastAsia"/>
          <w:b/>
          <w:bCs/>
          <w:szCs w:val="24"/>
        </w:rPr>
        <w:t>键凯</w:t>
      </w:r>
      <w:proofErr w:type="gramStart"/>
      <w:r w:rsidR="006D0E44">
        <w:rPr>
          <w:rFonts w:hint="eastAsia"/>
          <w:b/>
          <w:bCs/>
          <w:szCs w:val="24"/>
        </w:rPr>
        <w:t>科技</w:t>
      </w:r>
      <w:r>
        <w:rPr>
          <w:rFonts w:hint="eastAsia"/>
          <w:b/>
          <w:bCs/>
          <w:szCs w:val="24"/>
        </w:rPr>
        <w:t xml:space="preserve"> </w:t>
      </w:r>
      <w:r>
        <w:rPr>
          <w:b/>
          <w:bCs/>
          <w:szCs w:val="24"/>
        </w:rPr>
        <w:t xml:space="preserve">    </w:t>
      </w:r>
      <w:r w:rsidR="006D0E44">
        <w:rPr>
          <w:b/>
          <w:bCs/>
          <w:szCs w:val="24"/>
        </w:rPr>
        <w:t xml:space="preserve">  </w:t>
      </w:r>
      <w:r>
        <w:rPr>
          <w:b/>
          <w:bCs/>
          <w:szCs w:val="24"/>
        </w:rPr>
        <w:t xml:space="preserve">    </w:t>
      </w:r>
      <w:r>
        <w:rPr>
          <w:rFonts w:hint="eastAsia"/>
          <w:b/>
          <w:bCs/>
          <w:szCs w:val="24"/>
        </w:rPr>
        <w:t>证券</w:t>
      </w:r>
      <w:proofErr w:type="gramEnd"/>
      <w:r>
        <w:rPr>
          <w:rFonts w:hint="eastAsia"/>
          <w:b/>
          <w:bCs/>
          <w:szCs w:val="24"/>
        </w:rPr>
        <w:t>代码：</w:t>
      </w:r>
      <w:proofErr w:type="gramStart"/>
      <w:r w:rsidR="006D0E44">
        <w:rPr>
          <w:rFonts w:hint="eastAsia"/>
          <w:b/>
          <w:bCs/>
          <w:szCs w:val="24"/>
        </w:rPr>
        <w:t>6</w:t>
      </w:r>
      <w:r w:rsidR="006D0E44">
        <w:rPr>
          <w:b/>
          <w:bCs/>
          <w:szCs w:val="24"/>
        </w:rPr>
        <w:t>88356</w:t>
      </w:r>
      <w:r>
        <w:rPr>
          <w:rFonts w:hint="eastAsia"/>
          <w:b/>
          <w:bCs/>
          <w:szCs w:val="24"/>
        </w:rPr>
        <w:t xml:space="preserve"> </w:t>
      </w:r>
      <w:r>
        <w:rPr>
          <w:b/>
          <w:bCs/>
          <w:szCs w:val="24"/>
        </w:rPr>
        <w:t xml:space="preserve">   </w:t>
      </w:r>
      <w:r w:rsidR="006D0E44">
        <w:rPr>
          <w:b/>
          <w:bCs/>
          <w:szCs w:val="24"/>
        </w:rPr>
        <w:t xml:space="preserve">  </w:t>
      </w:r>
      <w:r>
        <w:rPr>
          <w:b/>
          <w:bCs/>
          <w:szCs w:val="24"/>
        </w:rPr>
        <w:t xml:space="preserve">  </w:t>
      </w:r>
      <w:r w:rsidR="00DC5E46" w:rsidRPr="00880942">
        <w:rPr>
          <w:rFonts w:hint="eastAsia"/>
          <w:b/>
          <w:bCs/>
          <w:szCs w:val="24"/>
        </w:rPr>
        <w:t>编号</w:t>
      </w:r>
      <w:proofErr w:type="gramEnd"/>
      <w:r w:rsidR="00DC5E46" w:rsidRPr="00880942">
        <w:rPr>
          <w:rFonts w:hint="eastAsia"/>
          <w:b/>
          <w:bCs/>
          <w:szCs w:val="24"/>
        </w:rPr>
        <w:t>：</w:t>
      </w:r>
      <w:r w:rsidR="006D0E44">
        <w:rPr>
          <w:rFonts w:hint="eastAsia"/>
          <w:b/>
          <w:bCs/>
          <w:szCs w:val="24"/>
        </w:rPr>
        <w:t>2</w:t>
      </w:r>
      <w:r w:rsidR="006D0E44">
        <w:rPr>
          <w:b/>
          <w:bCs/>
          <w:szCs w:val="24"/>
        </w:rPr>
        <w:t>0</w:t>
      </w:r>
      <w:r w:rsidR="005F114B">
        <w:rPr>
          <w:b/>
          <w:bCs/>
          <w:szCs w:val="24"/>
        </w:rPr>
        <w:t>2</w:t>
      </w:r>
      <w:r w:rsidR="001273C2">
        <w:rPr>
          <w:rFonts w:hint="eastAsia"/>
          <w:b/>
          <w:bCs/>
          <w:szCs w:val="24"/>
        </w:rPr>
        <w:t>5</w:t>
      </w:r>
      <w:r w:rsidR="00861139">
        <w:rPr>
          <w:rFonts w:hint="eastAsia"/>
          <w:b/>
          <w:bCs/>
          <w:szCs w:val="24"/>
        </w:rPr>
        <w:t>-</w:t>
      </w:r>
      <w:r w:rsidR="001A5631">
        <w:rPr>
          <w:rFonts w:hint="eastAsia"/>
          <w:b/>
          <w:bCs/>
          <w:szCs w:val="24"/>
        </w:rPr>
        <w:t>02</w:t>
      </w:r>
    </w:p>
    <w:tbl>
      <w:tblPr>
        <w:tblStyle w:val="a3"/>
        <w:tblW w:w="0" w:type="auto"/>
        <w:tblLook w:val="04A0" w:firstRow="1" w:lastRow="0" w:firstColumn="1" w:lastColumn="0" w:noHBand="0" w:noVBand="1"/>
      </w:tblPr>
      <w:tblGrid>
        <w:gridCol w:w="2405"/>
        <w:gridCol w:w="5891"/>
      </w:tblGrid>
      <w:tr w:rsidR="00DC5E46" w:rsidRPr="009F4679" w14:paraId="425DEA75" w14:textId="77777777" w:rsidTr="009F4679">
        <w:tc>
          <w:tcPr>
            <w:tcW w:w="2405" w:type="dxa"/>
          </w:tcPr>
          <w:p w14:paraId="3ACC6E6D" w14:textId="77777777" w:rsidR="009F4679" w:rsidRPr="009F4679" w:rsidRDefault="009F4679" w:rsidP="009F4679">
            <w:pPr>
              <w:jc w:val="center"/>
              <w:rPr>
                <w:b/>
                <w:bCs/>
                <w:szCs w:val="24"/>
              </w:rPr>
            </w:pPr>
          </w:p>
          <w:p w14:paraId="0C0CBDA3" w14:textId="77777777" w:rsidR="009F4679" w:rsidRPr="009F4679" w:rsidRDefault="009F4679" w:rsidP="009F4679">
            <w:pPr>
              <w:jc w:val="center"/>
              <w:rPr>
                <w:b/>
                <w:bCs/>
                <w:szCs w:val="24"/>
              </w:rPr>
            </w:pPr>
          </w:p>
          <w:p w14:paraId="59CCC54C" w14:textId="6E2B3E95" w:rsidR="009F4679" w:rsidRPr="009F4679" w:rsidRDefault="00DC5E46" w:rsidP="009F4679">
            <w:pPr>
              <w:jc w:val="center"/>
              <w:rPr>
                <w:b/>
                <w:bCs/>
                <w:szCs w:val="24"/>
              </w:rPr>
            </w:pPr>
            <w:r w:rsidRPr="009F4679">
              <w:rPr>
                <w:rFonts w:hint="eastAsia"/>
                <w:b/>
                <w:bCs/>
                <w:szCs w:val="24"/>
              </w:rPr>
              <w:t>投资者关系活动</w:t>
            </w:r>
          </w:p>
          <w:p w14:paraId="6FE21B58" w14:textId="66CCCC76" w:rsidR="00DC5E46" w:rsidRPr="009F4679" w:rsidRDefault="00DC5E46" w:rsidP="009F4679">
            <w:pPr>
              <w:jc w:val="center"/>
              <w:rPr>
                <w:b/>
                <w:bCs/>
                <w:szCs w:val="24"/>
              </w:rPr>
            </w:pPr>
            <w:r w:rsidRPr="009F4679">
              <w:rPr>
                <w:rFonts w:hint="eastAsia"/>
                <w:b/>
                <w:bCs/>
                <w:szCs w:val="24"/>
              </w:rPr>
              <w:t>类别</w:t>
            </w:r>
          </w:p>
        </w:tc>
        <w:tc>
          <w:tcPr>
            <w:tcW w:w="5891" w:type="dxa"/>
          </w:tcPr>
          <w:p w14:paraId="74FDCA8E" w14:textId="5CCC35D6" w:rsidR="003D7850" w:rsidRPr="009F4679" w:rsidRDefault="003D7850" w:rsidP="003D7850">
            <w:pPr>
              <w:spacing w:line="360" w:lineRule="auto"/>
              <w:rPr>
                <w:rFonts w:ascii="宋体" w:hAnsi="宋体" w:hint="eastAsia"/>
                <w:szCs w:val="24"/>
              </w:rPr>
            </w:pPr>
            <w:r w:rsidRPr="009F4679">
              <w:rPr>
                <w:rFonts w:ascii="宋体" w:hAnsi="宋体" w:hint="eastAsia"/>
                <w:szCs w:val="24"/>
              </w:rPr>
              <w:t>□</w:t>
            </w:r>
            <w:proofErr w:type="gramStart"/>
            <w:r w:rsidRPr="009F4679">
              <w:rPr>
                <w:rFonts w:ascii="宋体" w:hAnsi="宋体" w:hint="eastAsia"/>
                <w:szCs w:val="24"/>
              </w:rPr>
              <w:t xml:space="preserve">特定对象调研 </w:t>
            </w:r>
            <w:r w:rsidRPr="009F4679">
              <w:rPr>
                <w:rFonts w:ascii="宋体" w:hAnsi="宋体"/>
                <w:szCs w:val="24"/>
              </w:rPr>
              <w:t xml:space="preserve"> </w:t>
            </w:r>
            <w:r w:rsidRPr="009F4679">
              <w:rPr>
                <w:rFonts w:ascii="宋体" w:hAnsi="宋体" w:hint="eastAsia"/>
                <w:szCs w:val="24"/>
              </w:rPr>
              <w:t>□</w:t>
            </w:r>
            <w:proofErr w:type="gramEnd"/>
            <w:r w:rsidRPr="009F4679">
              <w:rPr>
                <w:rFonts w:ascii="宋体" w:hAnsi="宋体" w:hint="eastAsia"/>
                <w:szCs w:val="24"/>
              </w:rPr>
              <w:t>分析师会议</w:t>
            </w:r>
          </w:p>
          <w:p w14:paraId="4750AF68" w14:textId="2ADAF84B" w:rsidR="003D7850" w:rsidRPr="009F4679" w:rsidRDefault="003D7850" w:rsidP="003D7850">
            <w:pPr>
              <w:spacing w:line="360" w:lineRule="auto"/>
              <w:rPr>
                <w:rFonts w:ascii="宋体" w:hAnsi="宋体" w:hint="eastAsia"/>
                <w:szCs w:val="24"/>
              </w:rPr>
            </w:pPr>
            <w:r w:rsidRPr="009F4679">
              <w:rPr>
                <w:rFonts w:ascii="宋体" w:hAnsi="宋体" w:hint="eastAsia"/>
                <w:szCs w:val="24"/>
              </w:rPr>
              <w:t>□媒体</w:t>
            </w:r>
            <w:proofErr w:type="gramStart"/>
            <w:r w:rsidRPr="009F4679">
              <w:rPr>
                <w:rFonts w:ascii="宋体" w:hAnsi="宋体" w:hint="eastAsia"/>
                <w:szCs w:val="24"/>
              </w:rPr>
              <w:t xml:space="preserve">采访 </w:t>
            </w:r>
            <w:r w:rsidRPr="009F4679">
              <w:rPr>
                <w:rFonts w:ascii="宋体" w:hAnsi="宋体"/>
                <w:szCs w:val="24"/>
              </w:rPr>
              <w:t xml:space="preserve">     </w:t>
            </w:r>
            <w:r>
              <w:rPr>
                <w:rFonts w:ascii="宋体" w:hAnsi="宋体" w:hint="eastAsia"/>
                <w:szCs w:val="24"/>
              </w:rPr>
              <w:t>√</w:t>
            </w:r>
            <w:proofErr w:type="gramEnd"/>
            <w:r w:rsidRPr="009F4679">
              <w:rPr>
                <w:rFonts w:ascii="宋体" w:hAnsi="宋体" w:hint="eastAsia"/>
                <w:szCs w:val="24"/>
              </w:rPr>
              <w:t>业绩说明会</w:t>
            </w:r>
          </w:p>
          <w:p w14:paraId="7D661280" w14:textId="25A5F5B0" w:rsidR="003D7850" w:rsidRPr="009F4679" w:rsidRDefault="003D7850" w:rsidP="003D7850">
            <w:pPr>
              <w:spacing w:line="360" w:lineRule="auto"/>
              <w:rPr>
                <w:rFonts w:ascii="宋体" w:hAnsi="宋体" w:hint="eastAsia"/>
                <w:szCs w:val="24"/>
              </w:rPr>
            </w:pPr>
            <w:r w:rsidRPr="009F4679">
              <w:rPr>
                <w:rFonts w:ascii="宋体" w:hAnsi="宋体" w:hint="eastAsia"/>
                <w:szCs w:val="24"/>
              </w:rPr>
              <w:t>□新闻</w:t>
            </w:r>
            <w:proofErr w:type="gramStart"/>
            <w:r w:rsidRPr="009F4679">
              <w:rPr>
                <w:rFonts w:ascii="宋体" w:hAnsi="宋体" w:hint="eastAsia"/>
                <w:szCs w:val="24"/>
              </w:rPr>
              <w:t xml:space="preserve">发布会 </w:t>
            </w:r>
            <w:r w:rsidRPr="009F4679">
              <w:rPr>
                <w:rFonts w:ascii="宋体" w:hAnsi="宋体"/>
                <w:szCs w:val="24"/>
              </w:rPr>
              <w:t xml:space="preserve">   </w:t>
            </w:r>
            <w:r w:rsidRPr="009F4679">
              <w:rPr>
                <w:rFonts w:ascii="宋体" w:hAnsi="宋体" w:hint="eastAsia"/>
                <w:szCs w:val="24"/>
              </w:rPr>
              <w:t>□</w:t>
            </w:r>
            <w:proofErr w:type="gramEnd"/>
            <w:r w:rsidRPr="009F4679">
              <w:rPr>
                <w:rFonts w:ascii="宋体" w:hAnsi="宋体" w:hint="eastAsia"/>
                <w:szCs w:val="24"/>
              </w:rPr>
              <w:t>路演活动</w:t>
            </w:r>
          </w:p>
          <w:p w14:paraId="50400072" w14:textId="2900FE97" w:rsidR="00DC5E46" w:rsidRPr="009F4679" w:rsidRDefault="003D7850" w:rsidP="003D7850">
            <w:pPr>
              <w:spacing w:line="360" w:lineRule="auto"/>
              <w:rPr>
                <w:szCs w:val="24"/>
              </w:rPr>
            </w:pPr>
            <w:r w:rsidRPr="009F4679">
              <w:rPr>
                <w:rFonts w:ascii="宋体" w:hAnsi="宋体" w:hint="eastAsia"/>
                <w:szCs w:val="24"/>
              </w:rPr>
              <w:t>□现场</w:t>
            </w:r>
            <w:proofErr w:type="gramStart"/>
            <w:r w:rsidRPr="009F4679">
              <w:rPr>
                <w:rFonts w:ascii="宋体" w:hAnsi="宋体" w:hint="eastAsia"/>
                <w:szCs w:val="24"/>
              </w:rPr>
              <w:t>参观</w:t>
            </w:r>
            <w:r>
              <w:rPr>
                <w:rFonts w:ascii="宋体" w:hAnsi="宋体" w:hint="eastAsia"/>
                <w:szCs w:val="24"/>
              </w:rPr>
              <w:t xml:space="preserve"> </w:t>
            </w:r>
            <w:r>
              <w:rPr>
                <w:rFonts w:ascii="宋体" w:hAnsi="宋体"/>
                <w:szCs w:val="24"/>
              </w:rPr>
              <w:t xml:space="preserve">     </w:t>
            </w:r>
            <w:r w:rsidRPr="009F4679">
              <w:rPr>
                <w:rFonts w:ascii="宋体" w:hAnsi="宋体" w:hint="eastAsia"/>
                <w:szCs w:val="24"/>
              </w:rPr>
              <w:t>□</w:t>
            </w:r>
            <w:proofErr w:type="gramEnd"/>
            <w:r w:rsidRPr="009F4679">
              <w:rPr>
                <w:rFonts w:ascii="宋体" w:hAnsi="宋体" w:hint="eastAsia"/>
                <w:szCs w:val="24"/>
              </w:rPr>
              <w:t>其他（</w:t>
            </w:r>
            <w:r w:rsidRPr="009F4679">
              <w:rPr>
                <w:rFonts w:ascii="宋体" w:hAnsi="宋体" w:hint="eastAsia"/>
                <w:szCs w:val="24"/>
                <w:u w:val="thick"/>
              </w:rPr>
              <w:t>请文字说明其他活动内容</w:t>
            </w:r>
            <w:r w:rsidRPr="009F4679">
              <w:rPr>
                <w:rFonts w:ascii="宋体" w:hAnsi="宋体" w:hint="eastAsia"/>
                <w:szCs w:val="24"/>
              </w:rPr>
              <w:t>）</w:t>
            </w:r>
          </w:p>
        </w:tc>
      </w:tr>
      <w:tr w:rsidR="00DC5E46" w:rsidRPr="009F4679" w14:paraId="706CA2E4" w14:textId="77777777" w:rsidTr="009F4679">
        <w:tc>
          <w:tcPr>
            <w:tcW w:w="2405" w:type="dxa"/>
          </w:tcPr>
          <w:p w14:paraId="73198EFA" w14:textId="61B16EC2" w:rsidR="009F4679" w:rsidRPr="009F4679" w:rsidRDefault="00DC5E46" w:rsidP="00DC5E46">
            <w:pPr>
              <w:jc w:val="center"/>
              <w:rPr>
                <w:b/>
                <w:bCs/>
                <w:szCs w:val="24"/>
              </w:rPr>
            </w:pPr>
            <w:r w:rsidRPr="009F4679">
              <w:rPr>
                <w:rFonts w:hint="eastAsia"/>
                <w:b/>
                <w:bCs/>
                <w:szCs w:val="24"/>
              </w:rPr>
              <w:t>参与单位名称</w:t>
            </w:r>
          </w:p>
          <w:p w14:paraId="27F86A90" w14:textId="4FB52357" w:rsidR="00DC5E46" w:rsidRPr="009F4679" w:rsidRDefault="00DC5E46" w:rsidP="00DC5E46">
            <w:pPr>
              <w:jc w:val="center"/>
              <w:rPr>
                <w:b/>
                <w:bCs/>
                <w:szCs w:val="24"/>
              </w:rPr>
            </w:pPr>
            <w:r w:rsidRPr="009F4679">
              <w:rPr>
                <w:rFonts w:hint="eastAsia"/>
                <w:b/>
                <w:bCs/>
                <w:szCs w:val="24"/>
              </w:rPr>
              <w:t>及人员姓名</w:t>
            </w:r>
          </w:p>
        </w:tc>
        <w:tc>
          <w:tcPr>
            <w:tcW w:w="5891" w:type="dxa"/>
          </w:tcPr>
          <w:p w14:paraId="16D01E87" w14:textId="77777777" w:rsidR="001A43C4" w:rsidRDefault="001A43C4" w:rsidP="001A43C4">
            <w:r>
              <w:rPr>
                <w:rFonts w:hint="eastAsia"/>
              </w:rPr>
              <w:t>中信证券</w:t>
            </w:r>
            <w:r>
              <w:rPr>
                <w:rFonts w:hint="eastAsia"/>
              </w:rPr>
              <w:t>5</w:t>
            </w:r>
            <w:r>
              <w:rPr>
                <w:rFonts w:hint="eastAsia"/>
              </w:rPr>
              <w:t>人</w:t>
            </w:r>
          </w:p>
          <w:p w14:paraId="492FEC1F" w14:textId="77777777" w:rsidR="001A43C4" w:rsidRDefault="001A43C4" w:rsidP="001A43C4">
            <w:r>
              <w:rPr>
                <w:rFonts w:hint="eastAsia"/>
              </w:rPr>
              <w:t>平安证券</w:t>
            </w:r>
            <w:r>
              <w:rPr>
                <w:rFonts w:hint="eastAsia"/>
              </w:rPr>
              <w:t>3</w:t>
            </w:r>
            <w:r>
              <w:rPr>
                <w:rFonts w:hint="eastAsia"/>
              </w:rPr>
              <w:t>人</w:t>
            </w:r>
          </w:p>
          <w:p w14:paraId="4E823B40" w14:textId="77777777" w:rsidR="001A43C4" w:rsidRDefault="001A43C4" w:rsidP="001A43C4">
            <w:r>
              <w:rPr>
                <w:rFonts w:hint="eastAsia"/>
              </w:rPr>
              <w:t>国盛证券</w:t>
            </w:r>
            <w:r>
              <w:rPr>
                <w:rFonts w:hint="eastAsia"/>
              </w:rPr>
              <w:t>2</w:t>
            </w:r>
            <w:r>
              <w:rPr>
                <w:rFonts w:hint="eastAsia"/>
              </w:rPr>
              <w:t>人</w:t>
            </w:r>
          </w:p>
          <w:p w14:paraId="7527E5DB" w14:textId="77777777" w:rsidR="001A43C4" w:rsidRDefault="001A43C4" w:rsidP="001A43C4">
            <w:r>
              <w:rPr>
                <w:rFonts w:hint="eastAsia"/>
              </w:rPr>
              <w:t>中信建投</w:t>
            </w:r>
            <w:r>
              <w:rPr>
                <w:rFonts w:hint="eastAsia"/>
              </w:rPr>
              <w:t>2</w:t>
            </w:r>
            <w:r>
              <w:rPr>
                <w:rFonts w:hint="eastAsia"/>
              </w:rPr>
              <w:t>人</w:t>
            </w:r>
          </w:p>
          <w:p w14:paraId="16A9FA12" w14:textId="77777777" w:rsidR="001A43C4" w:rsidRDefault="001A43C4" w:rsidP="001A43C4">
            <w:r>
              <w:rPr>
                <w:rFonts w:hint="eastAsia"/>
              </w:rPr>
              <w:t>申万宏源</w:t>
            </w:r>
            <w:r>
              <w:rPr>
                <w:rFonts w:hint="eastAsia"/>
              </w:rPr>
              <w:t>2</w:t>
            </w:r>
            <w:r>
              <w:rPr>
                <w:rFonts w:hint="eastAsia"/>
              </w:rPr>
              <w:t>人</w:t>
            </w:r>
          </w:p>
          <w:p w14:paraId="11EB5397" w14:textId="77777777" w:rsidR="001A43C4" w:rsidRDefault="001A43C4" w:rsidP="001A43C4">
            <w:r>
              <w:rPr>
                <w:rFonts w:hint="eastAsia"/>
              </w:rPr>
              <w:t>安联资管</w:t>
            </w:r>
            <w:r>
              <w:rPr>
                <w:rFonts w:hint="eastAsia"/>
              </w:rPr>
              <w:t>1</w:t>
            </w:r>
            <w:r>
              <w:rPr>
                <w:rFonts w:hint="eastAsia"/>
              </w:rPr>
              <w:t>人</w:t>
            </w:r>
          </w:p>
          <w:p w14:paraId="0BF29389" w14:textId="77777777" w:rsidR="001A43C4" w:rsidRDefault="001A43C4" w:rsidP="001A43C4">
            <w:r>
              <w:rPr>
                <w:rFonts w:hint="eastAsia"/>
              </w:rPr>
              <w:t>太朴生命科学投资</w:t>
            </w:r>
            <w:r>
              <w:rPr>
                <w:rFonts w:hint="eastAsia"/>
              </w:rPr>
              <w:t>1</w:t>
            </w:r>
            <w:r>
              <w:rPr>
                <w:rFonts w:hint="eastAsia"/>
              </w:rPr>
              <w:t>人</w:t>
            </w:r>
          </w:p>
          <w:p w14:paraId="7412B3C7" w14:textId="77777777" w:rsidR="001A43C4" w:rsidRDefault="001A43C4" w:rsidP="001A43C4">
            <w:r>
              <w:rPr>
                <w:rFonts w:hint="eastAsia"/>
              </w:rPr>
              <w:t>凯石基金</w:t>
            </w:r>
            <w:r>
              <w:rPr>
                <w:rFonts w:hint="eastAsia"/>
              </w:rPr>
              <w:t>1</w:t>
            </w:r>
            <w:r>
              <w:rPr>
                <w:rFonts w:hint="eastAsia"/>
              </w:rPr>
              <w:t>人</w:t>
            </w:r>
          </w:p>
          <w:p w14:paraId="0C87BE4D" w14:textId="77777777" w:rsidR="001A43C4" w:rsidRDefault="001A43C4" w:rsidP="001A43C4">
            <w:r>
              <w:rPr>
                <w:rFonts w:hint="eastAsia"/>
              </w:rPr>
              <w:t>金百镕投资</w:t>
            </w:r>
            <w:r>
              <w:rPr>
                <w:rFonts w:hint="eastAsia"/>
              </w:rPr>
              <w:t>1</w:t>
            </w:r>
            <w:r>
              <w:rPr>
                <w:rFonts w:hint="eastAsia"/>
              </w:rPr>
              <w:t>人</w:t>
            </w:r>
          </w:p>
          <w:p w14:paraId="4E9C3DC1" w14:textId="77777777" w:rsidR="001A43C4" w:rsidRDefault="001A43C4" w:rsidP="001A43C4">
            <w:r>
              <w:rPr>
                <w:rFonts w:hint="eastAsia"/>
              </w:rPr>
              <w:t>中信期货资管</w:t>
            </w:r>
            <w:r>
              <w:rPr>
                <w:rFonts w:hint="eastAsia"/>
              </w:rPr>
              <w:t>2</w:t>
            </w:r>
            <w:r>
              <w:rPr>
                <w:rFonts w:hint="eastAsia"/>
              </w:rPr>
              <w:t>人</w:t>
            </w:r>
          </w:p>
          <w:p w14:paraId="5AF9EE47" w14:textId="77777777" w:rsidR="001A43C4" w:rsidRDefault="001A43C4" w:rsidP="001A43C4">
            <w:r>
              <w:rPr>
                <w:rFonts w:hint="eastAsia"/>
              </w:rPr>
              <w:t>上海湘禾投资有限公司</w:t>
            </w:r>
            <w:r>
              <w:rPr>
                <w:rFonts w:hint="eastAsia"/>
              </w:rPr>
              <w:t>1</w:t>
            </w:r>
            <w:r>
              <w:rPr>
                <w:rFonts w:hint="eastAsia"/>
              </w:rPr>
              <w:t>人</w:t>
            </w:r>
          </w:p>
          <w:p w14:paraId="4136F97A" w14:textId="77777777" w:rsidR="001A43C4" w:rsidRDefault="001A43C4" w:rsidP="001A43C4">
            <w:r>
              <w:rPr>
                <w:rFonts w:hint="eastAsia"/>
              </w:rPr>
              <w:t>新思路投资有限公司</w:t>
            </w:r>
            <w:r>
              <w:rPr>
                <w:rFonts w:hint="eastAsia"/>
              </w:rPr>
              <w:t>1</w:t>
            </w:r>
            <w:r>
              <w:rPr>
                <w:rFonts w:hint="eastAsia"/>
              </w:rPr>
              <w:t>人</w:t>
            </w:r>
          </w:p>
          <w:p w14:paraId="750D956F" w14:textId="77777777" w:rsidR="001A43C4" w:rsidRDefault="001A43C4" w:rsidP="001A43C4">
            <w:r>
              <w:rPr>
                <w:rFonts w:hint="eastAsia"/>
              </w:rPr>
              <w:t>北京衍航投资管理有限公司</w:t>
            </w:r>
            <w:r>
              <w:rPr>
                <w:rFonts w:hint="eastAsia"/>
              </w:rPr>
              <w:t>1</w:t>
            </w:r>
            <w:r>
              <w:rPr>
                <w:rFonts w:hint="eastAsia"/>
              </w:rPr>
              <w:t>人</w:t>
            </w:r>
          </w:p>
          <w:p w14:paraId="252AB48B" w14:textId="77777777" w:rsidR="001A43C4" w:rsidRPr="00B93F64" w:rsidRDefault="001A43C4" w:rsidP="001A43C4">
            <w:r w:rsidRPr="00B93F64">
              <w:rPr>
                <w:rFonts w:hint="eastAsia"/>
              </w:rPr>
              <w:t>华夏基金管理有限公司</w:t>
            </w:r>
            <w:r w:rsidRPr="00B93F64">
              <w:rPr>
                <w:rFonts w:hint="eastAsia"/>
              </w:rPr>
              <w:t>1</w:t>
            </w:r>
            <w:r w:rsidRPr="00B93F64">
              <w:rPr>
                <w:rFonts w:hint="eastAsia"/>
              </w:rPr>
              <w:t>人</w:t>
            </w:r>
          </w:p>
          <w:p w14:paraId="725CFDA7" w14:textId="77777777" w:rsidR="001A43C4" w:rsidRDefault="001A43C4" w:rsidP="001A43C4">
            <w:r w:rsidRPr="00B93F64">
              <w:rPr>
                <w:rFonts w:hint="eastAsia"/>
              </w:rPr>
              <w:t>华夏久盈资产管理有限责任公司</w:t>
            </w:r>
            <w:r w:rsidRPr="00B93F64">
              <w:rPr>
                <w:rFonts w:hint="eastAsia"/>
              </w:rPr>
              <w:t>1</w:t>
            </w:r>
            <w:r w:rsidRPr="00B93F64">
              <w:rPr>
                <w:rFonts w:hint="eastAsia"/>
              </w:rPr>
              <w:t>人</w:t>
            </w:r>
          </w:p>
          <w:p w14:paraId="747BE29B" w14:textId="77777777" w:rsidR="001A43C4" w:rsidRDefault="001A43C4" w:rsidP="001A43C4">
            <w:r>
              <w:rPr>
                <w:rFonts w:hint="eastAsia"/>
              </w:rPr>
              <w:t>国联民生证券</w:t>
            </w:r>
            <w:r>
              <w:rPr>
                <w:rFonts w:hint="eastAsia"/>
              </w:rPr>
              <w:t>1</w:t>
            </w:r>
            <w:r>
              <w:rPr>
                <w:rFonts w:hint="eastAsia"/>
              </w:rPr>
              <w:t>人</w:t>
            </w:r>
          </w:p>
          <w:p w14:paraId="4FB146B9" w14:textId="77777777" w:rsidR="001A43C4" w:rsidRDefault="001A43C4" w:rsidP="001A43C4">
            <w:r>
              <w:rPr>
                <w:rFonts w:hint="eastAsia"/>
              </w:rPr>
              <w:t>浙商证券研究所</w:t>
            </w:r>
            <w:r>
              <w:rPr>
                <w:rFonts w:hint="eastAsia"/>
              </w:rPr>
              <w:t>1</w:t>
            </w:r>
            <w:r>
              <w:rPr>
                <w:rFonts w:hint="eastAsia"/>
              </w:rPr>
              <w:t>人</w:t>
            </w:r>
          </w:p>
          <w:p w14:paraId="5EF30F22" w14:textId="77777777" w:rsidR="001A43C4" w:rsidRDefault="001A43C4" w:rsidP="001A43C4">
            <w:r>
              <w:rPr>
                <w:rFonts w:hint="eastAsia"/>
              </w:rPr>
              <w:t>宁波莲盛投资管理有限公司</w:t>
            </w:r>
            <w:r>
              <w:rPr>
                <w:rFonts w:hint="eastAsia"/>
              </w:rPr>
              <w:t>1</w:t>
            </w:r>
            <w:r>
              <w:rPr>
                <w:rFonts w:hint="eastAsia"/>
              </w:rPr>
              <w:t>人</w:t>
            </w:r>
          </w:p>
          <w:p w14:paraId="2D9862B8" w14:textId="77777777" w:rsidR="001A43C4" w:rsidRDefault="001A43C4" w:rsidP="001A43C4">
            <w:r>
              <w:rPr>
                <w:rFonts w:hint="eastAsia"/>
              </w:rPr>
              <w:t>中信建投资本管理有限公司</w:t>
            </w:r>
            <w:r>
              <w:rPr>
                <w:rFonts w:hint="eastAsia"/>
              </w:rPr>
              <w:t>1</w:t>
            </w:r>
            <w:r>
              <w:rPr>
                <w:rFonts w:hint="eastAsia"/>
              </w:rPr>
              <w:t>人</w:t>
            </w:r>
          </w:p>
          <w:p w14:paraId="4A0FFEBD" w14:textId="77777777" w:rsidR="001A43C4" w:rsidRDefault="001A43C4" w:rsidP="001A43C4">
            <w:r>
              <w:rPr>
                <w:rFonts w:hint="eastAsia"/>
              </w:rPr>
              <w:t>安信基金管理有限公司</w:t>
            </w:r>
            <w:r>
              <w:rPr>
                <w:rFonts w:hint="eastAsia"/>
              </w:rPr>
              <w:t>1</w:t>
            </w:r>
            <w:r>
              <w:rPr>
                <w:rFonts w:hint="eastAsia"/>
              </w:rPr>
              <w:t>人</w:t>
            </w:r>
          </w:p>
          <w:p w14:paraId="62AC86F4" w14:textId="77777777" w:rsidR="001A43C4" w:rsidRDefault="001A43C4" w:rsidP="001A43C4">
            <w:r>
              <w:rPr>
                <w:rFonts w:hint="eastAsia"/>
              </w:rPr>
              <w:t>天弘基金管理有限公司</w:t>
            </w:r>
            <w:r>
              <w:rPr>
                <w:rFonts w:hint="eastAsia"/>
              </w:rPr>
              <w:t>1</w:t>
            </w:r>
            <w:r>
              <w:rPr>
                <w:rFonts w:hint="eastAsia"/>
              </w:rPr>
              <w:t>人</w:t>
            </w:r>
          </w:p>
          <w:p w14:paraId="0FC226DF" w14:textId="77777777" w:rsidR="001A43C4" w:rsidRDefault="001A43C4" w:rsidP="001A43C4">
            <w:r>
              <w:rPr>
                <w:rFonts w:hint="eastAsia"/>
              </w:rPr>
              <w:t>上海侏罗纪资产管理合伙企业</w:t>
            </w:r>
            <w:r>
              <w:rPr>
                <w:rFonts w:hint="eastAsia"/>
              </w:rPr>
              <w:t>1</w:t>
            </w:r>
            <w:r>
              <w:rPr>
                <w:rFonts w:hint="eastAsia"/>
              </w:rPr>
              <w:t>人</w:t>
            </w:r>
          </w:p>
          <w:p w14:paraId="2659DF87" w14:textId="77777777" w:rsidR="001A43C4" w:rsidRDefault="001A43C4" w:rsidP="001A43C4">
            <w:r>
              <w:rPr>
                <w:rFonts w:hint="eastAsia"/>
              </w:rPr>
              <w:t>上海恒基浦业资产管理有限公司</w:t>
            </w:r>
            <w:r>
              <w:rPr>
                <w:rFonts w:hint="eastAsia"/>
              </w:rPr>
              <w:t>1</w:t>
            </w:r>
            <w:r>
              <w:rPr>
                <w:rFonts w:hint="eastAsia"/>
              </w:rPr>
              <w:t>人</w:t>
            </w:r>
          </w:p>
          <w:p w14:paraId="60E0FF74" w14:textId="77777777" w:rsidR="001A43C4" w:rsidRDefault="001A43C4" w:rsidP="001A43C4">
            <w:r>
              <w:rPr>
                <w:rFonts w:hint="eastAsia"/>
              </w:rPr>
              <w:t>深圳尚诚资产</w:t>
            </w:r>
            <w:r>
              <w:rPr>
                <w:rFonts w:hint="eastAsia"/>
              </w:rPr>
              <w:t>1</w:t>
            </w:r>
            <w:r>
              <w:rPr>
                <w:rFonts w:hint="eastAsia"/>
              </w:rPr>
              <w:t>人</w:t>
            </w:r>
          </w:p>
          <w:p w14:paraId="32B4F4EF" w14:textId="77777777" w:rsidR="001A43C4" w:rsidRDefault="001A43C4" w:rsidP="001A43C4">
            <w:r>
              <w:rPr>
                <w:rFonts w:hint="eastAsia"/>
              </w:rPr>
              <w:t>恒生前海基金</w:t>
            </w:r>
            <w:r>
              <w:rPr>
                <w:rFonts w:hint="eastAsia"/>
              </w:rPr>
              <w:t>1</w:t>
            </w:r>
            <w:r>
              <w:rPr>
                <w:rFonts w:hint="eastAsia"/>
              </w:rPr>
              <w:t>人</w:t>
            </w:r>
          </w:p>
          <w:p w14:paraId="63254EF6" w14:textId="77777777" w:rsidR="001A43C4" w:rsidRDefault="001A43C4" w:rsidP="001A43C4">
            <w:r>
              <w:rPr>
                <w:rFonts w:hint="eastAsia"/>
              </w:rPr>
              <w:t>中邮证券</w:t>
            </w:r>
            <w:r>
              <w:rPr>
                <w:rFonts w:hint="eastAsia"/>
              </w:rPr>
              <w:t>1</w:t>
            </w:r>
            <w:r>
              <w:rPr>
                <w:rFonts w:hint="eastAsia"/>
              </w:rPr>
              <w:t>人</w:t>
            </w:r>
          </w:p>
          <w:p w14:paraId="295320EA" w14:textId="77777777" w:rsidR="001A43C4" w:rsidRDefault="001A43C4" w:rsidP="001A43C4">
            <w:r>
              <w:rPr>
                <w:rFonts w:hint="eastAsia"/>
              </w:rPr>
              <w:t>信达证券研发中心</w:t>
            </w:r>
            <w:r>
              <w:rPr>
                <w:rFonts w:hint="eastAsia"/>
              </w:rPr>
              <w:t>1</w:t>
            </w:r>
            <w:r>
              <w:rPr>
                <w:rFonts w:hint="eastAsia"/>
              </w:rPr>
              <w:t>人</w:t>
            </w:r>
          </w:p>
          <w:p w14:paraId="752279E9" w14:textId="77777777" w:rsidR="001A43C4" w:rsidRDefault="001A43C4" w:rsidP="001A43C4">
            <w:r w:rsidRPr="00B93F64">
              <w:rPr>
                <w:rFonts w:hint="eastAsia"/>
              </w:rPr>
              <w:t>万得</w:t>
            </w:r>
            <w:r w:rsidRPr="00B93F64">
              <w:rPr>
                <w:rFonts w:hint="eastAsia"/>
              </w:rPr>
              <w:t>1</w:t>
            </w:r>
            <w:r w:rsidRPr="00B93F64">
              <w:rPr>
                <w:rFonts w:hint="eastAsia"/>
              </w:rPr>
              <w:t>人</w:t>
            </w:r>
          </w:p>
          <w:p w14:paraId="46ABD5BB" w14:textId="77777777" w:rsidR="001A43C4" w:rsidRDefault="001A43C4" w:rsidP="001A43C4">
            <w:r>
              <w:rPr>
                <w:rFonts w:hint="eastAsia"/>
              </w:rPr>
              <w:t>华源证券研究所</w:t>
            </w:r>
            <w:r>
              <w:rPr>
                <w:rFonts w:hint="eastAsia"/>
              </w:rPr>
              <w:t>1</w:t>
            </w:r>
            <w:r>
              <w:rPr>
                <w:rFonts w:hint="eastAsia"/>
              </w:rPr>
              <w:t>人</w:t>
            </w:r>
          </w:p>
          <w:p w14:paraId="49334AF6" w14:textId="77777777" w:rsidR="001A43C4" w:rsidRDefault="001A43C4" w:rsidP="001A43C4">
            <w:r>
              <w:rPr>
                <w:rFonts w:hint="eastAsia"/>
              </w:rPr>
              <w:t>国盛证券研究所</w:t>
            </w:r>
            <w:r>
              <w:rPr>
                <w:rFonts w:hint="eastAsia"/>
              </w:rPr>
              <w:t>1</w:t>
            </w:r>
            <w:r>
              <w:rPr>
                <w:rFonts w:hint="eastAsia"/>
              </w:rPr>
              <w:t>人</w:t>
            </w:r>
          </w:p>
          <w:p w14:paraId="4FCFAC03" w14:textId="77777777" w:rsidR="001A43C4" w:rsidRDefault="001A43C4" w:rsidP="001A43C4">
            <w:r>
              <w:rPr>
                <w:rFonts w:hint="eastAsia"/>
              </w:rPr>
              <w:t>方正证券研究所</w:t>
            </w:r>
            <w:r>
              <w:rPr>
                <w:rFonts w:hint="eastAsia"/>
              </w:rPr>
              <w:t>1</w:t>
            </w:r>
            <w:r>
              <w:rPr>
                <w:rFonts w:hint="eastAsia"/>
              </w:rPr>
              <w:t>人</w:t>
            </w:r>
          </w:p>
          <w:p w14:paraId="6D06D776" w14:textId="77777777" w:rsidR="001A43C4" w:rsidRDefault="001A43C4" w:rsidP="001A43C4">
            <w:r>
              <w:rPr>
                <w:rFonts w:hint="eastAsia"/>
              </w:rPr>
              <w:t>汇丰晋信基金管理有限公司</w:t>
            </w:r>
            <w:r>
              <w:rPr>
                <w:rFonts w:hint="eastAsia"/>
              </w:rPr>
              <w:t>1</w:t>
            </w:r>
            <w:r>
              <w:rPr>
                <w:rFonts w:hint="eastAsia"/>
              </w:rPr>
              <w:t>人</w:t>
            </w:r>
          </w:p>
          <w:p w14:paraId="3A84CB0B" w14:textId="77777777" w:rsidR="001A43C4" w:rsidRDefault="001A43C4" w:rsidP="001A43C4">
            <w:r>
              <w:rPr>
                <w:rFonts w:hint="eastAsia"/>
              </w:rPr>
              <w:t>湖南源乘私募基金管理有限公司</w:t>
            </w:r>
            <w:r>
              <w:rPr>
                <w:rFonts w:hint="eastAsia"/>
              </w:rPr>
              <w:t>1</w:t>
            </w:r>
            <w:r>
              <w:rPr>
                <w:rFonts w:hint="eastAsia"/>
              </w:rPr>
              <w:t>人</w:t>
            </w:r>
          </w:p>
          <w:p w14:paraId="136E4488" w14:textId="77777777" w:rsidR="001A43C4" w:rsidRDefault="001A43C4" w:rsidP="001A43C4">
            <w:r>
              <w:rPr>
                <w:rFonts w:hint="eastAsia"/>
              </w:rPr>
              <w:lastRenderedPageBreak/>
              <w:t>中域资产</w:t>
            </w:r>
            <w:r>
              <w:rPr>
                <w:rFonts w:hint="eastAsia"/>
              </w:rPr>
              <w:t>1</w:t>
            </w:r>
            <w:r>
              <w:rPr>
                <w:rFonts w:hint="eastAsia"/>
              </w:rPr>
              <w:t>人</w:t>
            </w:r>
          </w:p>
          <w:p w14:paraId="001CEAE9" w14:textId="6331CA71" w:rsidR="00AB7DBA" w:rsidRPr="001A43C4" w:rsidRDefault="001A43C4" w:rsidP="001A43C4">
            <w:r>
              <w:rPr>
                <w:rFonts w:hint="eastAsia"/>
              </w:rPr>
              <w:t>个人投资者</w:t>
            </w:r>
            <w:r>
              <w:rPr>
                <w:rFonts w:hint="eastAsia"/>
              </w:rPr>
              <w:t>5</w:t>
            </w:r>
            <w:r>
              <w:rPr>
                <w:rFonts w:hint="eastAsia"/>
              </w:rPr>
              <w:t>人</w:t>
            </w:r>
          </w:p>
        </w:tc>
      </w:tr>
      <w:tr w:rsidR="00DC5E46" w:rsidRPr="009F4679" w14:paraId="4F23F2BF" w14:textId="77777777" w:rsidTr="009E3226">
        <w:trPr>
          <w:trHeight w:val="417"/>
        </w:trPr>
        <w:tc>
          <w:tcPr>
            <w:tcW w:w="2405" w:type="dxa"/>
          </w:tcPr>
          <w:p w14:paraId="12B1F227" w14:textId="5E374A71" w:rsidR="00DC5E46" w:rsidRPr="009F4679" w:rsidRDefault="00DC5E46" w:rsidP="00DC5E46">
            <w:pPr>
              <w:jc w:val="center"/>
              <w:rPr>
                <w:b/>
                <w:bCs/>
                <w:szCs w:val="24"/>
              </w:rPr>
            </w:pPr>
            <w:r w:rsidRPr="009F4679">
              <w:rPr>
                <w:rFonts w:hint="eastAsia"/>
                <w:b/>
                <w:bCs/>
                <w:szCs w:val="24"/>
              </w:rPr>
              <w:lastRenderedPageBreak/>
              <w:t>时间</w:t>
            </w:r>
          </w:p>
        </w:tc>
        <w:tc>
          <w:tcPr>
            <w:tcW w:w="5891" w:type="dxa"/>
            <w:vAlign w:val="center"/>
          </w:tcPr>
          <w:p w14:paraId="4FA384A1" w14:textId="645985EC" w:rsidR="009E4EB5" w:rsidRPr="009F4679" w:rsidRDefault="00A84C98" w:rsidP="009E3226">
            <w:pPr>
              <w:jc w:val="center"/>
              <w:rPr>
                <w:szCs w:val="24"/>
              </w:rPr>
            </w:pPr>
            <w:r w:rsidRPr="00A84C98">
              <w:rPr>
                <w:rFonts w:hint="eastAsia"/>
                <w:szCs w:val="24"/>
              </w:rPr>
              <w:t>202</w:t>
            </w:r>
            <w:r w:rsidR="00430193">
              <w:rPr>
                <w:rFonts w:hint="eastAsia"/>
                <w:szCs w:val="24"/>
              </w:rPr>
              <w:t>5</w:t>
            </w:r>
            <w:r w:rsidRPr="00A84C98">
              <w:rPr>
                <w:rFonts w:hint="eastAsia"/>
                <w:szCs w:val="24"/>
              </w:rPr>
              <w:t>年</w:t>
            </w:r>
            <w:r w:rsidR="00007C3B">
              <w:rPr>
                <w:rFonts w:hint="eastAsia"/>
                <w:szCs w:val="24"/>
              </w:rPr>
              <w:t>8</w:t>
            </w:r>
            <w:r w:rsidRPr="00A84C98">
              <w:rPr>
                <w:rFonts w:hint="eastAsia"/>
                <w:szCs w:val="24"/>
              </w:rPr>
              <w:t>月</w:t>
            </w:r>
            <w:r w:rsidR="00430193">
              <w:rPr>
                <w:rFonts w:hint="eastAsia"/>
                <w:szCs w:val="24"/>
              </w:rPr>
              <w:t>29</w:t>
            </w:r>
            <w:r w:rsidRPr="00A84C98">
              <w:rPr>
                <w:rFonts w:hint="eastAsia"/>
                <w:szCs w:val="24"/>
              </w:rPr>
              <w:t>日</w:t>
            </w:r>
          </w:p>
        </w:tc>
      </w:tr>
      <w:tr w:rsidR="00DC5E46" w:rsidRPr="009F4679" w14:paraId="15E4FF35" w14:textId="77777777" w:rsidTr="009E3226">
        <w:trPr>
          <w:trHeight w:val="423"/>
        </w:trPr>
        <w:tc>
          <w:tcPr>
            <w:tcW w:w="2405" w:type="dxa"/>
            <w:vAlign w:val="center"/>
          </w:tcPr>
          <w:p w14:paraId="3124768F" w14:textId="1FBA5ECA" w:rsidR="00DC5E46" w:rsidRPr="009F4679" w:rsidRDefault="00DC5E46" w:rsidP="006D0E44">
            <w:pPr>
              <w:jc w:val="center"/>
              <w:rPr>
                <w:b/>
                <w:bCs/>
                <w:szCs w:val="24"/>
              </w:rPr>
            </w:pPr>
            <w:r w:rsidRPr="009F4679">
              <w:rPr>
                <w:rFonts w:hint="eastAsia"/>
                <w:b/>
                <w:bCs/>
                <w:szCs w:val="24"/>
              </w:rPr>
              <w:t>地点</w:t>
            </w:r>
          </w:p>
        </w:tc>
        <w:tc>
          <w:tcPr>
            <w:tcW w:w="5891" w:type="dxa"/>
            <w:vAlign w:val="center"/>
          </w:tcPr>
          <w:p w14:paraId="5EE51860" w14:textId="18C70327" w:rsidR="00A83C86" w:rsidRPr="009F4679" w:rsidRDefault="00103282" w:rsidP="00AB7DBA">
            <w:pPr>
              <w:jc w:val="center"/>
              <w:rPr>
                <w:szCs w:val="24"/>
              </w:rPr>
            </w:pPr>
            <w:r>
              <w:rPr>
                <w:rFonts w:hint="eastAsia"/>
                <w:szCs w:val="24"/>
              </w:rPr>
              <w:t>进门财经</w:t>
            </w:r>
            <w:r w:rsidR="009E3226">
              <w:rPr>
                <w:rFonts w:hint="eastAsia"/>
                <w:szCs w:val="24"/>
              </w:rPr>
              <w:t>电话会议</w:t>
            </w:r>
          </w:p>
        </w:tc>
      </w:tr>
      <w:tr w:rsidR="00DC5E46" w:rsidRPr="009F4679" w14:paraId="3765D790" w14:textId="77777777" w:rsidTr="009E3226">
        <w:tc>
          <w:tcPr>
            <w:tcW w:w="2405" w:type="dxa"/>
            <w:vAlign w:val="center"/>
          </w:tcPr>
          <w:p w14:paraId="0BE2A0E8" w14:textId="023B749A" w:rsidR="009F4679" w:rsidRPr="009F4679" w:rsidRDefault="00DC5E46" w:rsidP="009E3226">
            <w:pPr>
              <w:jc w:val="center"/>
              <w:rPr>
                <w:b/>
                <w:bCs/>
                <w:szCs w:val="24"/>
              </w:rPr>
            </w:pPr>
            <w:r w:rsidRPr="009F4679">
              <w:rPr>
                <w:rFonts w:hint="eastAsia"/>
                <w:b/>
                <w:bCs/>
                <w:szCs w:val="24"/>
              </w:rPr>
              <w:t>上市公司接待人员</w:t>
            </w:r>
          </w:p>
          <w:p w14:paraId="0D1F500D" w14:textId="014D41D1" w:rsidR="00DC5E46" w:rsidRPr="009F4679" w:rsidRDefault="009F4679" w:rsidP="009E3226">
            <w:pPr>
              <w:jc w:val="center"/>
              <w:rPr>
                <w:b/>
                <w:bCs/>
                <w:szCs w:val="24"/>
              </w:rPr>
            </w:pPr>
            <w:r w:rsidRPr="009F4679">
              <w:rPr>
                <w:rFonts w:hint="eastAsia"/>
                <w:b/>
                <w:bCs/>
                <w:szCs w:val="24"/>
              </w:rPr>
              <w:t>姓名</w:t>
            </w:r>
          </w:p>
        </w:tc>
        <w:tc>
          <w:tcPr>
            <w:tcW w:w="5891" w:type="dxa"/>
          </w:tcPr>
          <w:p w14:paraId="0913C313" w14:textId="77777777" w:rsidR="00066FC9" w:rsidRDefault="00066FC9" w:rsidP="00066FC9">
            <w:pPr>
              <w:jc w:val="center"/>
              <w:rPr>
                <w:szCs w:val="24"/>
              </w:rPr>
            </w:pPr>
            <w:r>
              <w:rPr>
                <w:rFonts w:hint="eastAsia"/>
                <w:szCs w:val="24"/>
              </w:rPr>
              <w:t>董事</w:t>
            </w:r>
            <w:proofErr w:type="gramStart"/>
            <w:r>
              <w:rPr>
                <w:rFonts w:hint="eastAsia"/>
                <w:szCs w:val="24"/>
              </w:rPr>
              <w:t>长</w:t>
            </w:r>
            <w:r>
              <w:rPr>
                <w:rFonts w:hint="eastAsia"/>
                <w:szCs w:val="24"/>
              </w:rPr>
              <w:t xml:space="preserve"> </w:t>
            </w:r>
            <w:r>
              <w:rPr>
                <w:rFonts w:hint="eastAsia"/>
                <w:szCs w:val="24"/>
              </w:rPr>
              <w:t>赵宣</w:t>
            </w:r>
            <w:proofErr w:type="gramEnd"/>
          </w:p>
          <w:p w14:paraId="562F6C85" w14:textId="77777777" w:rsidR="00066FC9" w:rsidRDefault="00066FC9" w:rsidP="00066FC9">
            <w:pPr>
              <w:jc w:val="center"/>
              <w:rPr>
                <w:szCs w:val="24"/>
              </w:rPr>
            </w:pPr>
            <w:r>
              <w:rPr>
                <w:rFonts w:hint="eastAsia"/>
                <w:szCs w:val="24"/>
              </w:rPr>
              <w:t>董事会</w:t>
            </w:r>
            <w:proofErr w:type="gramStart"/>
            <w:r>
              <w:rPr>
                <w:rFonts w:hint="eastAsia"/>
                <w:szCs w:val="24"/>
              </w:rPr>
              <w:t>秘书</w:t>
            </w:r>
            <w:r>
              <w:rPr>
                <w:rFonts w:hint="eastAsia"/>
                <w:szCs w:val="24"/>
              </w:rPr>
              <w:t xml:space="preserve"> </w:t>
            </w:r>
            <w:r>
              <w:rPr>
                <w:rFonts w:hint="eastAsia"/>
                <w:szCs w:val="24"/>
              </w:rPr>
              <w:t>陈斌</w:t>
            </w:r>
            <w:proofErr w:type="gramEnd"/>
          </w:p>
          <w:p w14:paraId="74630221" w14:textId="77777777" w:rsidR="00066FC9" w:rsidRDefault="00066FC9" w:rsidP="00066FC9">
            <w:pPr>
              <w:jc w:val="center"/>
              <w:rPr>
                <w:szCs w:val="24"/>
              </w:rPr>
            </w:pPr>
            <w:r>
              <w:rPr>
                <w:rFonts w:hint="eastAsia"/>
                <w:szCs w:val="24"/>
              </w:rPr>
              <w:t>财务</w:t>
            </w:r>
            <w:proofErr w:type="gramStart"/>
            <w:r>
              <w:rPr>
                <w:rFonts w:hint="eastAsia"/>
                <w:szCs w:val="24"/>
              </w:rPr>
              <w:t>总监</w:t>
            </w:r>
            <w:r>
              <w:rPr>
                <w:rFonts w:hint="eastAsia"/>
                <w:szCs w:val="24"/>
              </w:rPr>
              <w:t xml:space="preserve"> </w:t>
            </w:r>
            <w:r>
              <w:rPr>
                <w:rFonts w:hint="eastAsia"/>
                <w:szCs w:val="24"/>
              </w:rPr>
              <w:t>韩磊</w:t>
            </w:r>
            <w:proofErr w:type="gramEnd"/>
          </w:p>
          <w:p w14:paraId="054EB441" w14:textId="1555A7B3" w:rsidR="00495392" w:rsidRPr="009F4679" w:rsidRDefault="00066FC9" w:rsidP="00066FC9">
            <w:pPr>
              <w:jc w:val="center"/>
              <w:rPr>
                <w:szCs w:val="24"/>
              </w:rPr>
            </w:pPr>
            <w:r>
              <w:rPr>
                <w:rFonts w:hint="eastAsia"/>
                <w:szCs w:val="24"/>
              </w:rPr>
              <w:t>证券事务</w:t>
            </w:r>
            <w:proofErr w:type="gramStart"/>
            <w:r>
              <w:rPr>
                <w:rFonts w:hint="eastAsia"/>
                <w:szCs w:val="24"/>
              </w:rPr>
              <w:t>代表</w:t>
            </w:r>
            <w:r>
              <w:rPr>
                <w:rFonts w:hint="eastAsia"/>
                <w:szCs w:val="24"/>
              </w:rPr>
              <w:t xml:space="preserve"> </w:t>
            </w:r>
            <w:r>
              <w:rPr>
                <w:rFonts w:hint="eastAsia"/>
                <w:szCs w:val="24"/>
              </w:rPr>
              <w:t>常</w:t>
            </w:r>
            <w:proofErr w:type="gramEnd"/>
            <w:r>
              <w:rPr>
                <w:rFonts w:hint="eastAsia"/>
                <w:szCs w:val="24"/>
              </w:rPr>
              <w:t>逸群</w:t>
            </w:r>
          </w:p>
        </w:tc>
      </w:tr>
      <w:tr w:rsidR="00DC5E46" w:rsidRPr="009F4679" w14:paraId="1C6FB3BE" w14:textId="77777777" w:rsidTr="009F4679">
        <w:tc>
          <w:tcPr>
            <w:tcW w:w="2405" w:type="dxa"/>
          </w:tcPr>
          <w:p w14:paraId="590B80C2" w14:textId="0931D361" w:rsidR="00DC5E46" w:rsidRPr="009F4679" w:rsidRDefault="00DC5E46" w:rsidP="00D83A4D">
            <w:pPr>
              <w:jc w:val="center"/>
              <w:rPr>
                <w:b/>
                <w:bCs/>
                <w:szCs w:val="24"/>
              </w:rPr>
            </w:pPr>
            <w:r w:rsidRPr="009F4679">
              <w:rPr>
                <w:rFonts w:hint="eastAsia"/>
                <w:b/>
                <w:bCs/>
                <w:szCs w:val="24"/>
              </w:rPr>
              <w:t>投资者关系活动主要内容介绍</w:t>
            </w:r>
          </w:p>
        </w:tc>
        <w:tc>
          <w:tcPr>
            <w:tcW w:w="5891" w:type="dxa"/>
          </w:tcPr>
          <w:p w14:paraId="22A09054" w14:textId="247DBE80" w:rsidR="00F232CD" w:rsidRPr="00EA2D13" w:rsidRDefault="00F004B2" w:rsidP="00782E83">
            <w:pPr>
              <w:rPr>
                <w:szCs w:val="24"/>
              </w:rPr>
            </w:pPr>
            <w:bookmarkStart w:id="0" w:name="2260-1619658689666"/>
            <w:bookmarkStart w:id="1" w:name="5541-1619658977839"/>
            <w:bookmarkEnd w:id="0"/>
            <w:bookmarkEnd w:id="1"/>
            <w:r w:rsidRPr="00EA2D13">
              <w:rPr>
                <w:rFonts w:hint="eastAsia"/>
                <w:szCs w:val="24"/>
              </w:rPr>
              <w:t>一、</w:t>
            </w:r>
            <w:r w:rsidR="00A908F2" w:rsidRPr="00EA2D13">
              <w:rPr>
                <w:rFonts w:hint="eastAsia"/>
                <w:szCs w:val="24"/>
              </w:rPr>
              <w:t>公司领导介绍</w:t>
            </w:r>
            <w:r w:rsidR="00A908F2" w:rsidRPr="00EA2D13">
              <w:rPr>
                <w:rFonts w:hint="eastAsia"/>
                <w:szCs w:val="24"/>
              </w:rPr>
              <w:t>2025</w:t>
            </w:r>
            <w:r w:rsidR="00A908F2" w:rsidRPr="00EA2D13">
              <w:rPr>
                <w:rFonts w:hint="eastAsia"/>
                <w:szCs w:val="24"/>
              </w:rPr>
              <w:t>年</w:t>
            </w:r>
            <w:r w:rsidR="00A908F2" w:rsidRPr="00EA2D13">
              <w:rPr>
                <w:rFonts w:hint="eastAsia"/>
                <w:szCs w:val="24"/>
              </w:rPr>
              <w:t>Q</w:t>
            </w:r>
            <w:r w:rsidR="007046B5">
              <w:rPr>
                <w:rFonts w:hint="eastAsia"/>
                <w:szCs w:val="24"/>
              </w:rPr>
              <w:t>2</w:t>
            </w:r>
            <w:r w:rsidR="00A908F2" w:rsidRPr="00EA2D13">
              <w:rPr>
                <w:rFonts w:hint="eastAsia"/>
                <w:szCs w:val="24"/>
              </w:rPr>
              <w:t>主要情况</w:t>
            </w:r>
          </w:p>
          <w:p w14:paraId="045099BA" w14:textId="77777777" w:rsidR="00BA7FB8" w:rsidRDefault="00BA7FB8" w:rsidP="00BA7FB8">
            <w:r>
              <w:rPr>
                <w:rFonts w:hint="eastAsia"/>
              </w:rPr>
              <w:t>感谢中信、申万、浙商、国盛、华源、民生、方正、中信建投、中邮、平安、信达的各位老师组织本次键凯科技的中报电话会。大家好，我是键凯科技的证券事务代表常逸群。</w:t>
            </w:r>
          </w:p>
          <w:p w14:paraId="23262A72" w14:textId="3638E5BA" w:rsidR="00BA7FB8" w:rsidRDefault="00BA7FB8" w:rsidP="00BA7FB8">
            <w:r>
              <w:rPr>
                <w:rFonts w:hint="eastAsia"/>
              </w:rPr>
              <w:t>键凯科技于</w:t>
            </w:r>
            <w:r>
              <w:rPr>
                <w:rFonts w:hint="eastAsia"/>
              </w:rPr>
              <w:t>2025</w:t>
            </w:r>
            <w:r>
              <w:rPr>
                <w:rFonts w:hint="eastAsia"/>
              </w:rPr>
              <w:t>年</w:t>
            </w:r>
            <w:r>
              <w:rPr>
                <w:rFonts w:hint="eastAsia"/>
              </w:rPr>
              <w:t>8</w:t>
            </w:r>
            <w:r>
              <w:rPr>
                <w:rFonts w:hint="eastAsia"/>
              </w:rPr>
              <w:t>月</w:t>
            </w:r>
            <w:r>
              <w:rPr>
                <w:rFonts w:hint="eastAsia"/>
              </w:rPr>
              <w:t>29</w:t>
            </w:r>
            <w:r>
              <w:rPr>
                <w:rFonts w:hint="eastAsia"/>
              </w:rPr>
              <w:t>日披露了</w:t>
            </w:r>
            <w:r>
              <w:rPr>
                <w:rFonts w:hint="eastAsia"/>
              </w:rPr>
              <w:t>2025</w:t>
            </w:r>
            <w:r>
              <w:rPr>
                <w:rFonts w:hint="eastAsia"/>
              </w:rPr>
              <w:t>年的半年报告。现阶段，公司处于业绩转型调整期。</w:t>
            </w:r>
            <w:r>
              <w:rPr>
                <w:rFonts w:hint="eastAsia"/>
              </w:rPr>
              <w:t>2025</w:t>
            </w:r>
            <w:r>
              <w:rPr>
                <w:rFonts w:hint="eastAsia"/>
              </w:rPr>
              <w:t>年</w:t>
            </w:r>
            <w:r>
              <w:rPr>
                <w:rFonts w:hint="eastAsia"/>
              </w:rPr>
              <w:t>1-6</w:t>
            </w:r>
            <w:r>
              <w:rPr>
                <w:rFonts w:hint="eastAsia"/>
              </w:rPr>
              <w:t>月，键凯科技实现营业收入</w:t>
            </w:r>
            <w:r>
              <w:rPr>
                <w:rFonts w:hint="eastAsia"/>
              </w:rPr>
              <w:t>1.3</w:t>
            </w:r>
            <w:r>
              <w:rPr>
                <w:rFonts w:hint="eastAsia"/>
              </w:rPr>
              <w:t>亿元，同比上升</w:t>
            </w:r>
            <w:r>
              <w:rPr>
                <w:rFonts w:hint="eastAsia"/>
              </w:rPr>
              <w:t>0.89%</w:t>
            </w:r>
            <w:r>
              <w:rPr>
                <w:rFonts w:hint="eastAsia"/>
              </w:rPr>
              <w:t>；归属于母公司所有者净利润</w:t>
            </w:r>
            <w:r>
              <w:rPr>
                <w:rFonts w:hint="eastAsia"/>
              </w:rPr>
              <w:t>2205.45</w:t>
            </w:r>
            <w:r>
              <w:rPr>
                <w:rFonts w:hint="eastAsia"/>
              </w:rPr>
              <w:t>万元，同比下降</w:t>
            </w:r>
            <w:r>
              <w:rPr>
                <w:rFonts w:hint="eastAsia"/>
              </w:rPr>
              <w:t>21.</w:t>
            </w:r>
            <w:r w:rsidR="0052251A">
              <w:rPr>
                <w:rFonts w:hint="eastAsia"/>
              </w:rPr>
              <w:t>08</w:t>
            </w:r>
            <w:r>
              <w:rPr>
                <w:rFonts w:hint="eastAsia"/>
              </w:rPr>
              <w:t>%</w:t>
            </w:r>
            <w:r>
              <w:rPr>
                <w:rFonts w:hint="eastAsia"/>
              </w:rPr>
              <w:t>。</w:t>
            </w:r>
          </w:p>
          <w:p w14:paraId="0A3721E5" w14:textId="3A3B04A0" w:rsidR="00BA7FB8" w:rsidRDefault="00BA7FB8" w:rsidP="00BA7FB8">
            <w:r>
              <w:rPr>
                <w:rFonts w:hint="eastAsia"/>
              </w:rPr>
              <w:t>收入方面，产品销售收入</w:t>
            </w:r>
            <w:r w:rsidR="0052251A" w:rsidRPr="0052251A">
              <w:t>12,556.42</w:t>
            </w:r>
            <w:r w:rsidR="0052251A" w:rsidRPr="0052251A">
              <w:t>万元</w:t>
            </w:r>
            <w:r>
              <w:rPr>
                <w:rFonts w:hint="eastAsia"/>
              </w:rPr>
              <w:t>，较上年同期下降</w:t>
            </w:r>
            <w:r>
              <w:rPr>
                <w:rFonts w:hint="eastAsia"/>
              </w:rPr>
              <w:t>0.26%</w:t>
            </w:r>
            <w:r>
              <w:rPr>
                <w:rFonts w:hint="eastAsia"/>
              </w:rPr>
              <w:t>。其中，国内产品销售收入较上年同期下降</w:t>
            </w:r>
            <w:r>
              <w:rPr>
                <w:rFonts w:hint="eastAsia"/>
              </w:rPr>
              <w:t>58.35%</w:t>
            </w:r>
            <w:r>
              <w:rPr>
                <w:rFonts w:hint="eastAsia"/>
              </w:rPr>
              <w:t>，主要为原有</w:t>
            </w:r>
            <w:r w:rsidRPr="0093108B">
              <w:rPr>
                <w:rFonts w:hint="eastAsia"/>
              </w:rPr>
              <w:t>国</w:t>
            </w:r>
            <w:r>
              <w:rPr>
                <w:rFonts w:hint="eastAsia"/>
              </w:rPr>
              <w:t>内</w:t>
            </w:r>
            <w:r w:rsidRPr="0093108B">
              <w:rPr>
                <w:rFonts w:hint="eastAsia"/>
              </w:rPr>
              <w:t>主要客户因自建产能导致订单量</w:t>
            </w:r>
            <w:r>
              <w:rPr>
                <w:rFonts w:hint="eastAsia"/>
              </w:rPr>
              <w:t>同比</w:t>
            </w:r>
            <w:r w:rsidRPr="0093108B">
              <w:rPr>
                <w:rFonts w:hint="eastAsia"/>
              </w:rPr>
              <w:t>大幅减少</w:t>
            </w:r>
            <w:r>
              <w:rPr>
                <w:rFonts w:hint="eastAsia"/>
              </w:rPr>
              <w:t>，</w:t>
            </w:r>
            <w:r w:rsidRPr="0093108B">
              <w:rPr>
                <w:rFonts w:hint="eastAsia"/>
              </w:rPr>
              <w:t>同时下游新药及医疗器械研发端客户的订单波动综合所致</w:t>
            </w:r>
            <w:r>
              <w:rPr>
                <w:rFonts w:hint="eastAsia"/>
              </w:rPr>
              <w:t>；国外产品销售收入较上年同期增长</w:t>
            </w:r>
            <w:r>
              <w:rPr>
                <w:rFonts w:hint="eastAsia"/>
              </w:rPr>
              <w:t>36.96%</w:t>
            </w:r>
            <w:r>
              <w:rPr>
                <w:rFonts w:hint="eastAsia"/>
              </w:rPr>
              <w:t>，主要来自国际商业化药品端客户订单的快速增长。</w:t>
            </w:r>
            <w:r>
              <w:rPr>
                <w:rFonts w:hint="eastAsia"/>
              </w:rPr>
              <w:t>2025</w:t>
            </w:r>
            <w:r>
              <w:rPr>
                <w:rFonts w:hint="eastAsia"/>
              </w:rPr>
              <w:t>年上半年的技术服务收入为</w:t>
            </w:r>
            <w:r>
              <w:rPr>
                <w:rFonts w:hint="eastAsia"/>
              </w:rPr>
              <w:t>377.78</w:t>
            </w:r>
            <w:r>
              <w:rPr>
                <w:rFonts w:hint="eastAsia"/>
              </w:rPr>
              <w:t>万元，较</w:t>
            </w:r>
            <w:r>
              <w:rPr>
                <w:rFonts w:hint="eastAsia"/>
              </w:rPr>
              <w:t>2024</w:t>
            </w:r>
            <w:r>
              <w:rPr>
                <w:rFonts w:hint="eastAsia"/>
              </w:rPr>
              <w:t>年同期增加</w:t>
            </w:r>
            <w:r>
              <w:rPr>
                <w:rFonts w:hint="eastAsia"/>
              </w:rPr>
              <w:t>83.77%</w:t>
            </w:r>
            <w:r>
              <w:rPr>
                <w:rFonts w:hint="eastAsia"/>
              </w:rPr>
              <w:t>，主要为向厦门特宝收取的销售提成增加导致。</w:t>
            </w:r>
          </w:p>
          <w:p w14:paraId="001C16CD" w14:textId="77777777" w:rsidR="00BA7FB8" w:rsidRDefault="00BA7FB8" w:rsidP="00BA7FB8">
            <w:r>
              <w:rPr>
                <w:rFonts w:hint="eastAsia"/>
              </w:rPr>
              <w:t>归母净利润方面，辽宁募投项目于</w:t>
            </w:r>
            <w:r>
              <w:rPr>
                <w:rFonts w:hint="eastAsia"/>
              </w:rPr>
              <w:t>2024</w:t>
            </w:r>
            <w:r>
              <w:rPr>
                <w:rFonts w:hint="eastAsia"/>
              </w:rPr>
              <w:t>年</w:t>
            </w:r>
            <w:r>
              <w:rPr>
                <w:rFonts w:hint="eastAsia"/>
              </w:rPr>
              <w:t>10</w:t>
            </w:r>
            <w:r>
              <w:rPr>
                <w:rFonts w:hint="eastAsia"/>
              </w:rPr>
              <w:t>月开始正式生产，在报告期内已经全部转固。报告期内，公司</w:t>
            </w:r>
            <w:r w:rsidRPr="003411C5">
              <w:rPr>
                <w:rFonts w:hint="eastAsia"/>
              </w:rPr>
              <w:t>利润总额、</w:t>
            </w:r>
            <w:r>
              <w:rPr>
                <w:rFonts w:hint="eastAsia"/>
              </w:rPr>
              <w:t>归母</w:t>
            </w:r>
            <w:r w:rsidRPr="003411C5">
              <w:rPr>
                <w:rFonts w:hint="eastAsia"/>
              </w:rPr>
              <w:t>净利润及</w:t>
            </w:r>
            <w:r>
              <w:rPr>
                <w:rFonts w:hint="eastAsia"/>
              </w:rPr>
              <w:t>扣非后的归母</w:t>
            </w:r>
            <w:r w:rsidRPr="003411C5">
              <w:rPr>
                <w:rFonts w:hint="eastAsia"/>
              </w:rPr>
              <w:t>净利润较上年同期分别减少</w:t>
            </w:r>
            <w:r w:rsidRPr="003411C5">
              <w:rPr>
                <w:rFonts w:hint="eastAsia"/>
              </w:rPr>
              <w:t>21.35%</w:t>
            </w:r>
            <w:r w:rsidRPr="003411C5">
              <w:rPr>
                <w:rFonts w:hint="eastAsia"/>
              </w:rPr>
              <w:t>、</w:t>
            </w:r>
            <w:r w:rsidRPr="003411C5">
              <w:rPr>
                <w:rFonts w:hint="eastAsia"/>
              </w:rPr>
              <w:t>21.08%</w:t>
            </w:r>
            <w:r w:rsidRPr="003411C5">
              <w:rPr>
                <w:rFonts w:hint="eastAsia"/>
              </w:rPr>
              <w:t>以及</w:t>
            </w:r>
            <w:r w:rsidRPr="003411C5">
              <w:rPr>
                <w:rFonts w:hint="eastAsia"/>
              </w:rPr>
              <w:t>21.50%</w:t>
            </w:r>
            <w:r w:rsidRPr="003411C5">
              <w:rPr>
                <w:rFonts w:hint="eastAsia"/>
              </w:rPr>
              <w:t>，</w:t>
            </w:r>
            <w:r>
              <w:rPr>
                <w:rFonts w:hint="eastAsia"/>
              </w:rPr>
              <w:t>主要由于</w:t>
            </w:r>
            <w:r w:rsidRPr="003411C5">
              <w:rPr>
                <w:rFonts w:hint="eastAsia"/>
              </w:rPr>
              <w:t>辽宁盘锦新厂投入使用后折旧摊销及生产运营成本增加</w:t>
            </w:r>
            <w:r>
              <w:rPr>
                <w:rFonts w:hint="eastAsia"/>
              </w:rPr>
              <w:t>，</w:t>
            </w:r>
            <w:r w:rsidRPr="003411C5">
              <w:rPr>
                <w:rFonts w:hint="eastAsia"/>
              </w:rPr>
              <w:t>导致主营业务成本同比增加</w:t>
            </w:r>
            <w:r>
              <w:rPr>
                <w:rFonts w:hint="eastAsia"/>
              </w:rPr>
              <w:t>。</w:t>
            </w:r>
          </w:p>
          <w:p w14:paraId="50A36A53" w14:textId="77777777" w:rsidR="00BA7FB8" w:rsidRDefault="00BA7FB8" w:rsidP="00BA7FB8">
            <w:r>
              <w:rPr>
                <w:rFonts w:hint="eastAsia"/>
              </w:rPr>
              <w:t>经营性现金流方面，报告期内经营性现金流较上年同期下降</w:t>
            </w:r>
            <w:r>
              <w:rPr>
                <w:rFonts w:hint="eastAsia"/>
              </w:rPr>
              <w:t>88.22%</w:t>
            </w:r>
            <w:r>
              <w:rPr>
                <w:rFonts w:hint="eastAsia"/>
              </w:rPr>
              <w:t>，主要由于</w:t>
            </w:r>
            <w:r>
              <w:rPr>
                <w:rFonts w:hint="eastAsia"/>
              </w:rPr>
              <w:t>2024</w:t>
            </w:r>
            <w:r>
              <w:rPr>
                <w:rFonts w:hint="eastAsia"/>
              </w:rPr>
              <w:t>年末应收账款较</w:t>
            </w:r>
            <w:r>
              <w:rPr>
                <w:rFonts w:hint="eastAsia"/>
              </w:rPr>
              <w:t>2023</w:t>
            </w:r>
            <w:r>
              <w:rPr>
                <w:rFonts w:hint="eastAsia"/>
              </w:rPr>
              <w:t>年同期大幅下降，导致报告期内回收的上年度应收款项同比减少。</w:t>
            </w:r>
          </w:p>
          <w:p w14:paraId="2832C04E" w14:textId="77777777" w:rsidR="00BA7FB8" w:rsidRDefault="00BA7FB8" w:rsidP="00BA7FB8">
            <w:r>
              <w:rPr>
                <w:rFonts w:hint="eastAsia"/>
              </w:rPr>
              <w:t>截至</w:t>
            </w:r>
            <w:r>
              <w:rPr>
                <w:rFonts w:hint="eastAsia"/>
              </w:rPr>
              <w:t>2025</w:t>
            </w:r>
            <w:r>
              <w:rPr>
                <w:rFonts w:hint="eastAsia"/>
              </w:rPr>
              <w:t>年半年报披露日，键凯科技已支持</w:t>
            </w:r>
            <w:r>
              <w:rPr>
                <w:rFonts w:hint="eastAsia"/>
              </w:rPr>
              <w:t>8</w:t>
            </w:r>
            <w:r>
              <w:rPr>
                <w:rFonts w:hint="eastAsia"/>
              </w:rPr>
              <w:t>款国内已上市及</w:t>
            </w:r>
            <w:r>
              <w:rPr>
                <w:rFonts w:hint="eastAsia"/>
              </w:rPr>
              <w:t>3</w:t>
            </w:r>
            <w:r>
              <w:rPr>
                <w:rFonts w:hint="eastAsia"/>
              </w:rPr>
              <w:t>款国际已上市的聚乙二醇化药物产品，</w:t>
            </w:r>
            <w:r>
              <w:rPr>
                <w:rFonts w:hint="eastAsia"/>
              </w:rPr>
              <w:t>5</w:t>
            </w:r>
            <w:r>
              <w:rPr>
                <w:rFonts w:hint="eastAsia"/>
              </w:rPr>
              <w:t>款国内已上市及</w:t>
            </w:r>
            <w:r>
              <w:rPr>
                <w:rFonts w:hint="eastAsia"/>
              </w:rPr>
              <w:t>11</w:t>
            </w:r>
            <w:r>
              <w:rPr>
                <w:rFonts w:hint="eastAsia"/>
              </w:rPr>
              <w:t>款国际已上市的聚乙二醇医疗器械产品，以及</w:t>
            </w:r>
            <w:r>
              <w:rPr>
                <w:rFonts w:hint="eastAsia"/>
              </w:rPr>
              <w:t>90</w:t>
            </w:r>
            <w:r>
              <w:rPr>
                <w:rFonts w:hint="eastAsia"/>
              </w:rPr>
              <w:t>余项处于临床阶段或接近临床阶段的境内外创新药物或医疗器械类项目。</w:t>
            </w:r>
          </w:p>
          <w:p w14:paraId="3E084382" w14:textId="77777777" w:rsidR="00BA7FB8" w:rsidRDefault="00BA7FB8" w:rsidP="00BA7FB8">
            <w:r>
              <w:rPr>
                <w:rFonts w:hint="eastAsia"/>
              </w:rPr>
              <w:t>研发投入方面，</w:t>
            </w:r>
            <w:r w:rsidRPr="002E50E4">
              <w:rPr>
                <w:rFonts w:hint="eastAsia"/>
              </w:rPr>
              <w:t>报告期内，公司研发投入合计</w:t>
            </w:r>
            <w:r w:rsidRPr="002E50E4">
              <w:rPr>
                <w:rFonts w:hint="eastAsia"/>
              </w:rPr>
              <w:t>4,260.34</w:t>
            </w:r>
            <w:r w:rsidRPr="002E50E4">
              <w:rPr>
                <w:rFonts w:hint="eastAsia"/>
              </w:rPr>
              <w:lastRenderedPageBreak/>
              <w:t>万元，较上年同期增加</w:t>
            </w:r>
            <w:r w:rsidRPr="002E50E4">
              <w:rPr>
                <w:rFonts w:hint="eastAsia"/>
              </w:rPr>
              <w:t>52.44%</w:t>
            </w:r>
            <w:r w:rsidRPr="002E50E4">
              <w:rPr>
                <w:rFonts w:hint="eastAsia"/>
              </w:rPr>
              <w:t>；研发投入占营业收入比例为</w:t>
            </w:r>
            <w:r w:rsidRPr="002E50E4">
              <w:rPr>
                <w:rFonts w:hint="eastAsia"/>
              </w:rPr>
              <w:t>32.84%</w:t>
            </w:r>
            <w:r w:rsidRPr="002E50E4">
              <w:rPr>
                <w:rFonts w:hint="eastAsia"/>
              </w:rPr>
              <w:t>，较上年同期增加</w:t>
            </w:r>
            <w:r w:rsidRPr="002E50E4">
              <w:rPr>
                <w:rFonts w:hint="eastAsia"/>
              </w:rPr>
              <w:t>11.11</w:t>
            </w:r>
            <w:r w:rsidRPr="002E50E4">
              <w:rPr>
                <w:rFonts w:hint="eastAsia"/>
              </w:rPr>
              <w:t>个百分点。其中，</w:t>
            </w:r>
            <w:r>
              <w:rPr>
                <w:rFonts w:hint="eastAsia"/>
              </w:rPr>
              <w:t>资本化研发投入</w:t>
            </w:r>
            <w:r w:rsidRPr="002E50E4">
              <w:rPr>
                <w:rFonts w:hint="eastAsia"/>
              </w:rPr>
              <w:t>1,794.11</w:t>
            </w:r>
            <w:r w:rsidRPr="002E50E4">
              <w:rPr>
                <w:rFonts w:hint="eastAsia"/>
              </w:rPr>
              <w:t>万元，</w:t>
            </w:r>
            <w:r>
              <w:rPr>
                <w:rFonts w:hint="eastAsia"/>
              </w:rPr>
              <w:t>主要为</w:t>
            </w:r>
            <w:r>
              <w:rPr>
                <w:rFonts w:hint="eastAsia"/>
              </w:rPr>
              <w:t>PEG</w:t>
            </w:r>
            <w:r>
              <w:rPr>
                <w:rFonts w:hint="eastAsia"/>
              </w:rPr>
              <w:t>伊立替康小细胞肺癌适应症Ⅲ期临床入组费用。</w:t>
            </w:r>
            <w:r w:rsidRPr="002E50E4">
              <w:rPr>
                <w:rFonts w:hint="eastAsia"/>
              </w:rPr>
              <w:t>费用化研发投入</w:t>
            </w:r>
            <w:r w:rsidRPr="002E50E4">
              <w:rPr>
                <w:rFonts w:hint="eastAsia"/>
              </w:rPr>
              <w:t>2,466.23</w:t>
            </w:r>
            <w:r w:rsidRPr="002E50E4">
              <w:rPr>
                <w:rFonts w:hint="eastAsia"/>
              </w:rPr>
              <w:t>万元</w:t>
            </w:r>
            <w:r>
              <w:rPr>
                <w:rFonts w:hint="eastAsia"/>
              </w:rPr>
              <w:t>。医美器械方面，聚乙二醇交联透明质酸钠凝胶项目已于日前正式获得医疗器械注册证并获得生产许可证；注射用复合透明质酸钠溶液项目已提交上市申请。其余在研管线均结合公司全年的预算调整情况，按计划稳步推进。</w:t>
            </w:r>
          </w:p>
          <w:p w14:paraId="19DB2D97" w14:textId="776F6C75" w:rsidR="007046B5" w:rsidRDefault="00BA7FB8" w:rsidP="00782E83">
            <w:r>
              <w:rPr>
                <w:rFonts w:hint="eastAsia"/>
              </w:rPr>
              <w:t>以上是一些基本情况的介绍，谢谢大家！关于一些细节，欢迎大家在接下来的环节中提问。</w:t>
            </w:r>
          </w:p>
          <w:p w14:paraId="660CA3AB" w14:textId="77777777" w:rsidR="007046B5" w:rsidRDefault="007046B5" w:rsidP="00782E83"/>
          <w:p w14:paraId="416B3F79" w14:textId="0870AF95" w:rsidR="00B31C95" w:rsidRDefault="00F004B2" w:rsidP="00782E83">
            <w:pPr>
              <w:rPr>
                <w:szCs w:val="24"/>
              </w:rPr>
            </w:pPr>
            <w:r w:rsidRPr="00121A63">
              <w:rPr>
                <w:rFonts w:hint="eastAsia"/>
                <w:szCs w:val="24"/>
              </w:rPr>
              <w:t>二、</w:t>
            </w:r>
            <w:r w:rsidR="00B31C95" w:rsidRPr="00121A63">
              <w:rPr>
                <w:rFonts w:hint="eastAsia"/>
                <w:szCs w:val="24"/>
              </w:rPr>
              <w:t>投资者问答：</w:t>
            </w:r>
          </w:p>
          <w:p w14:paraId="54C47F39" w14:textId="0F97F413" w:rsidR="005230E3" w:rsidRPr="005230E3" w:rsidRDefault="005230E3" w:rsidP="005230E3">
            <w:pPr>
              <w:rPr>
                <w:szCs w:val="24"/>
              </w:rPr>
            </w:pPr>
            <w:r>
              <w:rPr>
                <w:szCs w:val="24"/>
              </w:rPr>
              <w:t>Q</w:t>
            </w:r>
            <w:r>
              <w:rPr>
                <w:rFonts w:hint="eastAsia"/>
                <w:szCs w:val="24"/>
              </w:rPr>
              <w:t>:</w:t>
            </w:r>
            <w:r w:rsidRPr="005230E3">
              <w:rPr>
                <w:rFonts w:hint="eastAsia"/>
                <w:szCs w:val="24"/>
              </w:rPr>
              <w:t>医美产品商业化策略及销售目标？</w:t>
            </w:r>
          </w:p>
          <w:p w14:paraId="544C07F0" w14:textId="77777777" w:rsidR="00AB7DBA" w:rsidRDefault="005230E3" w:rsidP="002930C1">
            <w:pPr>
              <w:rPr>
                <w:color w:val="EE0000"/>
              </w:rPr>
            </w:pPr>
            <w:r w:rsidRPr="005230E3">
              <w:rPr>
                <w:rFonts w:hint="eastAsia"/>
                <w:szCs w:val="24"/>
              </w:rPr>
              <w:t>A</w:t>
            </w:r>
            <w:r w:rsidRPr="005230E3">
              <w:rPr>
                <w:rFonts w:hint="eastAsia"/>
                <w:szCs w:val="24"/>
              </w:rPr>
              <w:t>：由于医美产品是第一次投入市场，因此公司未对医美产品制定严格的销售目标。今年主要的商业化重点在于对品牌和产品的差异性进行市场推广。</w:t>
            </w:r>
          </w:p>
          <w:p w14:paraId="29260B16" w14:textId="3C2E38F6" w:rsidR="002930C1" w:rsidRPr="0033425D" w:rsidRDefault="00CC2A10" w:rsidP="002930C1">
            <w:pPr>
              <w:rPr>
                <w:color w:val="EE0000"/>
              </w:rPr>
            </w:pPr>
            <w:r w:rsidRPr="00EA2D13">
              <w:rPr>
                <w:szCs w:val="24"/>
              </w:rPr>
              <w:t>Q</w:t>
            </w:r>
            <w:r w:rsidRPr="00EA2D13">
              <w:rPr>
                <w:rFonts w:hint="eastAsia"/>
                <w:szCs w:val="24"/>
              </w:rPr>
              <w:t>：</w:t>
            </w:r>
            <w:r w:rsidR="002930C1" w:rsidRPr="002930C1">
              <w:rPr>
                <w:rFonts w:hint="eastAsia"/>
                <w:szCs w:val="24"/>
              </w:rPr>
              <w:t>公司国内海外主要头部客户后续收入贡献趋势展望以及下游客户有潜力的项目目前的进展和对我们的增量？</w:t>
            </w:r>
          </w:p>
          <w:p w14:paraId="584A4541" w14:textId="33841CBD" w:rsidR="009C7CAA" w:rsidRPr="002930C1" w:rsidRDefault="002930C1" w:rsidP="002930C1">
            <w:pPr>
              <w:rPr>
                <w:szCs w:val="24"/>
              </w:rPr>
            </w:pPr>
            <w:r w:rsidRPr="002930C1">
              <w:rPr>
                <w:rFonts w:hint="eastAsia"/>
                <w:szCs w:val="24"/>
              </w:rPr>
              <w:t>A</w:t>
            </w:r>
            <w:r w:rsidRPr="002930C1">
              <w:rPr>
                <w:rFonts w:hint="eastAsia"/>
                <w:szCs w:val="24"/>
              </w:rPr>
              <w:t>：目前公司海外新药大客户已经确认的订单与去年同比有较大提升，如果这部分订单能够在今年年底之前全部交付，会对公司海外收入产生一定拉动。其他原有海外客户的订单情况综合来看对比去年也有小幅提升。目前处在</w:t>
            </w:r>
            <w:r w:rsidRPr="002930C1">
              <w:rPr>
                <w:rFonts w:hint="eastAsia"/>
                <w:szCs w:val="24"/>
              </w:rPr>
              <w:t>BLA</w:t>
            </w:r>
            <w:r w:rsidRPr="002930C1">
              <w:rPr>
                <w:rFonts w:hint="eastAsia"/>
                <w:szCs w:val="24"/>
              </w:rPr>
              <w:t>阶段的两个国际项目，一个日前公告已经进入实质性审查阶段，另一个也进展顺利。国内客户方面，随着特宝长效生长激素的获批上市，对特宝收取的技术服务费会有一定提升，提升幅度需要参考特宝的实际销售情况。从今年开始，国内医疗器械端逐渐有新的商业化项目产生，虽然短期内对整体营收情况尚不产生重大影响，随着这些项目商业化的进展，预计未来会对国内的收入结构产生比较良性的影响。</w:t>
            </w:r>
          </w:p>
          <w:p w14:paraId="19408424" w14:textId="0E7197DF" w:rsidR="003A0D0E" w:rsidRPr="003A0D0E" w:rsidRDefault="003A0D0E" w:rsidP="003A0D0E">
            <w:pPr>
              <w:rPr>
                <w:szCs w:val="24"/>
              </w:rPr>
            </w:pPr>
            <w:r>
              <w:rPr>
                <w:szCs w:val="24"/>
              </w:rPr>
              <w:t>Q</w:t>
            </w:r>
            <w:r>
              <w:rPr>
                <w:rFonts w:hint="eastAsia"/>
                <w:szCs w:val="24"/>
              </w:rPr>
              <w:t>:</w:t>
            </w:r>
            <w:r w:rsidRPr="003A0D0E">
              <w:rPr>
                <w:rFonts w:hint="eastAsia"/>
                <w:szCs w:val="24"/>
              </w:rPr>
              <w:t>盘锦上半年的使用状态？未来</w:t>
            </w:r>
            <w:r w:rsidRPr="003A0D0E">
              <w:rPr>
                <w:rFonts w:hint="eastAsia"/>
                <w:szCs w:val="24"/>
              </w:rPr>
              <w:t>2</w:t>
            </w:r>
            <w:r w:rsidRPr="003A0D0E">
              <w:rPr>
                <w:rFonts w:hint="eastAsia"/>
                <w:szCs w:val="24"/>
              </w:rPr>
              <w:t>年利用率提升预期？以及主要增量项目？</w:t>
            </w:r>
          </w:p>
          <w:p w14:paraId="1EF09363" w14:textId="77777777" w:rsidR="003A0D0E" w:rsidRDefault="003A0D0E" w:rsidP="003A0D0E">
            <w:pPr>
              <w:rPr>
                <w:szCs w:val="24"/>
              </w:rPr>
            </w:pPr>
            <w:r w:rsidRPr="003A0D0E">
              <w:rPr>
                <w:rFonts w:hint="eastAsia"/>
                <w:szCs w:val="24"/>
              </w:rPr>
              <w:t>A</w:t>
            </w:r>
            <w:r w:rsidRPr="003A0D0E">
              <w:rPr>
                <w:rFonts w:hint="eastAsia"/>
                <w:szCs w:val="24"/>
              </w:rPr>
              <w:t>：目前盘锦的产能利用率与去年年报的情况基本持平，整体的产能利用情况在持续改善。目前盘锦的产品仍然以原材料和中间体为主。目前转移到盘锦的新产品以新客户的项目为主，由于新客户项目仍处于临床早期阶段，在短期内对销售情况的整体拉动有限，但未来随着客户项目持续进展，产能利用率及产值有望持续提升。</w:t>
            </w:r>
          </w:p>
          <w:p w14:paraId="6032ABE0" w14:textId="63FC8D84" w:rsidR="00B676A5" w:rsidRPr="00B676A5" w:rsidRDefault="002070FE" w:rsidP="00B676A5">
            <w:pPr>
              <w:rPr>
                <w:szCs w:val="24"/>
              </w:rPr>
            </w:pPr>
            <w:r w:rsidRPr="00B676A5">
              <w:rPr>
                <w:szCs w:val="24"/>
              </w:rPr>
              <w:t>Q</w:t>
            </w:r>
            <w:r w:rsidRPr="00B676A5">
              <w:rPr>
                <w:rFonts w:hint="eastAsia"/>
                <w:szCs w:val="24"/>
              </w:rPr>
              <w:t>：</w:t>
            </w:r>
            <w:r w:rsidR="00B676A5" w:rsidRPr="00B676A5">
              <w:rPr>
                <w:rFonts w:hint="eastAsia"/>
                <w:szCs w:val="24"/>
              </w:rPr>
              <w:t>研发费用投入规划</w:t>
            </w:r>
          </w:p>
          <w:p w14:paraId="659E7D59" w14:textId="6645C394" w:rsidR="00B676A5" w:rsidRPr="005B646A" w:rsidRDefault="00B676A5" w:rsidP="00B676A5">
            <w:r w:rsidRPr="00B676A5">
              <w:rPr>
                <w:rFonts w:hint="eastAsia"/>
                <w:szCs w:val="24"/>
              </w:rPr>
              <w:t>A</w:t>
            </w:r>
            <w:r w:rsidRPr="00B676A5">
              <w:rPr>
                <w:rFonts w:hint="eastAsia"/>
                <w:szCs w:val="24"/>
              </w:rPr>
              <w:t>：研发费用主要是现有聚乙二醇伊立替康</w:t>
            </w:r>
            <w:r w:rsidRPr="00B676A5">
              <w:rPr>
                <w:rFonts w:hint="eastAsia"/>
                <w:szCs w:val="24"/>
              </w:rPr>
              <w:t>II</w:t>
            </w:r>
            <w:r w:rsidRPr="00B676A5">
              <w:rPr>
                <w:rFonts w:hint="eastAsia"/>
                <w:szCs w:val="24"/>
              </w:rPr>
              <w:t>期临床两个适应症的研发费用以及公司拟在</w:t>
            </w:r>
            <w:r w:rsidRPr="00B676A5">
              <w:rPr>
                <w:rFonts w:hint="eastAsia"/>
                <w:szCs w:val="24"/>
              </w:rPr>
              <w:t>2025</w:t>
            </w:r>
            <w:r w:rsidRPr="00B676A5">
              <w:rPr>
                <w:rFonts w:hint="eastAsia"/>
                <w:szCs w:val="24"/>
              </w:rPr>
              <w:t>年重点推进的</w:t>
            </w:r>
            <w:r w:rsidRPr="00B676A5">
              <w:rPr>
                <w:rFonts w:hint="eastAsia"/>
                <w:szCs w:val="24"/>
              </w:rPr>
              <w:lastRenderedPageBreak/>
              <w:t>3</w:t>
            </w:r>
            <w:r w:rsidRPr="00B676A5">
              <w:rPr>
                <w:rFonts w:hint="eastAsia"/>
                <w:szCs w:val="24"/>
              </w:rPr>
              <w:t>个新应用领域研发项目。</w:t>
            </w:r>
            <w:r w:rsidR="00DC2F17" w:rsidRPr="00AB7DBA">
              <w:rPr>
                <w:rFonts w:hint="eastAsia"/>
              </w:rPr>
              <w:t>这些项目是进行费用化处理的</w:t>
            </w:r>
            <w:r w:rsidR="005B646A" w:rsidRPr="00AB7DBA">
              <w:rPr>
                <w:rFonts w:hint="eastAsia"/>
              </w:rPr>
              <w:t>。</w:t>
            </w:r>
            <w:r w:rsidR="005B646A" w:rsidRPr="00B676A5">
              <w:rPr>
                <w:rFonts w:hint="eastAsia"/>
                <w:szCs w:val="24"/>
              </w:rPr>
              <w:t>2025</w:t>
            </w:r>
            <w:r w:rsidR="005B646A" w:rsidRPr="00B676A5">
              <w:rPr>
                <w:rFonts w:hint="eastAsia"/>
                <w:szCs w:val="24"/>
              </w:rPr>
              <w:t>年费用化研发投入，预计全年控制在营业收入的</w:t>
            </w:r>
            <w:r w:rsidR="005B646A" w:rsidRPr="00B676A5">
              <w:rPr>
                <w:rFonts w:hint="eastAsia"/>
                <w:szCs w:val="24"/>
              </w:rPr>
              <w:t>25%</w:t>
            </w:r>
            <w:r w:rsidR="005B646A" w:rsidRPr="00B676A5">
              <w:rPr>
                <w:rFonts w:hint="eastAsia"/>
                <w:szCs w:val="24"/>
              </w:rPr>
              <w:t>左右，还需要根据各研发项目的进度来确认相关研发费用。</w:t>
            </w:r>
            <w:r w:rsidRPr="00B676A5">
              <w:rPr>
                <w:rFonts w:hint="eastAsia"/>
                <w:szCs w:val="24"/>
              </w:rPr>
              <w:t>伊立替康的三期费用将进行资本化处理。</w:t>
            </w:r>
          </w:p>
          <w:p w14:paraId="75CFB943" w14:textId="7AC803C6" w:rsidR="005B646A" w:rsidRPr="005B646A" w:rsidRDefault="005B646A" w:rsidP="005B646A">
            <w:pPr>
              <w:rPr>
                <w:szCs w:val="24"/>
              </w:rPr>
            </w:pPr>
            <w:r>
              <w:rPr>
                <w:szCs w:val="24"/>
              </w:rPr>
              <w:t>Q</w:t>
            </w:r>
            <w:r w:rsidRPr="005B646A">
              <w:rPr>
                <w:rFonts w:hint="eastAsia"/>
                <w:szCs w:val="24"/>
              </w:rPr>
              <w:t>：伊立替康项目临床时间规划与后续费用支出计划？</w:t>
            </w:r>
          </w:p>
          <w:p w14:paraId="0C3B9DE5" w14:textId="536EB219" w:rsidR="00B676A5" w:rsidRPr="00B676A5" w:rsidRDefault="005B646A" w:rsidP="00B676A5">
            <w:pPr>
              <w:rPr>
                <w:szCs w:val="24"/>
              </w:rPr>
            </w:pPr>
            <w:r w:rsidRPr="005B646A">
              <w:rPr>
                <w:rFonts w:hint="eastAsia"/>
                <w:szCs w:val="24"/>
              </w:rPr>
              <w:t>A</w:t>
            </w:r>
            <w:r w:rsidRPr="005B646A">
              <w:rPr>
                <w:rFonts w:hint="eastAsia"/>
                <w:szCs w:val="24"/>
              </w:rPr>
              <w:t>：目前伊立替康小细胞肺癌适应症三期临床仍在入组，中期数据可能在</w:t>
            </w:r>
            <w:r w:rsidRPr="005B646A">
              <w:rPr>
                <w:rFonts w:hint="eastAsia"/>
                <w:szCs w:val="24"/>
              </w:rPr>
              <w:t>2026</w:t>
            </w:r>
            <w:r w:rsidRPr="005B646A">
              <w:rPr>
                <w:rFonts w:hint="eastAsia"/>
                <w:szCs w:val="24"/>
              </w:rPr>
              <w:t>年下半年读出。</w:t>
            </w:r>
            <w:r w:rsidRPr="005B646A">
              <w:rPr>
                <w:rFonts w:hint="eastAsia"/>
                <w:szCs w:val="24"/>
              </w:rPr>
              <w:t>2025</w:t>
            </w:r>
            <w:r w:rsidRPr="005B646A">
              <w:rPr>
                <w:rFonts w:hint="eastAsia"/>
                <w:szCs w:val="24"/>
              </w:rPr>
              <w:t>年上半年，伊立替康三期临床的费用投入约为</w:t>
            </w:r>
            <w:r w:rsidRPr="005B646A">
              <w:rPr>
                <w:rFonts w:hint="eastAsia"/>
                <w:szCs w:val="24"/>
              </w:rPr>
              <w:t>1800</w:t>
            </w:r>
            <w:r w:rsidRPr="005B646A">
              <w:rPr>
                <w:rFonts w:hint="eastAsia"/>
                <w:szCs w:val="24"/>
              </w:rPr>
              <w:t>万元，二期临床的投入约为</w:t>
            </w:r>
            <w:r w:rsidRPr="005B646A">
              <w:rPr>
                <w:rFonts w:hint="eastAsia"/>
                <w:szCs w:val="24"/>
              </w:rPr>
              <w:t>600</w:t>
            </w:r>
            <w:r w:rsidRPr="005B646A">
              <w:rPr>
                <w:rFonts w:hint="eastAsia"/>
                <w:szCs w:val="24"/>
              </w:rPr>
              <w:t>万。下半年计划三期临床还需要投入</w:t>
            </w:r>
            <w:r w:rsidRPr="005B646A">
              <w:rPr>
                <w:rFonts w:hint="eastAsia"/>
                <w:szCs w:val="24"/>
              </w:rPr>
              <w:t>5000</w:t>
            </w:r>
            <w:r w:rsidRPr="005B646A">
              <w:rPr>
                <w:rFonts w:hint="eastAsia"/>
                <w:szCs w:val="24"/>
              </w:rPr>
              <w:t>万元，二期临床需要</w:t>
            </w:r>
            <w:r w:rsidRPr="005B646A">
              <w:rPr>
                <w:rFonts w:hint="eastAsia"/>
                <w:szCs w:val="24"/>
              </w:rPr>
              <w:t>900</w:t>
            </w:r>
            <w:r w:rsidRPr="005B646A">
              <w:rPr>
                <w:rFonts w:hint="eastAsia"/>
                <w:szCs w:val="24"/>
              </w:rPr>
              <w:t>万元。未来伊立替康三期项目预计还需要投入约</w:t>
            </w:r>
            <w:r w:rsidRPr="005B646A">
              <w:rPr>
                <w:rFonts w:hint="eastAsia"/>
                <w:szCs w:val="24"/>
              </w:rPr>
              <w:t>8000</w:t>
            </w:r>
            <w:r w:rsidRPr="005B646A">
              <w:rPr>
                <w:rFonts w:hint="eastAsia"/>
                <w:szCs w:val="24"/>
              </w:rPr>
              <w:t>万元。</w:t>
            </w:r>
            <w:r w:rsidR="00B676A5" w:rsidRPr="00B676A5">
              <w:rPr>
                <w:rFonts w:hint="eastAsia"/>
                <w:szCs w:val="24"/>
              </w:rPr>
              <w:t>具体</w:t>
            </w:r>
            <w:r w:rsidR="00B676A5" w:rsidRPr="00AB7DBA">
              <w:rPr>
                <w:rFonts w:hint="eastAsia"/>
                <w:szCs w:val="24"/>
              </w:rPr>
              <w:t>计入资本化的</w:t>
            </w:r>
            <w:r w:rsidR="00B676A5" w:rsidRPr="00B676A5">
              <w:rPr>
                <w:rFonts w:hint="eastAsia"/>
                <w:szCs w:val="24"/>
              </w:rPr>
              <w:t>金额需要根据实际临床进度分项进行确认。</w:t>
            </w:r>
          </w:p>
          <w:p w14:paraId="61338B7B" w14:textId="68E8A1B3" w:rsidR="006D076B" w:rsidRPr="006D076B" w:rsidRDefault="006D076B" w:rsidP="006D076B">
            <w:pPr>
              <w:rPr>
                <w:szCs w:val="24"/>
              </w:rPr>
            </w:pPr>
            <w:r>
              <w:rPr>
                <w:szCs w:val="24"/>
              </w:rPr>
              <w:t>Q</w:t>
            </w:r>
            <w:r>
              <w:rPr>
                <w:rFonts w:hint="eastAsia"/>
                <w:szCs w:val="24"/>
              </w:rPr>
              <w:t>：</w:t>
            </w:r>
            <w:r w:rsidRPr="006D076B">
              <w:rPr>
                <w:rFonts w:hint="eastAsia"/>
                <w:szCs w:val="24"/>
              </w:rPr>
              <w:t>毛利率波动的主要原因，以及未来毛利率，净利率预期？</w:t>
            </w:r>
          </w:p>
          <w:p w14:paraId="117AE56C" w14:textId="77777777" w:rsidR="006D076B" w:rsidRPr="006D076B" w:rsidRDefault="006D076B" w:rsidP="006D076B">
            <w:pPr>
              <w:rPr>
                <w:szCs w:val="24"/>
              </w:rPr>
            </w:pPr>
            <w:r w:rsidRPr="006D076B">
              <w:rPr>
                <w:rFonts w:hint="eastAsia"/>
                <w:szCs w:val="24"/>
              </w:rPr>
              <w:t>A</w:t>
            </w:r>
            <w:r w:rsidRPr="006D076B">
              <w:rPr>
                <w:rFonts w:hint="eastAsia"/>
                <w:szCs w:val="24"/>
              </w:rPr>
              <w:t>：</w:t>
            </w:r>
            <w:r w:rsidRPr="006D076B">
              <w:rPr>
                <w:rFonts w:hint="eastAsia"/>
                <w:szCs w:val="24"/>
              </w:rPr>
              <w:t>2025</w:t>
            </w:r>
            <w:r w:rsidRPr="006D076B">
              <w:rPr>
                <w:rFonts w:hint="eastAsia"/>
                <w:szCs w:val="24"/>
              </w:rPr>
              <w:t>年上半年毛利率波动的主要原因：</w:t>
            </w:r>
          </w:p>
          <w:p w14:paraId="66FF9796" w14:textId="7F34659F" w:rsidR="001F0539" w:rsidRDefault="006D076B" w:rsidP="006D076B">
            <w:pPr>
              <w:rPr>
                <w:szCs w:val="24"/>
              </w:rPr>
            </w:pPr>
            <w:r w:rsidRPr="006D076B">
              <w:rPr>
                <w:rFonts w:hint="eastAsia"/>
                <w:szCs w:val="24"/>
              </w:rPr>
              <w:t>（</w:t>
            </w:r>
            <w:r w:rsidRPr="006D076B">
              <w:rPr>
                <w:rFonts w:hint="eastAsia"/>
                <w:szCs w:val="24"/>
              </w:rPr>
              <w:t>1</w:t>
            </w:r>
            <w:r w:rsidRPr="006D076B">
              <w:rPr>
                <w:rFonts w:hint="eastAsia"/>
                <w:szCs w:val="24"/>
              </w:rPr>
              <w:t>）国内产品，国内产品销售毛利率同比减少</w:t>
            </w:r>
            <w:r w:rsidRPr="00AB7DBA">
              <w:rPr>
                <w:rFonts w:hint="eastAsia"/>
                <w:szCs w:val="24"/>
              </w:rPr>
              <w:t>较多一些</w:t>
            </w:r>
            <w:r w:rsidR="00AB7DBA">
              <w:rPr>
                <w:rFonts w:hint="eastAsia"/>
                <w:szCs w:val="24"/>
              </w:rPr>
              <w:t>，</w:t>
            </w:r>
            <w:r w:rsidRPr="006D076B">
              <w:rPr>
                <w:rFonts w:hint="eastAsia"/>
                <w:szCs w:val="24"/>
              </w:rPr>
              <w:t>主要是特宝产品批次定价不同导致单价波动。（</w:t>
            </w:r>
            <w:r w:rsidRPr="006D076B">
              <w:rPr>
                <w:rFonts w:hint="eastAsia"/>
                <w:szCs w:val="24"/>
              </w:rPr>
              <w:t>2</w:t>
            </w:r>
            <w:r w:rsidRPr="006D076B">
              <w:rPr>
                <w:rFonts w:hint="eastAsia"/>
                <w:szCs w:val="24"/>
              </w:rPr>
              <w:t>）国际产品，国际产品销售毛利率同比减少</w:t>
            </w:r>
            <w:r w:rsidRPr="00AB7DBA">
              <w:rPr>
                <w:rFonts w:hint="eastAsia"/>
                <w:szCs w:val="24"/>
              </w:rPr>
              <w:t>，但是降幅比国内的毛利率下降的幅度</w:t>
            </w:r>
            <w:r w:rsidR="00AB7DBA" w:rsidRPr="00AB7DBA">
              <w:rPr>
                <w:rFonts w:hint="eastAsia"/>
                <w:szCs w:val="24"/>
              </w:rPr>
              <w:t>小</w:t>
            </w:r>
            <w:r w:rsidRPr="00AB7DBA">
              <w:rPr>
                <w:rFonts w:hint="eastAsia"/>
                <w:szCs w:val="24"/>
              </w:rPr>
              <w:t>。</w:t>
            </w:r>
            <w:r w:rsidRPr="006D076B">
              <w:rPr>
                <w:rFonts w:hint="eastAsia"/>
                <w:szCs w:val="24"/>
              </w:rPr>
              <w:t>国际产品</w:t>
            </w:r>
            <w:r w:rsidRPr="006D076B">
              <w:rPr>
                <w:rFonts w:hint="eastAsia"/>
                <w:szCs w:val="24"/>
              </w:rPr>
              <w:t>2025</w:t>
            </w:r>
            <w:r w:rsidRPr="006D076B">
              <w:rPr>
                <w:rFonts w:hint="eastAsia"/>
                <w:szCs w:val="24"/>
              </w:rPr>
              <w:t>年上半年由于产品销售结构变化，其平均销售单价同比是上升的，毛利率下降的主要原因是</w:t>
            </w:r>
            <w:r w:rsidRPr="006D076B">
              <w:rPr>
                <w:rFonts w:hint="eastAsia"/>
                <w:szCs w:val="24"/>
              </w:rPr>
              <w:t>2025</w:t>
            </w:r>
            <w:r w:rsidRPr="006D076B">
              <w:rPr>
                <w:rFonts w:hint="eastAsia"/>
                <w:szCs w:val="24"/>
              </w:rPr>
              <w:t>年上半年销售产品中因辽宁盘锦新厂投入使用而归集的折旧金额较大，导致营业成本同比增加较多。</w:t>
            </w:r>
          </w:p>
          <w:p w14:paraId="3D318006" w14:textId="3EE0503C" w:rsidR="007E4172" w:rsidRPr="007E4172" w:rsidRDefault="000659A3" w:rsidP="007E4172">
            <w:pPr>
              <w:rPr>
                <w:szCs w:val="24"/>
              </w:rPr>
            </w:pPr>
            <w:r>
              <w:rPr>
                <w:szCs w:val="24"/>
              </w:rPr>
              <w:t>Q</w:t>
            </w:r>
            <w:r>
              <w:rPr>
                <w:rFonts w:hint="eastAsia"/>
                <w:szCs w:val="24"/>
              </w:rPr>
              <w:t>：</w:t>
            </w:r>
            <w:r w:rsidR="007E4172" w:rsidRPr="007E4172">
              <w:rPr>
                <w:rFonts w:hint="eastAsia"/>
                <w:szCs w:val="24"/>
              </w:rPr>
              <w:t>后续产能建设规划？今明两年折旧预期？未来是否有股权激励计划？</w:t>
            </w:r>
          </w:p>
          <w:p w14:paraId="2F0938D4" w14:textId="77777777" w:rsidR="007E4172" w:rsidRPr="007E4172" w:rsidRDefault="007E4172" w:rsidP="007E4172">
            <w:pPr>
              <w:rPr>
                <w:szCs w:val="24"/>
              </w:rPr>
            </w:pPr>
            <w:r w:rsidRPr="007E4172">
              <w:rPr>
                <w:rFonts w:hint="eastAsia"/>
                <w:szCs w:val="24"/>
              </w:rPr>
              <w:t>A</w:t>
            </w:r>
            <w:r w:rsidRPr="007E4172">
              <w:rPr>
                <w:rFonts w:hint="eastAsia"/>
                <w:szCs w:val="24"/>
              </w:rPr>
              <w:t>：公司目前正在把已有产品的一些中间体的生产转移至盘锦新厂生产，目前已实现一个主要产品的生产步骤的转移，并实现了良好的规模化生产效应，该产品的毛利率有所提升。此外，公司也在积极承接新的客户，将新客户的产品在辽宁盘锦新厂落地。</w:t>
            </w:r>
          </w:p>
          <w:p w14:paraId="0FD5DDE8" w14:textId="33C7D0CE" w:rsidR="007E4172" w:rsidRPr="007E4172" w:rsidRDefault="007E4172" w:rsidP="007E4172">
            <w:pPr>
              <w:rPr>
                <w:szCs w:val="24"/>
              </w:rPr>
            </w:pPr>
            <w:r w:rsidRPr="007E4172">
              <w:rPr>
                <w:rFonts w:hint="eastAsia"/>
                <w:szCs w:val="24"/>
              </w:rPr>
              <w:t>今年预计盘锦新厂折旧金额为</w:t>
            </w:r>
            <w:r w:rsidRPr="007E4172">
              <w:rPr>
                <w:rFonts w:hint="eastAsia"/>
                <w:szCs w:val="24"/>
              </w:rPr>
              <w:t>2500</w:t>
            </w:r>
            <w:r w:rsidRPr="007E4172">
              <w:rPr>
                <w:rFonts w:hint="eastAsia"/>
                <w:szCs w:val="24"/>
              </w:rPr>
              <w:t>万元，</w:t>
            </w:r>
            <w:r w:rsidRPr="007E4172">
              <w:rPr>
                <w:rFonts w:hint="eastAsia"/>
                <w:szCs w:val="24"/>
              </w:rPr>
              <w:t>2026</w:t>
            </w:r>
            <w:r w:rsidRPr="007E4172">
              <w:rPr>
                <w:rFonts w:hint="eastAsia"/>
                <w:szCs w:val="24"/>
              </w:rPr>
              <w:t>年折旧金额也将保持在相同水平。但是</w:t>
            </w:r>
            <w:r w:rsidRPr="007E4172">
              <w:rPr>
                <w:rFonts w:hint="eastAsia"/>
                <w:szCs w:val="24"/>
              </w:rPr>
              <w:t>2025</w:t>
            </w:r>
            <w:r w:rsidRPr="007E4172">
              <w:rPr>
                <w:rFonts w:hint="eastAsia"/>
                <w:szCs w:val="24"/>
              </w:rPr>
              <w:t>年</w:t>
            </w:r>
            <w:r>
              <w:rPr>
                <w:rFonts w:hint="eastAsia"/>
                <w:szCs w:val="24"/>
              </w:rPr>
              <w:t>天津</w:t>
            </w:r>
            <w:r w:rsidRPr="007E4172">
              <w:rPr>
                <w:rFonts w:hint="eastAsia"/>
                <w:szCs w:val="24"/>
              </w:rPr>
              <w:t>键凯的医美生产线、天津键凯的衍生物生产线计划在下半年进行升级改造，预计会对</w:t>
            </w:r>
            <w:r w:rsidRPr="007E4172">
              <w:rPr>
                <w:rFonts w:hint="eastAsia"/>
                <w:szCs w:val="24"/>
              </w:rPr>
              <w:t>2026</w:t>
            </w:r>
            <w:r w:rsidRPr="007E4172">
              <w:rPr>
                <w:rFonts w:hint="eastAsia"/>
                <w:szCs w:val="24"/>
              </w:rPr>
              <w:t>年的折旧金额有一定的增加。</w:t>
            </w:r>
          </w:p>
          <w:p w14:paraId="67691C49" w14:textId="1891FDF1" w:rsidR="000659A3" w:rsidRDefault="007E4172" w:rsidP="007E4172">
            <w:pPr>
              <w:rPr>
                <w:szCs w:val="24"/>
              </w:rPr>
            </w:pPr>
            <w:r w:rsidRPr="007E4172">
              <w:rPr>
                <w:rFonts w:hint="eastAsia"/>
                <w:szCs w:val="24"/>
              </w:rPr>
              <w:t>新一轮的股权计划公司将择机推出。</w:t>
            </w:r>
          </w:p>
          <w:p w14:paraId="14DCC4E7" w14:textId="0422B578" w:rsidR="00BD78FB" w:rsidRPr="00BD78FB" w:rsidRDefault="00BD78FB" w:rsidP="00BD78FB">
            <w:pPr>
              <w:rPr>
                <w:szCs w:val="24"/>
              </w:rPr>
            </w:pPr>
            <w:r>
              <w:rPr>
                <w:szCs w:val="24"/>
              </w:rPr>
              <w:t>Q</w:t>
            </w:r>
            <w:r>
              <w:rPr>
                <w:rFonts w:hint="eastAsia"/>
                <w:szCs w:val="24"/>
              </w:rPr>
              <w:t>：</w:t>
            </w:r>
            <w:r w:rsidRPr="00BD78FB">
              <w:rPr>
                <w:rFonts w:hint="eastAsia"/>
                <w:szCs w:val="24"/>
              </w:rPr>
              <w:t>LNP</w:t>
            </w:r>
            <w:r w:rsidRPr="00BD78FB">
              <w:rPr>
                <w:rFonts w:hint="eastAsia"/>
                <w:szCs w:val="24"/>
              </w:rPr>
              <w:t>业务增长情况，下游有哪些应用方向和重点客户？</w:t>
            </w:r>
          </w:p>
          <w:p w14:paraId="64B78CD0" w14:textId="77777777" w:rsidR="00BD78FB" w:rsidRDefault="00BD78FB" w:rsidP="00BD78FB">
            <w:pPr>
              <w:rPr>
                <w:szCs w:val="24"/>
              </w:rPr>
            </w:pPr>
            <w:r w:rsidRPr="00BD78FB">
              <w:rPr>
                <w:rFonts w:hint="eastAsia"/>
                <w:szCs w:val="24"/>
              </w:rPr>
              <w:t>A</w:t>
            </w:r>
            <w:r w:rsidRPr="00BD78FB">
              <w:rPr>
                <w:rFonts w:hint="eastAsia"/>
                <w:szCs w:val="24"/>
              </w:rPr>
              <w:t>：</w:t>
            </w:r>
            <w:r w:rsidRPr="00BD78FB">
              <w:rPr>
                <w:rFonts w:hint="eastAsia"/>
                <w:szCs w:val="24"/>
              </w:rPr>
              <w:t>LNP</w:t>
            </w:r>
            <w:r w:rsidRPr="00BD78FB">
              <w:rPr>
                <w:rFonts w:hint="eastAsia"/>
                <w:szCs w:val="24"/>
              </w:rPr>
              <w:t>类订单这两年有一定增长，虽然总量不大，但是新增客户较多。下游的主要应用方向为</w:t>
            </w:r>
            <w:r w:rsidRPr="00BD78FB">
              <w:rPr>
                <w:rFonts w:hint="eastAsia"/>
                <w:szCs w:val="24"/>
              </w:rPr>
              <w:t>RSV</w:t>
            </w:r>
            <w:r w:rsidRPr="00BD78FB">
              <w:rPr>
                <w:rFonts w:hint="eastAsia"/>
                <w:szCs w:val="24"/>
              </w:rPr>
              <w:t>疫苗，肺炎疫苗、癌症疫苗及动物疫苗等。我们与国内多家在核酸药物或疫苗领域布局较早、进度较快的医药公司达成了战略合作，支持他们已经处于一、二期临床阶段的项目。此外，我们与部分核酸领域的主要</w:t>
            </w:r>
            <w:r w:rsidRPr="00BD78FB">
              <w:rPr>
                <w:rFonts w:hint="eastAsia"/>
                <w:szCs w:val="24"/>
              </w:rPr>
              <w:t>CDMO</w:t>
            </w:r>
            <w:r w:rsidRPr="00BD78FB">
              <w:rPr>
                <w:rFonts w:hint="eastAsia"/>
                <w:szCs w:val="24"/>
              </w:rPr>
              <w:t>也有较好的合作关系。在创新递送系统方面，键凯主要与康</w:t>
            </w:r>
            <w:r w:rsidRPr="00BD78FB">
              <w:rPr>
                <w:rFonts w:hint="eastAsia"/>
                <w:szCs w:val="24"/>
              </w:rPr>
              <w:lastRenderedPageBreak/>
              <w:t>希诺生物达成战略合作，并共同研发了创新的三组分</w:t>
            </w:r>
            <w:r w:rsidRPr="00BD78FB">
              <w:rPr>
                <w:rFonts w:hint="eastAsia"/>
                <w:szCs w:val="24"/>
              </w:rPr>
              <w:t>LNP</w:t>
            </w:r>
            <w:r w:rsidRPr="00BD78FB">
              <w:rPr>
                <w:rFonts w:hint="eastAsia"/>
                <w:szCs w:val="24"/>
              </w:rPr>
              <w:t>递送系统，目前有一个项目处于临床前研究阶段。</w:t>
            </w:r>
          </w:p>
          <w:p w14:paraId="31D0A9EF" w14:textId="75FFFA8C" w:rsidR="00F4708F" w:rsidRPr="00F4708F" w:rsidRDefault="00F4708F" w:rsidP="00F4708F">
            <w:pPr>
              <w:rPr>
                <w:szCs w:val="24"/>
              </w:rPr>
            </w:pPr>
            <w:r>
              <w:rPr>
                <w:szCs w:val="24"/>
              </w:rPr>
              <w:t>Q</w:t>
            </w:r>
            <w:r>
              <w:rPr>
                <w:rFonts w:hint="eastAsia"/>
                <w:szCs w:val="24"/>
              </w:rPr>
              <w:t>：</w:t>
            </w:r>
            <w:r w:rsidRPr="00F4708F">
              <w:rPr>
                <w:rFonts w:hint="eastAsia"/>
                <w:szCs w:val="24"/>
              </w:rPr>
              <w:t>行业竞争格局包括国内和海外有无变化，以及竞争对手的盈利能力如何？</w:t>
            </w:r>
            <w:r w:rsidRPr="00F4708F">
              <w:rPr>
                <w:rFonts w:hint="eastAsia"/>
                <w:szCs w:val="24"/>
              </w:rPr>
              <w:t>PEG</w:t>
            </w:r>
            <w:r w:rsidRPr="00F4708F">
              <w:rPr>
                <w:rFonts w:hint="eastAsia"/>
                <w:szCs w:val="24"/>
              </w:rPr>
              <w:t>新的应用方向何时贡献增量？</w:t>
            </w:r>
          </w:p>
          <w:p w14:paraId="27DDC015" w14:textId="77777777" w:rsidR="00662F0D" w:rsidRDefault="00F4708F" w:rsidP="00F4708F">
            <w:pPr>
              <w:rPr>
                <w:szCs w:val="24"/>
              </w:rPr>
            </w:pPr>
            <w:r w:rsidRPr="00F4708F">
              <w:rPr>
                <w:rFonts w:hint="eastAsia"/>
                <w:szCs w:val="24"/>
              </w:rPr>
              <w:t>A</w:t>
            </w:r>
            <w:r w:rsidRPr="00F4708F">
              <w:rPr>
                <w:rFonts w:hint="eastAsia"/>
                <w:szCs w:val="24"/>
              </w:rPr>
              <w:t>：从去年以来，海内外的主要竞争对手都有扩大产能的情况，我们认为这说明同行业从业者普遍看好聚乙二醇材料领域的发展，并认同未来市场空间会不断扩大。今年开始我们对产品价格做了一定的调整，并成功获得了一些新的客户。我们认为在未来的一段时间内仍然会存在国内销售数量增加、总销售额不一定增加的情况。</w:t>
            </w:r>
            <w:r w:rsidRPr="00F4708F">
              <w:rPr>
                <w:rFonts w:hint="eastAsia"/>
                <w:szCs w:val="24"/>
              </w:rPr>
              <w:t>PEG</w:t>
            </w:r>
            <w:r w:rsidRPr="00F4708F">
              <w:rPr>
                <w:rFonts w:hint="eastAsia"/>
                <w:szCs w:val="24"/>
              </w:rPr>
              <w:t>的新应用方向目前很多还处于临床早期阶段，暂时不会对公司整体的销售情况产生重大拉动。由于医药行业研发周期较长，公司对目前绝大多数主要客户均是在多年以前早有布局，只要客户顺利进入到商业化阶段开始放量，就会使公司的业绩产生明显提升。公司仍将持续丰富前期客户储备，并持续关注客户的项目进展情况，与客户携手发展。</w:t>
            </w:r>
          </w:p>
          <w:p w14:paraId="73255F47" w14:textId="192C11F8" w:rsidR="00786B7F" w:rsidRPr="00786B7F" w:rsidRDefault="00786B7F" w:rsidP="00786B7F">
            <w:pPr>
              <w:rPr>
                <w:szCs w:val="24"/>
              </w:rPr>
            </w:pPr>
            <w:r>
              <w:rPr>
                <w:szCs w:val="24"/>
              </w:rPr>
              <w:t>Q</w:t>
            </w:r>
            <w:r w:rsidRPr="00786B7F">
              <w:rPr>
                <w:rFonts w:hint="eastAsia"/>
                <w:szCs w:val="24"/>
              </w:rPr>
              <w:t>：医美水光针产品的进展及后续节点展望？</w:t>
            </w:r>
          </w:p>
          <w:p w14:paraId="7BC52ABD" w14:textId="77777777" w:rsidR="00786B7F" w:rsidRPr="00786B7F" w:rsidRDefault="00786B7F" w:rsidP="00786B7F">
            <w:pPr>
              <w:rPr>
                <w:szCs w:val="24"/>
              </w:rPr>
            </w:pPr>
            <w:r w:rsidRPr="00786B7F">
              <w:rPr>
                <w:rFonts w:hint="eastAsia"/>
                <w:szCs w:val="24"/>
              </w:rPr>
              <w:t>A</w:t>
            </w:r>
            <w:r w:rsidRPr="00786B7F">
              <w:rPr>
                <w:rFonts w:hint="eastAsia"/>
                <w:szCs w:val="24"/>
              </w:rPr>
              <w:t>：目前水光针产品仍在技术审评阶段，还在正常的审核流程中。</w:t>
            </w:r>
          </w:p>
          <w:p w14:paraId="56058FEB" w14:textId="0EB2DA5D" w:rsidR="00786B7F" w:rsidRPr="00AB7DBA" w:rsidRDefault="00786B7F" w:rsidP="00786B7F">
            <w:pPr>
              <w:rPr>
                <w:szCs w:val="24"/>
              </w:rPr>
            </w:pPr>
            <w:r w:rsidRPr="00AB7DBA">
              <w:rPr>
                <w:rFonts w:hint="eastAsia"/>
                <w:szCs w:val="24"/>
              </w:rPr>
              <w:t>Q</w:t>
            </w:r>
            <w:r w:rsidRPr="00AB7DBA">
              <w:rPr>
                <w:rFonts w:hint="eastAsia"/>
                <w:szCs w:val="24"/>
              </w:rPr>
              <w:t>：</w:t>
            </w:r>
            <w:r w:rsidR="00AB7DBA">
              <w:rPr>
                <w:rFonts w:hint="eastAsia"/>
                <w:szCs w:val="24"/>
              </w:rPr>
              <w:t>与康希诺共同开发的</w:t>
            </w:r>
            <w:r w:rsidRPr="00AB7DBA">
              <w:rPr>
                <w:rFonts w:hint="eastAsia"/>
                <w:szCs w:val="24"/>
              </w:rPr>
              <w:t>脑胶质瘤疫苗在临床前有没有看到一些优势，一些特点等。权益如何区分</w:t>
            </w:r>
            <w:r w:rsidR="00AB7DBA">
              <w:rPr>
                <w:rFonts w:hint="eastAsia"/>
                <w:szCs w:val="24"/>
              </w:rPr>
              <w:t>？</w:t>
            </w:r>
          </w:p>
          <w:p w14:paraId="3B6837B4" w14:textId="0AA4B972" w:rsidR="00F4708F" w:rsidRPr="00AB7DBA" w:rsidRDefault="00786B7F" w:rsidP="0097143F">
            <w:r w:rsidRPr="00AB7DBA">
              <w:rPr>
                <w:rFonts w:hint="eastAsia"/>
                <w:szCs w:val="24"/>
              </w:rPr>
              <w:t>A</w:t>
            </w:r>
            <w:r w:rsidRPr="00AB7DBA">
              <w:rPr>
                <w:rFonts w:hint="eastAsia"/>
                <w:szCs w:val="24"/>
              </w:rPr>
              <w:t>：</w:t>
            </w:r>
            <w:r w:rsidR="0097143F" w:rsidRPr="00AB7DBA">
              <w:rPr>
                <w:rFonts w:hint="eastAsia"/>
              </w:rPr>
              <w:t>临床前数据</w:t>
            </w:r>
            <w:r w:rsidR="00AB7DBA">
              <w:rPr>
                <w:rFonts w:hint="eastAsia"/>
              </w:rPr>
              <w:t>建议参考康希诺公开披露的信息</w:t>
            </w:r>
            <w:r w:rsidR="0097143F" w:rsidRPr="00AB7DBA">
              <w:rPr>
                <w:rFonts w:hint="eastAsia"/>
              </w:rPr>
              <w:t>，公司主要是做</w:t>
            </w:r>
            <w:r w:rsidR="0097143F" w:rsidRPr="00AB7DBA">
              <w:rPr>
                <w:rFonts w:hint="eastAsia"/>
              </w:rPr>
              <w:t>LNP</w:t>
            </w:r>
            <w:r w:rsidR="0097143F" w:rsidRPr="00AB7DBA">
              <w:rPr>
                <w:rFonts w:hint="eastAsia"/>
              </w:rPr>
              <w:t>递送</w:t>
            </w:r>
            <w:r w:rsidR="00AB7DBA">
              <w:rPr>
                <w:rFonts w:hint="eastAsia"/>
              </w:rPr>
              <w:t>部分</w:t>
            </w:r>
            <w:r w:rsidR="0097143F" w:rsidRPr="00AB7DBA">
              <w:rPr>
                <w:rFonts w:hint="eastAsia"/>
              </w:rPr>
              <w:t>。权益方面康希诺占大头，我们占小头。</w:t>
            </w:r>
          </w:p>
          <w:p w14:paraId="6B368A1C" w14:textId="61840659" w:rsidR="0056668B" w:rsidRPr="0056668B" w:rsidRDefault="0097143F" w:rsidP="0056668B">
            <w:pPr>
              <w:rPr>
                <w:szCs w:val="24"/>
              </w:rPr>
            </w:pPr>
            <w:r>
              <w:rPr>
                <w:szCs w:val="24"/>
              </w:rPr>
              <w:t>Q</w:t>
            </w:r>
            <w:r>
              <w:rPr>
                <w:rFonts w:hint="eastAsia"/>
                <w:szCs w:val="24"/>
              </w:rPr>
              <w:t>：</w:t>
            </w:r>
            <w:r w:rsidR="0056668B" w:rsidRPr="0056668B">
              <w:rPr>
                <w:rFonts w:hint="eastAsia"/>
                <w:szCs w:val="24"/>
              </w:rPr>
              <w:t>在新的需求持续扩展，合作伙伴已有合作陆续开始下单，怎么看待我们经营的拐点？</w:t>
            </w:r>
          </w:p>
          <w:p w14:paraId="3E43E0DF" w14:textId="77FB92FD" w:rsidR="0097143F" w:rsidRDefault="0056668B" w:rsidP="0056668B">
            <w:pPr>
              <w:rPr>
                <w:szCs w:val="24"/>
              </w:rPr>
            </w:pPr>
            <w:r w:rsidRPr="0056668B">
              <w:rPr>
                <w:rFonts w:hint="eastAsia"/>
                <w:szCs w:val="24"/>
              </w:rPr>
              <w:t>A</w:t>
            </w:r>
            <w:r w:rsidRPr="0056668B">
              <w:rPr>
                <w:rFonts w:hint="eastAsia"/>
                <w:szCs w:val="24"/>
              </w:rPr>
              <w:t>：</w:t>
            </w:r>
            <w:r w:rsidR="00203961" w:rsidRPr="00AB7DBA">
              <w:rPr>
                <w:rFonts w:hint="eastAsia"/>
                <w:szCs w:val="24"/>
              </w:rPr>
              <w:t>预计</w:t>
            </w:r>
            <w:r w:rsidRPr="0056668B">
              <w:rPr>
                <w:rFonts w:hint="eastAsia"/>
                <w:szCs w:val="24"/>
              </w:rPr>
              <w:t>今年主营业务同比会有一定增长，净利润情况较去年会有一定的改善。</w:t>
            </w:r>
          </w:p>
          <w:p w14:paraId="47E936C4" w14:textId="29A3E061" w:rsidR="00AB222C" w:rsidRPr="00AB222C" w:rsidRDefault="00F55C65" w:rsidP="00AB222C">
            <w:pPr>
              <w:rPr>
                <w:szCs w:val="24"/>
              </w:rPr>
            </w:pPr>
            <w:r>
              <w:rPr>
                <w:szCs w:val="24"/>
              </w:rPr>
              <w:t>Q</w:t>
            </w:r>
            <w:r>
              <w:rPr>
                <w:rFonts w:hint="eastAsia"/>
                <w:szCs w:val="24"/>
              </w:rPr>
              <w:t>：</w:t>
            </w:r>
            <w:r w:rsidR="00AB222C" w:rsidRPr="00AB222C">
              <w:rPr>
                <w:rFonts w:hint="eastAsia"/>
                <w:szCs w:val="24"/>
              </w:rPr>
              <w:t>公司在</w:t>
            </w:r>
            <w:r w:rsidR="00AB222C" w:rsidRPr="00AB222C">
              <w:rPr>
                <w:rFonts w:hint="eastAsia"/>
                <w:szCs w:val="24"/>
              </w:rPr>
              <w:t>mRNA</w:t>
            </w:r>
            <w:r w:rsidR="00AB222C" w:rsidRPr="00AB222C">
              <w:rPr>
                <w:rFonts w:hint="eastAsia"/>
                <w:szCs w:val="24"/>
              </w:rPr>
              <w:t>肿瘤疫苗方向有哪些前瞻性布局？</w:t>
            </w:r>
          </w:p>
          <w:p w14:paraId="57D51624" w14:textId="77777777" w:rsidR="00F55C65" w:rsidRDefault="00AB222C" w:rsidP="00AB222C">
            <w:pPr>
              <w:rPr>
                <w:szCs w:val="24"/>
              </w:rPr>
            </w:pPr>
            <w:r w:rsidRPr="00AB222C">
              <w:rPr>
                <w:rFonts w:hint="eastAsia"/>
                <w:szCs w:val="24"/>
              </w:rPr>
              <w:t>A</w:t>
            </w:r>
            <w:r w:rsidRPr="00AB222C">
              <w:rPr>
                <w:rFonts w:hint="eastAsia"/>
                <w:szCs w:val="24"/>
              </w:rPr>
              <w:t>：我们在</w:t>
            </w:r>
            <w:r w:rsidRPr="00AB222C">
              <w:rPr>
                <w:rFonts w:hint="eastAsia"/>
                <w:szCs w:val="24"/>
              </w:rPr>
              <w:t>mRNA</w:t>
            </w:r>
            <w:r w:rsidRPr="00AB222C">
              <w:rPr>
                <w:rFonts w:hint="eastAsia"/>
                <w:szCs w:val="24"/>
              </w:rPr>
              <w:t>肿瘤疫苗方向有丰富的布局，组建了非常优秀的研发团队。我们的第一款产品是与康希诺合作开发的，有一些信息已经公开了。后续如果有任何进展，会根据相关要求进行公告。除此以外，我们内部还有一些研发管线，仍在早期研发阶段。</w:t>
            </w:r>
          </w:p>
          <w:p w14:paraId="1263E717" w14:textId="737D07A6" w:rsidR="00A163A8" w:rsidRPr="00AB7DBA" w:rsidRDefault="00250CCA" w:rsidP="00A163A8">
            <w:pPr>
              <w:rPr>
                <w:szCs w:val="24"/>
              </w:rPr>
            </w:pPr>
            <w:r w:rsidRPr="00AB7DBA">
              <w:rPr>
                <w:szCs w:val="24"/>
              </w:rPr>
              <w:t>Q</w:t>
            </w:r>
            <w:r w:rsidRPr="00AB7DBA">
              <w:rPr>
                <w:rFonts w:hint="eastAsia"/>
                <w:szCs w:val="24"/>
              </w:rPr>
              <w:t>：</w:t>
            </w:r>
            <w:r w:rsidR="00A163A8" w:rsidRPr="00AB7DBA">
              <w:rPr>
                <w:rFonts w:hint="eastAsia"/>
                <w:szCs w:val="24"/>
              </w:rPr>
              <w:t>PEG</w:t>
            </w:r>
            <w:r w:rsidR="00A163A8" w:rsidRPr="00AB7DBA">
              <w:rPr>
                <w:rFonts w:hint="eastAsia"/>
                <w:szCs w:val="24"/>
              </w:rPr>
              <w:t>在</w:t>
            </w:r>
            <w:r w:rsidR="00A163A8" w:rsidRPr="00AB7DBA">
              <w:rPr>
                <w:rFonts w:hint="eastAsia"/>
                <w:szCs w:val="24"/>
              </w:rPr>
              <w:t>ADC</w:t>
            </w:r>
            <w:r w:rsidR="00A163A8" w:rsidRPr="00AB7DBA">
              <w:rPr>
                <w:rFonts w:hint="eastAsia"/>
                <w:szCs w:val="24"/>
              </w:rPr>
              <w:t>、</w:t>
            </w:r>
            <w:r w:rsidR="00A163A8" w:rsidRPr="00AB7DBA">
              <w:rPr>
                <w:rFonts w:hint="eastAsia"/>
                <w:szCs w:val="24"/>
              </w:rPr>
              <w:t>PDC</w:t>
            </w:r>
            <w:r w:rsidR="00A163A8" w:rsidRPr="00AB7DBA">
              <w:rPr>
                <w:rFonts w:hint="eastAsia"/>
                <w:szCs w:val="24"/>
              </w:rPr>
              <w:t>或者蛋白降解技术领域的应用情况是怎么样的，有没有相关的案例可以分享。在这些项目中</w:t>
            </w:r>
            <w:r w:rsidR="00AB7DBA" w:rsidRPr="00AB7DBA">
              <w:rPr>
                <w:rFonts w:hint="eastAsia"/>
                <w:szCs w:val="24"/>
              </w:rPr>
              <w:t>PEG</w:t>
            </w:r>
            <w:r w:rsidR="00A163A8" w:rsidRPr="00AB7DBA">
              <w:rPr>
                <w:rFonts w:hint="eastAsia"/>
                <w:szCs w:val="24"/>
              </w:rPr>
              <w:t>的价值量占比如何？</w:t>
            </w:r>
          </w:p>
          <w:p w14:paraId="625C054E" w14:textId="32900D90" w:rsidR="00250CCA" w:rsidRPr="00AB7DBA" w:rsidRDefault="00A163A8" w:rsidP="00961822">
            <w:r w:rsidRPr="00AB7DBA">
              <w:rPr>
                <w:rFonts w:hint="eastAsia"/>
                <w:szCs w:val="24"/>
              </w:rPr>
              <w:t>A</w:t>
            </w:r>
            <w:r w:rsidRPr="00AB7DBA">
              <w:rPr>
                <w:rFonts w:hint="eastAsia"/>
                <w:szCs w:val="24"/>
              </w:rPr>
              <w:t>：</w:t>
            </w:r>
            <w:r w:rsidR="00961822" w:rsidRPr="00AB7DBA">
              <w:rPr>
                <w:rFonts w:hint="eastAsia"/>
                <w:szCs w:val="24"/>
              </w:rPr>
              <w:t>ADC</w:t>
            </w:r>
            <w:r w:rsidR="00961822" w:rsidRPr="00AB7DBA">
              <w:rPr>
                <w:rFonts w:hint="eastAsia"/>
                <w:szCs w:val="24"/>
              </w:rPr>
              <w:t>、</w:t>
            </w:r>
            <w:r w:rsidR="00961822" w:rsidRPr="00AB7DBA">
              <w:rPr>
                <w:rFonts w:hint="eastAsia"/>
                <w:szCs w:val="24"/>
              </w:rPr>
              <w:t>PDC</w:t>
            </w:r>
            <w:r w:rsidR="00961822" w:rsidRPr="00AB7DBA">
              <w:rPr>
                <w:rFonts w:hint="eastAsia"/>
              </w:rPr>
              <w:t>、</w:t>
            </w:r>
            <w:proofErr w:type="spellStart"/>
            <w:r w:rsidR="00AB7DBA">
              <w:rPr>
                <w:rFonts w:hint="eastAsia"/>
              </w:rPr>
              <w:t>protac</w:t>
            </w:r>
            <w:proofErr w:type="spellEnd"/>
            <w:r w:rsidR="00961822" w:rsidRPr="00AB7DBA">
              <w:rPr>
                <w:rFonts w:hint="eastAsia"/>
              </w:rPr>
              <w:t>这些领域严格的说</w:t>
            </w:r>
            <w:r w:rsidR="00961822" w:rsidRPr="00AB7DBA">
              <w:rPr>
                <w:rFonts w:hint="eastAsia"/>
              </w:rPr>
              <w:t>PEG</w:t>
            </w:r>
            <w:r w:rsidR="00961822" w:rsidRPr="00AB7DBA">
              <w:rPr>
                <w:rFonts w:hint="eastAsia"/>
              </w:rPr>
              <w:t>都有大量的应用，</w:t>
            </w:r>
            <w:r w:rsidR="00961822" w:rsidRPr="00AB7DBA">
              <w:rPr>
                <w:rFonts w:hint="eastAsia"/>
              </w:rPr>
              <w:t>PEG</w:t>
            </w:r>
            <w:r w:rsidR="00961822" w:rsidRPr="00AB7DBA">
              <w:rPr>
                <w:rFonts w:hint="eastAsia"/>
              </w:rPr>
              <w:t>作为</w:t>
            </w:r>
            <w:r w:rsidR="00961822" w:rsidRPr="00AB7DBA">
              <w:rPr>
                <w:rFonts w:hint="eastAsia"/>
              </w:rPr>
              <w:t>linker</w:t>
            </w:r>
            <w:r w:rsidR="00961822" w:rsidRPr="00AB7DBA">
              <w:rPr>
                <w:rFonts w:hint="eastAsia"/>
              </w:rPr>
              <w:t>起到了非常重要的作用，</w:t>
            </w:r>
            <w:r w:rsidR="00AB7DBA">
              <w:rPr>
                <w:rFonts w:hint="eastAsia"/>
              </w:rPr>
              <w:t>但在终端产品中的价值量占比仍不确定</w:t>
            </w:r>
            <w:r w:rsidR="00961822" w:rsidRPr="00AB7DBA">
              <w:rPr>
                <w:rFonts w:hint="eastAsia"/>
              </w:rPr>
              <w:t>。未来在这些领域会有</w:t>
            </w:r>
            <w:r w:rsidR="00AB7DBA">
              <w:rPr>
                <w:rFonts w:hint="eastAsia"/>
              </w:rPr>
              <w:t>更多</w:t>
            </w:r>
            <w:r w:rsidR="00961822" w:rsidRPr="00AB7DBA">
              <w:rPr>
                <w:rFonts w:hint="eastAsia"/>
              </w:rPr>
              <w:t>含</w:t>
            </w:r>
            <w:r w:rsidR="00961822" w:rsidRPr="00AB7DBA">
              <w:rPr>
                <w:rFonts w:hint="eastAsia"/>
              </w:rPr>
              <w:t>PEG</w:t>
            </w:r>
            <w:r w:rsidR="00961822" w:rsidRPr="00AB7DBA">
              <w:rPr>
                <w:rFonts w:hint="eastAsia"/>
              </w:rPr>
              <w:t>的产品上市，会对</w:t>
            </w:r>
            <w:r w:rsidR="00961822" w:rsidRPr="00AB7DBA">
              <w:rPr>
                <w:rFonts w:hint="eastAsia"/>
              </w:rPr>
              <w:t>PEG</w:t>
            </w:r>
            <w:r w:rsidR="00961822" w:rsidRPr="00AB7DBA">
              <w:rPr>
                <w:rFonts w:hint="eastAsia"/>
              </w:rPr>
              <w:t>行业有一个带动和拉动作用，也期待着公司客户能够早日通过临床实</w:t>
            </w:r>
            <w:r w:rsidR="00961822" w:rsidRPr="00AB7DBA">
              <w:rPr>
                <w:rFonts w:hint="eastAsia"/>
              </w:rPr>
              <w:lastRenderedPageBreak/>
              <w:t>验早日上市。</w:t>
            </w:r>
          </w:p>
          <w:p w14:paraId="4C489A2D" w14:textId="5B651FA8" w:rsidR="00F41B91" w:rsidRPr="00AB7DBA" w:rsidRDefault="00F41B91" w:rsidP="00F41B91">
            <w:proofErr w:type="gramStart"/>
            <w:r w:rsidRPr="00AB7DBA">
              <w:rPr>
                <w:rFonts w:hint="eastAsia"/>
              </w:rPr>
              <w:t>Q:</w:t>
            </w:r>
            <w:r w:rsidR="00AB7DBA">
              <w:rPr>
                <w:rFonts w:hint="eastAsia"/>
              </w:rPr>
              <w:t xml:space="preserve"> </w:t>
            </w:r>
            <w:r w:rsidRPr="00AB7DBA">
              <w:rPr>
                <w:rFonts w:hint="eastAsia"/>
              </w:rPr>
              <w:t>环</w:t>
            </w:r>
            <w:proofErr w:type="gramEnd"/>
            <w:r w:rsidRPr="00AB7DBA">
              <w:rPr>
                <w:rFonts w:hint="eastAsia"/>
              </w:rPr>
              <w:t>肽领域公司是否有切入比较好的客户和项目？</w:t>
            </w:r>
          </w:p>
          <w:p w14:paraId="38A8CA98" w14:textId="78F66D1F" w:rsidR="00A90072" w:rsidRPr="00AB7DBA" w:rsidRDefault="00F41B91" w:rsidP="00F41B91">
            <w:r w:rsidRPr="00AB7DBA">
              <w:rPr>
                <w:rFonts w:hint="eastAsia"/>
              </w:rPr>
              <w:t>A</w:t>
            </w:r>
            <w:r w:rsidRPr="00AB7DBA">
              <w:rPr>
                <w:rFonts w:hint="eastAsia"/>
              </w:rPr>
              <w:t>：公司国外药品端客户第一个上市的产品确实是个大环肽，其他公司支持的环肽项目还是处于比较早期阶段，或者是离商业化还是有一定的距离的</w:t>
            </w:r>
            <w:r w:rsidR="00AB7DBA">
              <w:rPr>
                <w:rFonts w:hint="eastAsia"/>
              </w:rPr>
              <w:t>。</w:t>
            </w:r>
            <w:r w:rsidRPr="00AB7DBA">
              <w:rPr>
                <w:rFonts w:hint="eastAsia"/>
              </w:rPr>
              <w:t>我觉得</w:t>
            </w:r>
            <w:r w:rsidR="00AB7DBA">
              <w:rPr>
                <w:rFonts w:hint="eastAsia"/>
              </w:rPr>
              <w:t>环肽</w:t>
            </w:r>
            <w:r w:rsidRPr="00AB7DBA">
              <w:rPr>
                <w:rFonts w:hint="eastAsia"/>
              </w:rPr>
              <w:t>使用</w:t>
            </w:r>
            <w:r w:rsidRPr="00AB7DBA">
              <w:rPr>
                <w:rFonts w:hint="eastAsia"/>
              </w:rPr>
              <w:t>PEG</w:t>
            </w:r>
            <w:r w:rsidR="00AB7DBA">
              <w:rPr>
                <w:rFonts w:hint="eastAsia"/>
              </w:rPr>
              <w:t>修饰</w:t>
            </w:r>
            <w:r w:rsidRPr="00AB7DBA">
              <w:rPr>
                <w:rFonts w:hint="eastAsia"/>
              </w:rPr>
              <w:t>肯定是一个好的选择。</w:t>
            </w:r>
          </w:p>
          <w:p w14:paraId="686A17C8" w14:textId="20C53600" w:rsidR="00FF3765" w:rsidRPr="00AB7DBA" w:rsidRDefault="00FF3765" w:rsidP="00FF3765">
            <w:r w:rsidRPr="00AB7DBA">
              <w:t>Q</w:t>
            </w:r>
            <w:r w:rsidRPr="00AB7DBA">
              <w:rPr>
                <w:rFonts w:hint="eastAsia"/>
              </w:rPr>
              <w:t>：长效水光针上市节奏、销售预期</w:t>
            </w:r>
            <w:r w:rsidR="00AB7DBA">
              <w:rPr>
                <w:rFonts w:hint="eastAsia"/>
              </w:rPr>
              <w:t>？</w:t>
            </w:r>
          </w:p>
          <w:p w14:paraId="22394EA0" w14:textId="25BE9E1E" w:rsidR="00F41B91" w:rsidRPr="00AB7DBA" w:rsidRDefault="00FF3765" w:rsidP="00FF3765">
            <w:r w:rsidRPr="00AB7DBA">
              <w:rPr>
                <w:rFonts w:hint="eastAsia"/>
              </w:rPr>
              <w:t>A</w:t>
            </w:r>
            <w:r w:rsidRPr="00AB7DBA">
              <w:rPr>
                <w:rFonts w:hint="eastAsia"/>
              </w:rPr>
              <w:t>：我们的水光针</w:t>
            </w:r>
            <w:r w:rsidR="00AB7DBA">
              <w:rPr>
                <w:rFonts w:hint="eastAsia"/>
              </w:rPr>
              <w:t>除了</w:t>
            </w:r>
            <w:r w:rsidR="00AB7DBA">
              <w:rPr>
                <w:rFonts w:hint="eastAsia"/>
              </w:rPr>
              <w:t>PEG</w:t>
            </w:r>
            <w:r w:rsidR="00AB7DBA">
              <w:rPr>
                <w:rFonts w:hint="eastAsia"/>
              </w:rPr>
              <w:t>和透明质酸</w:t>
            </w:r>
            <w:r w:rsidRPr="00AB7DBA">
              <w:rPr>
                <w:rFonts w:hint="eastAsia"/>
              </w:rPr>
              <w:t>没有添加任何材料</w:t>
            </w:r>
            <w:r w:rsidR="000B4C26" w:rsidRPr="00AB7DBA">
              <w:rPr>
                <w:rFonts w:hint="eastAsia"/>
              </w:rPr>
              <w:t>。</w:t>
            </w:r>
            <w:r w:rsidR="00AB7DBA">
              <w:rPr>
                <w:rFonts w:hint="eastAsia"/>
              </w:rPr>
              <w:t>目前这个项目仍在技术审评阶段，</w:t>
            </w:r>
            <w:r w:rsidR="00943407" w:rsidRPr="00AB7DBA">
              <w:rPr>
                <w:rFonts w:hint="eastAsia"/>
              </w:rPr>
              <w:t>如果定价合理，我认为长效水光针将会被市场快速的接受。目前公司还没有一个非常明确的价格和市场预期。</w:t>
            </w:r>
          </w:p>
          <w:p w14:paraId="2752817F" w14:textId="1CC4A304" w:rsidR="006917C7" w:rsidRPr="00AB7DBA" w:rsidRDefault="00B11520" w:rsidP="006917C7">
            <w:r w:rsidRPr="00AB7DBA">
              <w:t>Q</w:t>
            </w:r>
            <w:r w:rsidR="006917C7" w:rsidRPr="00AB7DBA">
              <w:rPr>
                <w:rFonts w:hint="eastAsia"/>
              </w:rPr>
              <w:t>:</w:t>
            </w:r>
            <w:r w:rsidR="006917C7" w:rsidRPr="00AB7DBA">
              <w:rPr>
                <w:rFonts w:hint="eastAsia"/>
              </w:rPr>
              <w:t>如何展望后续临床管线的规划和布局，包括在研发投入上未来的规划</w:t>
            </w:r>
            <w:r w:rsidR="00AB7DBA">
              <w:rPr>
                <w:rFonts w:hint="eastAsia"/>
              </w:rPr>
              <w:t>？</w:t>
            </w:r>
          </w:p>
          <w:p w14:paraId="642FE7CA" w14:textId="6D2EF9BA" w:rsidR="00B11520" w:rsidRPr="00AB7DBA" w:rsidRDefault="006917C7" w:rsidP="006917C7">
            <w:r w:rsidRPr="00AB7DBA">
              <w:rPr>
                <w:rFonts w:hint="eastAsia"/>
              </w:rPr>
              <w:t>A</w:t>
            </w:r>
            <w:r w:rsidRPr="00AB7DBA">
              <w:rPr>
                <w:rFonts w:hint="eastAsia"/>
              </w:rPr>
              <w:t>：</w:t>
            </w:r>
            <w:r w:rsidRPr="00AB7DBA">
              <w:rPr>
                <w:rFonts w:hint="eastAsia"/>
              </w:rPr>
              <w:t>PEG</w:t>
            </w:r>
            <w:r w:rsidRPr="00AB7DBA">
              <w:rPr>
                <w:rFonts w:hint="eastAsia"/>
              </w:rPr>
              <w:t>应用的领域很多，应用场景也很多。公司未来</w:t>
            </w:r>
            <w:r w:rsidR="00AB7DBA">
              <w:rPr>
                <w:rFonts w:hint="eastAsia"/>
              </w:rPr>
              <w:t>下游管线</w:t>
            </w:r>
            <w:r w:rsidRPr="00AB7DBA">
              <w:rPr>
                <w:rFonts w:hint="eastAsia"/>
              </w:rPr>
              <w:t>将</w:t>
            </w:r>
            <w:r w:rsidR="001C265C" w:rsidRPr="00AB7DBA">
              <w:rPr>
                <w:rFonts w:hint="eastAsia"/>
              </w:rPr>
              <w:t>主要</w:t>
            </w:r>
            <w:r w:rsidRPr="00AB7DBA">
              <w:rPr>
                <w:rFonts w:hint="eastAsia"/>
              </w:rPr>
              <w:t>在</w:t>
            </w:r>
            <w:r w:rsidR="00AB7DBA">
              <w:rPr>
                <w:rFonts w:hint="eastAsia"/>
              </w:rPr>
              <w:t>两</w:t>
            </w:r>
            <w:r w:rsidRPr="00AB7DBA">
              <w:rPr>
                <w:rFonts w:hint="eastAsia"/>
              </w:rPr>
              <w:t>个方向发展</w:t>
            </w:r>
            <w:r w:rsidR="00AB7DBA">
              <w:rPr>
                <w:rFonts w:hint="eastAsia"/>
              </w:rPr>
              <w:t>，</w:t>
            </w:r>
            <w:r w:rsidRPr="00AB7DBA">
              <w:rPr>
                <w:rFonts w:hint="eastAsia"/>
              </w:rPr>
              <w:t>一是癌症方向、二是医美方向。</w:t>
            </w:r>
          </w:p>
          <w:p w14:paraId="1504389E" w14:textId="596D68EF" w:rsidR="00FF1C8A" w:rsidRPr="00AB7DBA" w:rsidRDefault="00FF1C8A" w:rsidP="00FF1C8A">
            <w:r w:rsidRPr="00AB7DBA">
              <w:t>Q</w:t>
            </w:r>
            <w:r w:rsidRPr="00AB7DBA">
              <w:rPr>
                <w:rFonts w:hint="eastAsia"/>
              </w:rPr>
              <w:t>：国内下游器械领域客户产品进展如何？</w:t>
            </w:r>
          </w:p>
          <w:p w14:paraId="29577D53" w14:textId="3315FA9B" w:rsidR="00FF1C8A" w:rsidRPr="00FF1C8A" w:rsidRDefault="00FF1C8A" w:rsidP="00FF1C8A">
            <w:r w:rsidRPr="00AB7DBA">
              <w:rPr>
                <w:rFonts w:hint="eastAsia"/>
              </w:rPr>
              <w:t>A</w:t>
            </w:r>
            <w:r w:rsidRPr="00AB7DBA">
              <w:rPr>
                <w:rFonts w:hint="eastAsia"/>
              </w:rPr>
              <w:t>：客户的群体</w:t>
            </w:r>
            <w:r w:rsidR="00DA606E" w:rsidRPr="00AB7DBA">
              <w:rPr>
                <w:rFonts w:hint="eastAsia"/>
              </w:rPr>
              <w:t>数量</w:t>
            </w:r>
            <w:r w:rsidRPr="00AB7DBA">
              <w:rPr>
                <w:rFonts w:hint="eastAsia"/>
              </w:rPr>
              <w:t>、客户研发质量都有明显的增加，公司还投资了一家比较看好的医疗器械研发企业。</w:t>
            </w:r>
          </w:p>
        </w:tc>
      </w:tr>
      <w:tr w:rsidR="00DC5E46" w:rsidRPr="009F4679" w14:paraId="38874C97" w14:textId="77777777" w:rsidTr="009F4679">
        <w:tc>
          <w:tcPr>
            <w:tcW w:w="2405" w:type="dxa"/>
          </w:tcPr>
          <w:p w14:paraId="6E3DA43A" w14:textId="77777777" w:rsidR="009F4679" w:rsidRPr="009F4679" w:rsidRDefault="009F4679" w:rsidP="00DC5E46">
            <w:pPr>
              <w:jc w:val="center"/>
              <w:rPr>
                <w:b/>
                <w:bCs/>
                <w:szCs w:val="24"/>
              </w:rPr>
            </w:pPr>
          </w:p>
          <w:p w14:paraId="2EE0F6D4" w14:textId="1B7B8F85" w:rsidR="00DC5E46" w:rsidRPr="009F4679" w:rsidRDefault="00DC5E46" w:rsidP="00DC5E46">
            <w:pPr>
              <w:jc w:val="center"/>
              <w:rPr>
                <w:b/>
                <w:bCs/>
                <w:szCs w:val="24"/>
              </w:rPr>
            </w:pPr>
            <w:r w:rsidRPr="009F4679">
              <w:rPr>
                <w:rFonts w:hint="eastAsia"/>
                <w:b/>
                <w:bCs/>
                <w:szCs w:val="24"/>
              </w:rPr>
              <w:t>附件清单（如有）</w:t>
            </w:r>
          </w:p>
          <w:p w14:paraId="044F4AA8" w14:textId="0769EB40" w:rsidR="009F4679" w:rsidRPr="009F4679" w:rsidRDefault="009F4679" w:rsidP="009F4679">
            <w:pPr>
              <w:rPr>
                <w:b/>
                <w:bCs/>
                <w:szCs w:val="24"/>
              </w:rPr>
            </w:pPr>
          </w:p>
        </w:tc>
        <w:tc>
          <w:tcPr>
            <w:tcW w:w="5891" w:type="dxa"/>
          </w:tcPr>
          <w:p w14:paraId="70EFBF35" w14:textId="77777777" w:rsidR="00DC5E46" w:rsidRPr="00010D3D" w:rsidRDefault="00DC5E46" w:rsidP="00DC5E46">
            <w:pPr>
              <w:jc w:val="center"/>
              <w:rPr>
                <w:szCs w:val="24"/>
              </w:rPr>
            </w:pPr>
          </w:p>
        </w:tc>
      </w:tr>
      <w:tr w:rsidR="00DC5E46" w:rsidRPr="009F4679" w14:paraId="457C3860" w14:textId="77777777" w:rsidTr="009F4679">
        <w:tc>
          <w:tcPr>
            <w:tcW w:w="2405" w:type="dxa"/>
          </w:tcPr>
          <w:p w14:paraId="14E51FE4" w14:textId="77777777" w:rsidR="009F4679" w:rsidRPr="009F4679" w:rsidRDefault="009F4679" w:rsidP="00DC5E46">
            <w:pPr>
              <w:jc w:val="center"/>
              <w:rPr>
                <w:b/>
                <w:bCs/>
                <w:szCs w:val="24"/>
              </w:rPr>
            </w:pPr>
          </w:p>
          <w:p w14:paraId="39920BE8" w14:textId="14E79FAB" w:rsidR="00DC5E46" w:rsidRPr="009F4679" w:rsidRDefault="00DC5E46" w:rsidP="00DC5E46">
            <w:pPr>
              <w:jc w:val="center"/>
              <w:rPr>
                <w:b/>
                <w:bCs/>
                <w:szCs w:val="24"/>
              </w:rPr>
            </w:pPr>
            <w:r w:rsidRPr="009F4679">
              <w:rPr>
                <w:rFonts w:hint="eastAsia"/>
                <w:b/>
                <w:bCs/>
                <w:szCs w:val="24"/>
              </w:rPr>
              <w:t>日期</w:t>
            </w:r>
          </w:p>
        </w:tc>
        <w:tc>
          <w:tcPr>
            <w:tcW w:w="5891" w:type="dxa"/>
          </w:tcPr>
          <w:p w14:paraId="122674BE" w14:textId="77777777" w:rsidR="00DC5E46" w:rsidRDefault="00DC5E46" w:rsidP="00DC5E46">
            <w:pPr>
              <w:jc w:val="center"/>
              <w:rPr>
                <w:szCs w:val="24"/>
              </w:rPr>
            </w:pPr>
          </w:p>
          <w:p w14:paraId="43C5C371" w14:textId="06229580" w:rsidR="009F4679" w:rsidRDefault="000D6505" w:rsidP="00DC5E46">
            <w:pPr>
              <w:jc w:val="center"/>
              <w:rPr>
                <w:szCs w:val="24"/>
              </w:rPr>
            </w:pPr>
            <w:r w:rsidRPr="008619F6">
              <w:rPr>
                <w:rFonts w:hint="eastAsia"/>
                <w:szCs w:val="24"/>
              </w:rPr>
              <w:t>2</w:t>
            </w:r>
            <w:r w:rsidRPr="008619F6">
              <w:rPr>
                <w:szCs w:val="24"/>
              </w:rPr>
              <w:t>02</w:t>
            </w:r>
            <w:r w:rsidR="000577D5" w:rsidRPr="008619F6">
              <w:rPr>
                <w:rFonts w:hint="eastAsia"/>
                <w:szCs w:val="24"/>
              </w:rPr>
              <w:t>5</w:t>
            </w:r>
            <w:r w:rsidR="002329EC" w:rsidRPr="008619F6">
              <w:rPr>
                <w:rFonts w:hint="eastAsia"/>
                <w:szCs w:val="24"/>
              </w:rPr>
              <w:t>.</w:t>
            </w:r>
            <w:r w:rsidR="00323250" w:rsidRPr="008619F6">
              <w:rPr>
                <w:rFonts w:hint="eastAsia"/>
                <w:szCs w:val="24"/>
              </w:rPr>
              <w:t>0</w:t>
            </w:r>
            <w:r w:rsidR="009C7CAA" w:rsidRPr="008619F6">
              <w:rPr>
                <w:rFonts w:hint="eastAsia"/>
                <w:szCs w:val="24"/>
              </w:rPr>
              <w:t>9</w:t>
            </w:r>
            <w:r w:rsidR="002329EC" w:rsidRPr="008619F6">
              <w:rPr>
                <w:rFonts w:hint="eastAsia"/>
                <w:szCs w:val="24"/>
              </w:rPr>
              <w:t>.</w:t>
            </w:r>
            <w:r w:rsidR="00292988" w:rsidRPr="008619F6">
              <w:rPr>
                <w:rFonts w:hint="eastAsia"/>
                <w:szCs w:val="24"/>
              </w:rPr>
              <w:t>0</w:t>
            </w:r>
            <w:r w:rsidR="009C7CAA" w:rsidRPr="008619F6">
              <w:rPr>
                <w:rFonts w:hint="eastAsia"/>
                <w:szCs w:val="24"/>
              </w:rPr>
              <w:t>3</w:t>
            </w:r>
          </w:p>
          <w:p w14:paraId="32DF8EF6" w14:textId="68594555" w:rsidR="009F4679" w:rsidRPr="009F4679" w:rsidRDefault="009F4679" w:rsidP="00DC5E46">
            <w:pPr>
              <w:jc w:val="center"/>
              <w:rPr>
                <w:szCs w:val="24"/>
              </w:rPr>
            </w:pPr>
          </w:p>
        </w:tc>
      </w:tr>
    </w:tbl>
    <w:p w14:paraId="2D5EF7C2" w14:textId="152EDD71" w:rsidR="003F3C92" w:rsidRDefault="003F3C92" w:rsidP="003F3C92">
      <w:pPr>
        <w:spacing w:line="360" w:lineRule="auto"/>
        <w:rPr>
          <w:szCs w:val="24"/>
        </w:rPr>
      </w:pPr>
      <w:r w:rsidRPr="003F3C92">
        <w:rPr>
          <w:rFonts w:hint="eastAsia"/>
          <w:szCs w:val="24"/>
        </w:rPr>
        <w:t>来访人签字：</w:t>
      </w:r>
    </w:p>
    <w:p w14:paraId="697617F0" w14:textId="10945CBF" w:rsidR="003F3C92" w:rsidRPr="00DC5E46" w:rsidRDefault="003F3C92" w:rsidP="003F3C92">
      <w:pPr>
        <w:spacing w:line="360" w:lineRule="auto"/>
        <w:rPr>
          <w:sz w:val="28"/>
          <w:szCs w:val="28"/>
        </w:rPr>
      </w:pPr>
      <w:r>
        <w:rPr>
          <w:rFonts w:hint="eastAsia"/>
          <w:szCs w:val="24"/>
        </w:rPr>
        <w:t>董事会秘书</w:t>
      </w:r>
      <w:r>
        <w:rPr>
          <w:rFonts w:hint="eastAsia"/>
          <w:szCs w:val="24"/>
        </w:rPr>
        <w:t>/</w:t>
      </w:r>
      <w:r>
        <w:rPr>
          <w:rFonts w:hint="eastAsia"/>
          <w:szCs w:val="24"/>
        </w:rPr>
        <w:t>证券事务代表签字：</w:t>
      </w:r>
    </w:p>
    <w:sectPr w:rsidR="003F3C92" w:rsidRPr="00DC5E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38C73" w14:textId="77777777" w:rsidR="004902B4" w:rsidRDefault="004902B4" w:rsidP="00E9000F">
      <w:r>
        <w:separator/>
      </w:r>
    </w:p>
  </w:endnote>
  <w:endnote w:type="continuationSeparator" w:id="0">
    <w:p w14:paraId="2C8DABAF" w14:textId="77777777" w:rsidR="004902B4" w:rsidRDefault="004902B4" w:rsidP="00E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7DAF9" w14:textId="77777777" w:rsidR="004902B4" w:rsidRDefault="004902B4" w:rsidP="00E9000F">
      <w:r>
        <w:separator/>
      </w:r>
    </w:p>
  </w:footnote>
  <w:footnote w:type="continuationSeparator" w:id="0">
    <w:p w14:paraId="7F619F73" w14:textId="77777777" w:rsidR="004902B4" w:rsidRDefault="004902B4" w:rsidP="00E9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E1DC2"/>
    <w:multiLevelType w:val="hybridMultilevel"/>
    <w:tmpl w:val="CDC49230"/>
    <w:lvl w:ilvl="0" w:tplc="E4EE17B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5E2F4A"/>
    <w:multiLevelType w:val="hybridMultilevel"/>
    <w:tmpl w:val="46BAC740"/>
    <w:lvl w:ilvl="0" w:tplc="E99E071E">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69E4611"/>
    <w:multiLevelType w:val="hybridMultilevel"/>
    <w:tmpl w:val="B21C6074"/>
    <w:lvl w:ilvl="0" w:tplc="20604CC6">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6477E4"/>
    <w:multiLevelType w:val="multilevel"/>
    <w:tmpl w:val="706477E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57305978">
    <w:abstractNumId w:val="2"/>
  </w:num>
  <w:num w:numId="2" w16cid:durableId="307327022">
    <w:abstractNumId w:val="0"/>
  </w:num>
  <w:num w:numId="3" w16cid:durableId="413167448">
    <w:abstractNumId w:val="3"/>
  </w:num>
  <w:num w:numId="4" w16cid:durableId="1946497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46"/>
    <w:rsid w:val="00000848"/>
    <w:rsid w:val="00007C3B"/>
    <w:rsid w:val="00010D3D"/>
    <w:rsid w:val="000125DC"/>
    <w:rsid w:val="00012977"/>
    <w:rsid w:val="000307FE"/>
    <w:rsid w:val="0003265D"/>
    <w:rsid w:val="000330E5"/>
    <w:rsid w:val="0004085B"/>
    <w:rsid w:val="0004136E"/>
    <w:rsid w:val="000516F5"/>
    <w:rsid w:val="0005651D"/>
    <w:rsid w:val="000577D5"/>
    <w:rsid w:val="000659A3"/>
    <w:rsid w:val="00066FC9"/>
    <w:rsid w:val="000751F9"/>
    <w:rsid w:val="00080333"/>
    <w:rsid w:val="00081F7E"/>
    <w:rsid w:val="00087135"/>
    <w:rsid w:val="00087420"/>
    <w:rsid w:val="00092180"/>
    <w:rsid w:val="000A0716"/>
    <w:rsid w:val="000A0C4A"/>
    <w:rsid w:val="000A4C0F"/>
    <w:rsid w:val="000A71A2"/>
    <w:rsid w:val="000B4C26"/>
    <w:rsid w:val="000B574A"/>
    <w:rsid w:val="000B61FC"/>
    <w:rsid w:val="000D2872"/>
    <w:rsid w:val="000D3DB2"/>
    <w:rsid w:val="000D6505"/>
    <w:rsid w:val="000E1009"/>
    <w:rsid w:val="000E33F8"/>
    <w:rsid w:val="000E6D3F"/>
    <w:rsid w:val="00103282"/>
    <w:rsid w:val="001121E0"/>
    <w:rsid w:val="00116C91"/>
    <w:rsid w:val="00117A43"/>
    <w:rsid w:val="00121A63"/>
    <w:rsid w:val="001273C2"/>
    <w:rsid w:val="00141B4C"/>
    <w:rsid w:val="00142D80"/>
    <w:rsid w:val="00145044"/>
    <w:rsid w:val="0014631A"/>
    <w:rsid w:val="00152766"/>
    <w:rsid w:val="001579BE"/>
    <w:rsid w:val="00171B17"/>
    <w:rsid w:val="00172C9E"/>
    <w:rsid w:val="0017514C"/>
    <w:rsid w:val="00192EBA"/>
    <w:rsid w:val="00195C46"/>
    <w:rsid w:val="001A43C4"/>
    <w:rsid w:val="001A5631"/>
    <w:rsid w:val="001C1AE2"/>
    <w:rsid w:val="001C265C"/>
    <w:rsid w:val="001C2F28"/>
    <w:rsid w:val="001E7C47"/>
    <w:rsid w:val="001E7CD7"/>
    <w:rsid w:val="001F0539"/>
    <w:rsid w:val="001F0F88"/>
    <w:rsid w:val="001F2BFB"/>
    <w:rsid w:val="001F47E9"/>
    <w:rsid w:val="00203961"/>
    <w:rsid w:val="0020500F"/>
    <w:rsid w:val="002070FE"/>
    <w:rsid w:val="0021598D"/>
    <w:rsid w:val="00216A9F"/>
    <w:rsid w:val="00227A6E"/>
    <w:rsid w:val="002329EC"/>
    <w:rsid w:val="00236380"/>
    <w:rsid w:val="00240A9F"/>
    <w:rsid w:val="002411D1"/>
    <w:rsid w:val="00250CCA"/>
    <w:rsid w:val="0027343E"/>
    <w:rsid w:val="00281DD7"/>
    <w:rsid w:val="002820EB"/>
    <w:rsid w:val="00292988"/>
    <w:rsid w:val="002930C1"/>
    <w:rsid w:val="00295E9D"/>
    <w:rsid w:val="002A6DE8"/>
    <w:rsid w:val="002A6FF2"/>
    <w:rsid w:val="002B190F"/>
    <w:rsid w:val="002B7B92"/>
    <w:rsid w:val="002C1739"/>
    <w:rsid w:val="002C2F98"/>
    <w:rsid w:val="002C552B"/>
    <w:rsid w:val="002D2A99"/>
    <w:rsid w:val="002D5A9B"/>
    <w:rsid w:val="002D6FDD"/>
    <w:rsid w:val="002E0585"/>
    <w:rsid w:val="002E2164"/>
    <w:rsid w:val="002F1D5C"/>
    <w:rsid w:val="0030197D"/>
    <w:rsid w:val="00323250"/>
    <w:rsid w:val="00325FC3"/>
    <w:rsid w:val="00326CC3"/>
    <w:rsid w:val="003319AA"/>
    <w:rsid w:val="0033425D"/>
    <w:rsid w:val="00343C11"/>
    <w:rsid w:val="0035497F"/>
    <w:rsid w:val="003660F3"/>
    <w:rsid w:val="00367DFB"/>
    <w:rsid w:val="003730BF"/>
    <w:rsid w:val="0037502E"/>
    <w:rsid w:val="00375898"/>
    <w:rsid w:val="003765BD"/>
    <w:rsid w:val="00376BB6"/>
    <w:rsid w:val="003839D8"/>
    <w:rsid w:val="00392BDB"/>
    <w:rsid w:val="00393CA8"/>
    <w:rsid w:val="003A0D0E"/>
    <w:rsid w:val="003A336D"/>
    <w:rsid w:val="003A3648"/>
    <w:rsid w:val="003A3A46"/>
    <w:rsid w:val="003B0E7F"/>
    <w:rsid w:val="003B652A"/>
    <w:rsid w:val="003B7781"/>
    <w:rsid w:val="003C049C"/>
    <w:rsid w:val="003C429D"/>
    <w:rsid w:val="003D7850"/>
    <w:rsid w:val="003E1EB1"/>
    <w:rsid w:val="003E303D"/>
    <w:rsid w:val="003F3C92"/>
    <w:rsid w:val="0040658E"/>
    <w:rsid w:val="00407F12"/>
    <w:rsid w:val="00430193"/>
    <w:rsid w:val="00433BD7"/>
    <w:rsid w:val="004401F1"/>
    <w:rsid w:val="00440F61"/>
    <w:rsid w:val="004414FC"/>
    <w:rsid w:val="00442FD1"/>
    <w:rsid w:val="0046078E"/>
    <w:rsid w:val="0046265B"/>
    <w:rsid w:val="00464318"/>
    <w:rsid w:val="00467089"/>
    <w:rsid w:val="00467905"/>
    <w:rsid w:val="00467F3B"/>
    <w:rsid w:val="004754E9"/>
    <w:rsid w:val="004902B4"/>
    <w:rsid w:val="00495392"/>
    <w:rsid w:val="00497438"/>
    <w:rsid w:val="004A03F7"/>
    <w:rsid w:val="004A1F02"/>
    <w:rsid w:val="004A6A83"/>
    <w:rsid w:val="004A7CF8"/>
    <w:rsid w:val="004B1053"/>
    <w:rsid w:val="004B24E3"/>
    <w:rsid w:val="004B41BA"/>
    <w:rsid w:val="004B4D50"/>
    <w:rsid w:val="004C024B"/>
    <w:rsid w:val="004C1833"/>
    <w:rsid w:val="004C4AB6"/>
    <w:rsid w:val="004C4D50"/>
    <w:rsid w:val="004C66D6"/>
    <w:rsid w:val="004E3F85"/>
    <w:rsid w:val="004E40CA"/>
    <w:rsid w:val="004F0058"/>
    <w:rsid w:val="004F5B21"/>
    <w:rsid w:val="005044AD"/>
    <w:rsid w:val="0050712B"/>
    <w:rsid w:val="00513BB5"/>
    <w:rsid w:val="0052251A"/>
    <w:rsid w:val="0052257B"/>
    <w:rsid w:val="005230E3"/>
    <w:rsid w:val="00526A67"/>
    <w:rsid w:val="00534AC4"/>
    <w:rsid w:val="005372C0"/>
    <w:rsid w:val="00555D2B"/>
    <w:rsid w:val="00556EA5"/>
    <w:rsid w:val="00563F8E"/>
    <w:rsid w:val="0056668B"/>
    <w:rsid w:val="00582F57"/>
    <w:rsid w:val="0058533A"/>
    <w:rsid w:val="0059353D"/>
    <w:rsid w:val="00595D73"/>
    <w:rsid w:val="005969B8"/>
    <w:rsid w:val="005974E8"/>
    <w:rsid w:val="005A4FEE"/>
    <w:rsid w:val="005B3736"/>
    <w:rsid w:val="005B646A"/>
    <w:rsid w:val="005C1B95"/>
    <w:rsid w:val="005C311F"/>
    <w:rsid w:val="005D5E34"/>
    <w:rsid w:val="005D73A6"/>
    <w:rsid w:val="005E1795"/>
    <w:rsid w:val="005E1DBD"/>
    <w:rsid w:val="005F0EE2"/>
    <w:rsid w:val="005F114B"/>
    <w:rsid w:val="005F2171"/>
    <w:rsid w:val="005F6155"/>
    <w:rsid w:val="005F645C"/>
    <w:rsid w:val="00612420"/>
    <w:rsid w:val="00620D54"/>
    <w:rsid w:val="0062335B"/>
    <w:rsid w:val="006318DB"/>
    <w:rsid w:val="006512E6"/>
    <w:rsid w:val="00651B6D"/>
    <w:rsid w:val="00651BD6"/>
    <w:rsid w:val="00653FCF"/>
    <w:rsid w:val="00662F0D"/>
    <w:rsid w:val="006721DC"/>
    <w:rsid w:val="006802C7"/>
    <w:rsid w:val="00683340"/>
    <w:rsid w:val="00690C11"/>
    <w:rsid w:val="006917C7"/>
    <w:rsid w:val="006A04CA"/>
    <w:rsid w:val="006A1E63"/>
    <w:rsid w:val="006C4C5C"/>
    <w:rsid w:val="006C6371"/>
    <w:rsid w:val="006D076B"/>
    <w:rsid w:val="006D0E44"/>
    <w:rsid w:val="006E0E79"/>
    <w:rsid w:val="006E6B86"/>
    <w:rsid w:val="006E7CBD"/>
    <w:rsid w:val="007046B5"/>
    <w:rsid w:val="00720291"/>
    <w:rsid w:val="00724463"/>
    <w:rsid w:val="007245DC"/>
    <w:rsid w:val="0072477A"/>
    <w:rsid w:val="00732766"/>
    <w:rsid w:val="00744652"/>
    <w:rsid w:val="00744D68"/>
    <w:rsid w:val="00750661"/>
    <w:rsid w:val="007576BD"/>
    <w:rsid w:val="00760751"/>
    <w:rsid w:val="00763C13"/>
    <w:rsid w:val="00767075"/>
    <w:rsid w:val="0077225B"/>
    <w:rsid w:val="00773E29"/>
    <w:rsid w:val="00775073"/>
    <w:rsid w:val="00781D7E"/>
    <w:rsid w:val="00782E83"/>
    <w:rsid w:val="00783848"/>
    <w:rsid w:val="00786B7F"/>
    <w:rsid w:val="00797D9F"/>
    <w:rsid w:val="007A182B"/>
    <w:rsid w:val="007C3812"/>
    <w:rsid w:val="007C64FF"/>
    <w:rsid w:val="007D0568"/>
    <w:rsid w:val="007D65BE"/>
    <w:rsid w:val="007E4172"/>
    <w:rsid w:val="007F74AD"/>
    <w:rsid w:val="0080663B"/>
    <w:rsid w:val="00807406"/>
    <w:rsid w:val="008115AF"/>
    <w:rsid w:val="00821152"/>
    <w:rsid w:val="00850698"/>
    <w:rsid w:val="00850ACE"/>
    <w:rsid w:val="00861139"/>
    <w:rsid w:val="008619F6"/>
    <w:rsid w:val="00875CE9"/>
    <w:rsid w:val="00880142"/>
    <w:rsid w:val="00880942"/>
    <w:rsid w:val="008A034C"/>
    <w:rsid w:val="008A59A2"/>
    <w:rsid w:val="008A5FBD"/>
    <w:rsid w:val="008B3AFF"/>
    <w:rsid w:val="008B6CF8"/>
    <w:rsid w:val="008B7F0C"/>
    <w:rsid w:val="008C74A6"/>
    <w:rsid w:val="008D1E3D"/>
    <w:rsid w:val="008D3E50"/>
    <w:rsid w:val="008D51C6"/>
    <w:rsid w:val="008E0942"/>
    <w:rsid w:val="008E0A6D"/>
    <w:rsid w:val="008E4255"/>
    <w:rsid w:val="008F4909"/>
    <w:rsid w:val="008F71AA"/>
    <w:rsid w:val="0092126F"/>
    <w:rsid w:val="0093066D"/>
    <w:rsid w:val="009313E5"/>
    <w:rsid w:val="00933174"/>
    <w:rsid w:val="00943407"/>
    <w:rsid w:val="00946621"/>
    <w:rsid w:val="00955A96"/>
    <w:rsid w:val="00957A06"/>
    <w:rsid w:val="009613A7"/>
    <w:rsid w:val="00961822"/>
    <w:rsid w:val="0096293D"/>
    <w:rsid w:val="0097143F"/>
    <w:rsid w:val="00973F31"/>
    <w:rsid w:val="0097726D"/>
    <w:rsid w:val="0097778C"/>
    <w:rsid w:val="00991E69"/>
    <w:rsid w:val="00993A16"/>
    <w:rsid w:val="009A4711"/>
    <w:rsid w:val="009B2F73"/>
    <w:rsid w:val="009B2FA1"/>
    <w:rsid w:val="009B37C7"/>
    <w:rsid w:val="009B5FE7"/>
    <w:rsid w:val="009C7CAA"/>
    <w:rsid w:val="009E1BA2"/>
    <w:rsid w:val="009E3226"/>
    <w:rsid w:val="009E4EB5"/>
    <w:rsid w:val="009F4679"/>
    <w:rsid w:val="009F5AF5"/>
    <w:rsid w:val="00A02C44"/>
    <w:rsid w:val="00A04715"/>
    <w:rsid w:val="00A056DE"/>
    <w:rsid w:val="00A16091"/>
    <w:rsid w:val="00A163A8"/>
    <w:rsid w:val="00A300B7"/>
    <w:rsid w:val="00A34F55"/>
    <w:rsid w:val="00A35780"/>
    <w:rsid w:val="00A35B06"/>
    <w:rsid w:val="00A40D76"/>
    <w:rsid w:val="00A467B8"/>
    <w:rsid w:val="00A52680"/>
    <w:rsid w:val="00A552F4"/>
    <w:rsid w:val="00A64DA9"/>
    <w:rsid w:val="00A70CF7"/>
    <w:rsid w:val="00A75C2B"/>
    <w:rsid w:val="00A77AAD"/>
    <w:rsid w:val="00A83C86"/>
    <w:rsid w:val="00A84A3C"/>
    <w:rsid w:val="00A84C98"/>
    <w:rsid w:val="00A8596D"/>
    <w:rsid w:val="00A86324"/>
    <w:rsid w:val="00A90072"/>
    <w:rsid w:val="00A908F2"/>
    <w:rsid w:val="00A961B3"/>
    <w:rsid w:val="00A978A0"/>
    <w:rsid w:val="00AA1067"/>
    <w:rsid w:val="00AA6229"/>
    <w:rsid w:val="00AB222C"/>
    <w:rsid w:val="00AB7DBA"/>
    <w:rsid w:val="00AC5D96"/>
    <w:rsid w:val="00AE04F4"/>
    <w:rsid w:val="00AE2FCC"/>
    <w:rsid w:val="00AE36D1"/>
    <w:rsid w:val="00AE5B70"/>
    <w:rsid w:val="00AE7DC3"/>
    <w:rsid w:val="00AF1444"/>
    <w:rsid w:val="00AF2949"/>
    <w:rsid w:val="00AF6706"/>
    <w:rsid w:val="00B012B4"/>
    <w:rsid w:val="00B11520"/>
    <w:rsid w:val="00B15185"/>
    <w:rsid w:val="00B15D8F"/>
    <w:rsid w:val="00B16084"/>
    <w:rsid w:val="00B22658"/>
    <w:rsid w:val="00B236C8"/>
    <w:rsid w:val="00B31C95"/>
    <w:rsid w:val="00B32901"/>
    <w:rsid w:val="00B336B5"/>
    <w:rsid w:val="00B53D28"/>
    <w:rsid w:val="00B65D7F"/>
    <w:rsid w:val="00B676A5"/>
    <w:rsid w:val="00B679FA"/>
    <w:rsid w:val="00B70C48"/>
    <w:rsid w:val="00B71EE6"/>
    <w:rsid w:val="00B72E52"/>
    <w:rsid w:val="00B75D13"/>
    <w:rsid w:val="00B84E61"/>
    <w:rsid w:val="00B8785C"/>
    <w:rsid w:val="00B93F64"/>
    <w:rsid w:val="00B95212"/>
    <w:rsid w:val="00B976CD"/>
    <w:rsid w:val="00BA17EC"/>
    <w:rsid w:val="00BA1869"/>
    <w:rsid w:val="00BA3E77"/>
    <w:rsid w:val="00BA54AB"/>
    <w:rsid w:val="00BA6897"/>
    <w:rsid w:val="00BA7FB8"/>
    <w:rsid w:val="00BD2BCB"/>
    <w:rsid w:val="00BD78FB"/>
    <w:rsid w:val="00BE42E4"/>
    <w:rsid w:val="00BE7F88"/>
    <w:rsid w:val="00BF1AA7"/>
    <w:rsid w:val="00C02F06"/>
    <w:rsid w:val="00C070AF"/>
    <w:rsid w:val="00C112D8"/>
    <w:rsid w:val="00C121BE"/>
    <w:rsid w:val="00C148C4"/>
    <w:rsid w:val="00C16547"/>
    <w:rsid w:val="00C17D6B"/>
    <w:rsid w:val="00C23B13"/>
    <w:rsid w:val="00C25544"/>
    <w:rsid w:val="00C33DCE"/>
    <w:rsid w:val="00C37C2D"/>
    <w:rsid w:val="00C421E3"/>
    <w:rsid w:val="00C452C2"/>
    <w:rsid w:val="00C62A09"/>
    <w:rsid w:val="00C64A20"/>
    <w:rsid w:val="00C65E95"/>
    <w:rsid w:val="00C72D16"/>
    <w:rsid w:val="00C72ED5"/>
    <w:rsid w:val="00C7339F"/>
    <w:rsid w:val="00C770CA"/>
    <w:rsid w:val="00CB2294"/>
    <w:rsid w:val="00CB3D8A"/>
    <w:rsid w:val="00CC2786"/>
    <w:rsid w:val="00CC2A10"/>
    <w:rsid w:val="00CC51EA"/>
    <w:rsid w:val="00CC6167"/>
    <w:rsid w:val="00CD0C0F"/>
    <w:rsid w:val="00CD50BD"/>
    <w:rsid w:val="00CD70EA"/>
    <w:rsid w:val="00CF28AA"/>
    <w:rsid w:val="00D22037"/>
    <w:rsid w:val="00D34CF5"/>
    <w:rsid w:val="00D354DE"/>
    <w:rsid w:val="00D36199"/>
    <w:rsid w:val="00D431DB"/>
    <w:rsid w:val="00D44E58"/>
    <w:rsid w:val="00D61155"/>
    <w:rsid w:val="00D6368C"/>
    <w:rsid w:val="00D71B9D"/>
    <w:rsid w:val="00D75678"/>
    <w:rsid w:val="00D81B7B"/>
    <w:rsid w:val="00D8349F"/>
    <w:rsid w:val="00D83A4D"/>
    <w:rsid w:val="00D9061F"/>
    <w:rsid w:val="00D94BEF"/>
    <w:rsid w:val="00DA13F3"/>
    <w:rsid w:val="00DA188E"/>
    <w:rsid w:val="00DA606E"/>
    <w:rsid w:val="00DB3623"/>
    <w:rsid w:val="00DB3F2A"/>
    <w:rsid w:val="00DB6237"/>
    <w:rsid w:val="00DB740E"/>
    <w:rsid w:val="00DC0644"/>
    <w:rsid w:val="00DC2F17"/>
    <w:rsid w:val="00DC5E46"/>
    <w:rsid w:val="00DE7A01"/>
    <w:rsid w:val="00E034F8"/>
    <w:rsid w:val="00E20BF6"/>
    <w:rsid w:val="00E2650D"/>
    <w:rsid w:val="00E31E4C"/>
    <w:rsid w:val="00E435FA"/>
    <w:rsid w:val="00E453C1"/>
    <w:rsid w:val="00E50C6F"/>
    <w:rsid w:val="00E53331"/>
    <w:rsid w:val="00E53CCC"/>
    <w:rsid w:val="00E5561F"/>
    <w:rsid w:val="00E66F9A"/>
    <w:rsid w:val="00E7377C"/>
    <w:rsid w:val="00E7435E"/>
    <w:rsid w:val="00E80830"/>
    <w:rsid w:val="00E81D95"/>
    <w:rsid w:val="00E83B1D"/>
    <w:rsid w:val="00E87239"/>
    <w:rsid w:val="00E878F6"/>
    <w:rsid w:val="00E9000F"/>
    <w:rsid w:val="00E965E0"/>
    <w:rsid w:val="00E96AFA"/>
    <w:rsid w:val="00EA2D13"/>
    <w:rsid w:val="00EA6595"/>
    <w:rsid w:val="00EA7B8F"/>
    <w:rsid w:val="00EC418C"/>
    <w:rsid w:val="00EC6A31"/>
    <w:rsid w:val="00EE6AF7"/>
    <w:rsid w:val="00EF0B4C"/>
    <w:rsid w:val="00EF23CF"/>
    <w:rsid w:val="00F004B2"/>
    <w:rsid w:val="00F232CD"/>
    <w:rsid w:val="00F26317"/>
    <w:rsid w:val="00F30A46"/>
    <w:rsid w:val="00F33538"/>
    <w:rsid w:val="00F41B91"/>
    <w:rsid w:val="00F420F8"/>
    <w:rsid w:val="00F42FC0"/>
    <w:rsid w:val="00F431A2"/>
    <w:rsid w:val="00F4357C"/>
    <w:rsid w:val="00F437D9"/>
    <w:rsid w:val="00F43D35"/>
    <w:rsid w:val="00F44C92"/>
    <w:rsid w:val="00F4686C"/>
    <w:rsid w:val="00F4708F"/>
    <w:rsid w:val="00F5533A"/>
    <w:rsid w:val="00F55C65"/>
    <w:rsid w:val="00F90A0F"/>
    <w:rsid w:val="00F93EA7"/>
    <w:rsid w:val="00FA1B55"/>
    <w:rsid w:val="00FA3B0E"/>
    <w:rsid w:val="00FC2AF4"/>
    <w:rsid w:val="00FD4CD3"/>
    <w:rsid w:val="00FD54F2"/>
    <w:rsid w:val="00FE0F19"/>
    <w:rsid w:val="00FE3878"/>
    <w:rsid w:val="00FF1C8A"/>
    <w:rsid w:val="00FF3765"/>
    <w:rsid w:val="00FF5CCA"/>
    <w:rsid w:val="00FF7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1A5A0"/>
  <w15:chartTrackingRefBased/>
  <w15:docId w15:val="{2D4DDCC2-3C74-497F-B009-89C3471D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E46"/>
    <w:pPr>
      <w:widowControl w:val="0"/>
      <w:jc w:val="both"/>
    </w:pPr>
    <w:rPr>
      <w:rFonts w:ascii="Times New Roman" w:eastAsia="宋体" w:hAnsi="Times New Roman"/>
      <w:sz w:val="24"/>
    </w:rPr>
  </w:style>
  <w:style w:type="paragraph" w:styleId="8">
    <w:name w:val="heading 8"/>
    <w:basedOn w:val="a"/>
    <w:next w:val="a"/>
    <w:link w:val="80"/>
    <w:uiPriority w:val="9"/>
    <w:unhideWhenUsed/>
    <w:qFormat/>
    <w:rsid w:val="006D0E44"/>
    <w:pPr>
      <w:keepNext/>
      <w:keepLines/>
      <w:spacing w:before="240" w:after="64" w:line="320" w:lineRule="auto"/>
      <w:jc w:val="left"/>
      <w:outlineLvl w:val="7"/>
    </w:pPr>
    <w:rPr>
      <w:rFonts w:asciiTheme="majorHAnsi" w:eastAsiaTheme="majorEastAsia" w:hAnsiTheme="majorHAnsi" w:cstheme="majorBid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4679"/>
    <w:rPr>
      <w:sz w:val="18"/>
      <w:szCs w:val="18"/>
    </w:rPr>
  </w:style>
  <w:style w:type="character" w:customStyle="1" w:styleId="a5">
    <w:name w:val="批注框文本 字符"/>
    <w:basedOn w:val="a0"/>
    <w:link w:val="a4"/>
    <w:uiPriority w:val="99"/>
    <w:semiHidden/>
    <w:rsid w:val="009F4679"/>
    <w:rPr>
      <w:rFonts w:ascii="Times New Roman" w:eastAsia="宋体" w:hAnsi="Times New Roman"/>
      <w:sz w:val="18"/>
      <w:szCs w:val="18"/>
    </w:rPr>
  </w:style>
  <w:style w:type="paragraph" w:styleId="a6">
    <w:name w:val="header"/>
    <w:basedOn w:val="a"/>
    <w:link w:val="a7"/>
    <w:uiPriority w:val="99"/>
    <w:unhideWhenUsed/>
    <w:rsid w:val="00E9000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9000F"/>
    <w:rPr>
      <w:rFonts w:ascii="Times New Roman" w:eastAsia="宋体" w:hAnsi="Times New Roman"/>
      <w:sz w:val="18"/>
      <w:szCs w:val="18"/>
    </w:rPr>
  </w:style>
  <w:style w:type="paragraph" w:styleId="a8">
    <w:name w:val="footer"/>
    <w:basedOn w:val="a"/>
    <w:link w:val="a9"/>
    <w:uiPriority w:val="99"/>
    <w:unhideWhenUsed/>
    <w:rsid w:val="00E9000F"/>
    <w:pPr>
      <w:tabs>
        <w:tab w:val="center" w:pos="4153"/>
        <w:tab w:val="right" w:pos="8306"/>
      </w:tabs>
      <w:snapToGrid w:val="0"/>
      <w:jc w:val="left"/>
    </w:pPr>
    <w:rPr>
      <w:sz w:val="18"/>
      <w:szCs w:val="18"/>
    </w:rPr>
  </w:style>
  <w:style w:type="character" w:customStyle="1" w:styleId="a9">
    <w:name w:val="页脚 字符"/>
    <w:basedOn w:val="a0"/>
    <w:link w:val="a8"/>
    <w:uiPriority w:val="99"/>
    <w:rsid w:val="00E9000F"/>
    <w:rPr>
      <w:rFonts w:ascii="Times New Roman" w:eastAsia="宋体" w:hAnsi="Times New Roman"/>
      <w:sz w:val="18"/>
      <w:szCs w:val="18"/>
    </w:rPr>
  </w:style>
  <w:style w:type="paragraph" w:styleId="aa">
    <w:name w:val="List Paragraph"/>
    <w:basedOn w:val="a"/>
    <w:uiPriority w:val="34"/>
    <w:qFormat/>
    <w:rsid w:val="00BA54AB"/>
    <w:pPr>
      <w:ind w:firstLineChars="200" w:firstLine="420"/>
    </w:pPr>
  </w:style>
  <w:style w:type="character" w:customStyle="1" w:styleId="80">
    <w:name w:val="标题 8 字符"/>
    <w:basedOn w:val="a0"/>
    <w:link w:val="8"/>
    <w:uiPriority w:val="9"/>
    <w:rsid w:val="006D0E44"/>
    <w:rPr>
      <w:rFonts w:asciiTheme="majorHAnsi" w:eastAsiaTheme="majorEastAsia" w:hAnsiTheme="majorHAnsi" w:cstheme="majorBidi"/>
      <w:kern w:val="0"/>
      <w:sz w:val="24"/>
      <w:szCs w:val="24"/>
    </w:rPr>
  </w:style>
  <w:style w:type="paragraph" w:styleId="ab">
    <w:name w:val="Revision"/>
    <w:hidden/>
    <w:uiPriority w:val="99"/>
    <w:semiHidden/>
    <w:rsid w:val="00D44E58"/>
    <w:rPr>
      <w:rFonts w:ascii="Times New Roman" w:eastAsia="宋体" w:hAnsi="Times New Roman"/>
      <w:sz w:val="24"/>
    </w:rPr>
  </w:style>
  <w:style w:type="character" w:styleId="ac">
    <w:name w:val="annotation reference"/>
    <w:basedOn w:val="a0"/>
    <w:uiPriority w:val="99"/>
    <w:semiHidden/>
    <w:unhideWhenUsed/>
    <w:rsid w:val="00343C11"/>
    <w:rPr>
      <w:sz w:val="21"/>
      <w:szCs w:val="21"/>
    </w:rPr>
  </w:style>
  <w:style w:type="paragraph" w:styleId="ad">
    <w:name w:val="annotation text"/>
    <w:basedOn w:val="a"/>
    <w:link w:val="ae"/>
    <w:uiPriority w:val="99"/>
    <w:unhideWhenUsed/>
    <w:rsid w:val="00343C11"/>
    <w:pPr>
      <w:jc w:val="left"/>
    </w:pPr>
  </w:style>
  <w:style w:type="character" w:customStyle="1" w:styleId="ae">
    <w:name w:val="批注文字 字符"/>
    <w:basedOn w:val="a0"/>
    <w:link w:val="ad"/>
    <w:uiPriority w:val="99"/>
    <w:rsid w:val="00343C11"/>
    <w:rPr>
      <w:rFonts w:ascii="Times New Roman" w:eastAsia="宋体" w:hAnsi="Times New Roman"/>
      <w:sz w:val="24"/>
    </w:rPr>
  </w:style>
  <w:style w:type="paragraph" w:styleId="af">
    <w:name w:val="annotation subject"/>
    <w:basedOn w:val="ad"/>
    <w:next w:val="ad"/>
    <w:link w:val="af0"/>
    <w:uiPriority w:val="99"/>
    <w:semiHidden/>
    <w:unhideWhenUsed/>
    <w:rsid w:val="00343C11"/>
    <w:rPr>
      <w:b/>
      <w:bCs/>
    </w:rPr>
  </w:style>
  <w:style w:type="character" w:customStyle="1" w:styleId="af0">
    <w:name w:val="批注主题 字符"/>
    <w:basedOn w:val="ae"/>
    <w:link w:val="af"/>
    <w:uiPriority w:val="99"/>
    <w:semiHidden/>
    <w:rsid w:val="00343C11"/>
    <w:rPr>
      <w:rFonts w:ascii="Times New Roman" w:eastAsia="宋体"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0365">
      <w:bodyDiv w:val="1"/>
      <w:marLeft w:val="0"/>
      <w:marRight w:val="0"/>
      <w:marTop w:val="0"/>
      <w:marBottom w:val="0"/>
      <w:divBdr>
        <w:top w:val="none" w:sz="0" w:space="0" w:color="auto"/>
        <w:left w:val="none" w:sz="0" w:space="0" w:color="auto"/>
        <w:bottom w:val="none" w:sz="0" w:space="0" w:color="auto"/>
        <w:right w:val="none" w:sz="0" w:space="0" w:color="auto"/>
      </w:divBdr>
    </w:div>
    <w:div w:id="25447311">
      <w:bodyDiv w:val="1"/>
      <w:marLeft w:val="0"/>
      <w:marRight w:val="0"/>
      <w:marTop w:val="0"/>
      <w:marBottom w:val="0"/>
      <w:divBdr>
        <w:top w:val="none" w:sz="0" w:space="0" w:color="auto"/>
        <w:left w:val="none" w:sz="0" w:space="0" w:color="auto"/>
        <w:bottom w:val="none" w:sz="0" w:space="0" w:color="auto"/>
        <w:right w:val="none" w:sz="0" w:space="0" w:color="auto"/>
      </w:divBdr>
    </w:div>
    <w:div w:id="65955996">
      <w:bodyDiv w:val="1"/>
      <w:marLeft w:val="0"/>
      <w:marRight w:val="0"/>
      <w:marTop w:val="0"/>
      <w:marBottom w:val="0"/>
      <w:divBdr>
        <w:top w:val="none" w:sz="0" w:space="0" w:color="auto"/>
        <w:left w:val="none" w:sz="0" w:space="0" w:color="auto"/>
        <w:bottom w:val="none" w:sz="0" w:space="0" w:color="auto"/>
        <w:right w:val="none" w:sz="0" w:space="0" w:color="auto"/>
      </w:divBdr>
    </w:div>
    <w:div w:id="110248256">
      <w:bodyDiv w:val="1"/>
      <w:marLeft w:val="0"/>
      <w:marRight w:val="0"/>
      <w:marTop w:val="0"/>
      <w:marBottom w:val="0"/>
      <w:divBdr>
        <w:top w:val="none" w:sz="0" w:space="0" w:color="auto"/>
        <w:left w:val="none" w:sz="0" w:space="0" w:color="auto"/>
        <w:bottom w:val="none" w:sz="0" w:space="0" w:color="auto"/>
        <w:right w:val="none" w:sz="0" w:space="0" w:color="auto"/>
      </w:divBdr>
    </w:div>
    <w:div w:id="240676639">
      <w:bodyDiv w:val="1"/>
      <w:marLeft w:val="0"/>
      <w:marRight w:val="0"/>
      <w:marTop w:val="0"/>
      <w:marBottom w:val="0"/>
      <w:divBdr>
        <w:top w:val="none" w:sz="0" w:space="0" w:color="auto"/>
        <w:left w:val="none" w:sz="0" w:space="0" w:color="auto"/>
        <w:bottom w:val="none" w:sz="0" w:space="0" w:color="auto"/>
        <w:right w:val="none" w:sz="0" w:space="0" w:color="auto"/>
      </w:divBdr>
    </w:div>
    <w:div w:id="246769951">
      <w:bodyDiv w:val="1"/>
      <w:marLeft w:val="0"/>
      <w:marRight w:val="0"/>
      <w:marTop w:val="0"/>
      <w:marBottom w:val="0"/>
      <w:divBdr>
        <w:top w:val="none" w:sz="0" w:space="0" w:color="auto"/>
        <w:left w:val="none" w:sz="0" w:space="0" w:color="auto"/>
        <w:bottom w:val="none" w:sz="0" w:space="0" w:color="auto"/>
        <w:right w:val="none" w:sz="0" w:space="0" w:color="auto"/>
      </w:divBdr>
    </w:div>
    <w:div w:id="271672292">
      <w:bodyDiv w:val="1"/>
      <w:marLeft w:val="0"/>
      <w:marRight w:val="0"/>
      <w:marTop w:val="0"/>
      <w:marBottom w:val="0"/>
      <w:divBdr>
        <w:top w:val="none" w:sz="0" w:space="0" w:color="auto"/>
        <w:left w:val="none" w:sz="0" w:space="0" w:color="auto"/>
        <w:bottom w:val="none" w:sz="0" w:space="0" w:color="auto"/>
        <w:right w:val="none" w:sz="0" w:space="0" w:color="auto"/>
      </w:divBdr>
    </w:div>
    <w:div w:id="282544423">
      <w:bodyDiv w:val="1"/>
      <w:marLeft w:val="0"/>
      <w:marRight w:val="0"/>
      <w:marTop w:val="0"/>
      <w:marBottom w:val="0"/>
      <w:divBdr>
        <w:top w:val="none" w:sz="0" w:space="0" w:color="auto"/>
        <w:left w:val="none" w:sz="0" w:space="0" w:color="auto"/>
        <w:bottom w:val="none" w:sz="0" w:space="0" w:color="auto"/>
        <w:right w:val="none" w:sz="0" w:space="0" w:color="auto"/>
      </w:divBdr>
    </w:div>
    <w:div w:id="397410907">
      <w:bodyDiv w:val="1"/>
      <w:marLeft w:val="0"/>
      <w:marRight w:val="0"/>
      <w:marTop w:val="0"/>
      <w:marBottom w:val="0"/>
      <w:divBdr>
        <w:top w:val="none" w:sz="0" w:space="0" w:color="auto"/>
        <w:left w:val="none" w:sz="0" w:space="0" w:color="auto"/>
        <w:bottom w:val="none" w:sz="0" w:space="0" w:color="auto"/>
        <w:right w:val="none" w:sz="0" w:space="0" w:color="auto"/>
      </w:divBdr>
    </w:div>
    <w:div w:id="408384120">
      <w:bodyDiv w:val="1"/>
      <w:marLeft w:val="0"/>
      <w:marRight w:val="0"/>
      <w:marTop w:val="0"/>
      <w:marBottom w:val="0"/>
      <w:divBdr>
        <w:top w:val="none" w:sz="0" w:space="0" w:color="auto"/>
        <w:left w:val="none" w:sz="0" w:space="0" w:color="auto"/>
        <w:bottom w:val="none" w:sz="0" w:space="0" w:color="auto"/>
        <w:right w:val="none" w:sz="0" w:space="0" w:color="auto"/>
      </w:divBdr>
    </w:div>
    <w:div w:id="466096155">
      <w:bodyDiv w:val="1"/>
      <w:marLeft w:val="0"/>
      <w:marRight w:val="0"/>
      <w:marTop w:val="0"/>
      <w:marBottom w:val="0"/>
      <w:divBdr>
        <w:top w:val="none" w:sz="0" w:space="0" w:color="auto"/>
        <w:left w:val="none" w:sz="0" w:space="0" w:color="auto"/>
        <w:bottom w:val="none" w:sz="0" w:space="0" w:color="auto"/>
        <w:right w:val="none" w:sz="0" w:space="0" w:color="auto"/>
      </w:divBdr>
    </w:div>
    <w:div w:id="515776007">
      <w:bodyDiv w:val="1"/>
      <w:marLeft w:val="0"/>
      <w:marRight w:val="0"/>
      <w:marTop w:val="0"/>
      <w:marBottom w:val="0"/>
      <w:divBdr>
        <w:top w:val="none" w:sz="0" w:space="0" w:color="auto"/>
        <w:left w:val="none" w:sz="0" w:space="0" w:color="auto"/>
        <w:bottom w:val="none" w:sz="0" w:space="0" w:color="auto"/>
        <w:right w:val="none" w:sz="0" w:space="0" w:color="auto"/>
      </w:divBdr>
    </w:div>
    <w:div w:id="516191941">
      <w:bodyDiv w:val="1"/>
      <w:marLeft w:val="0"/>
      <w:marRight w:val="0"/>
      <w:marTop w:val="0"/>
      <w:marBottom w:val="0"/>
      <w:divBdr>
        <w:top w:val="none" w:sz="0" w:space="0" w:color="auto"/>
        <w:left w:val="none" w:sz="0" w:space="0" w:color="auto"/>
        <w:bottom w:val="none" w:sz="0" w:space="0" w:color="auto"/>
        <w:right w:val="none" w:sz="0" w:space="0" w:color="auto"/>
      </w:divBdr>
    </w:div>
    <w:div w:id="529800370">
      <w:bodyDiv w:val="1"/>
      <w:marLeft w:val="0"/>
      <w:marRight w:val="0"/>
      <w:marTop w:val="0"/>
      <w:marBottom w:val="0"/>
      <w:divBdr>
        <w:top w:val="none" w:sz="0" w:space="0" w:color="auto"/>
        <w:left w:val="none" w:sz="0" w:space="0" w:color="auto"/>
        <w:bottom w:val="none" w:sz="0" w:space="0" w:color="auto"/>
        <w:right w:val="none" w:sz="0" w:space="0" w:color="auto"/>
      </w:divBdr>
    </w:div>
    <w:div w:id="537859519">
      <w:bodyDiv w:val="1"/>
      <w:marLeft w:val="0"/>
      <w:marRight w:val="0"/>
      <w:marTop w:val="0"/>
      <w:marBottom w:val="0"/>
      <w:divBdr>
        <w:top w:val="none" w:sz="0" w:space="0" w:color="auto"/>
        <w:left w:val="none" w:sz="0" w:space="0" w:color="auto"/>
        <w:bottom w:val="none" w:sz="0" w:space="0" w:color="auto"/>
        <w:right w:val="none" w:sz="0" w:space="0" w:color="auto"/>
      </w:divBdr>
    </w:div>
    <w:div w:id="547961529">
      <w:bodyDiv w:val="1"/>
      <w:marLeft w:val="0"/>
      <w:marRight w:val="0"/>
      <w:marTop w:val="0"/>
      <w:marBottom w:val="0"/>
      <w:divBdr>
        <w:top w:val="none" w:sz="0" w:space="0" w:color="auto"/>
        <w:left w:val="none" w:sz="0" w:space="0" w:color="auto"/>
        <w:bottom w:val="none" w:sz="0" w:space="0" w:color="auto"/>
        <w:right w:val="none" w:sz="0" w:space="0" w:color="auto"/>
      </w:divBdr>
    </w:div>
    <w:div w:id="589504560">
      <w:bodyDiv w:val="1"/>
      <w:marLeft w:val="0"/>
      <w:marRight w:val="0"/>
      <w:marTop w:val="0"/>
      <w:marBottom w:val="0"/>
      <w:divBdr>
        <w:top w:val="none" w:sz="0" w:space="0" w:color="auto"/>
        <w:left w:val="none" w:sz="0" w:space="0" w:color="auto"/>
        <w:bottom w:val="none" w:sz="0" w:space="0" w:color="auto"/>
        <w:right w:val="none" w:sz="0" w:space="0" w:color="auto"/>
      </w:divBdr>
    </w:div>
    <w:div w:id="592323174">
      <w:bodyDiv w:val="1"/>
      <w:marLeft w:val="0"/>
      <w:marRight w:val="0"/>
      <w:marTop w:val="0"/>
      <w:marBottom w:val="0"/>
      <w:divBdr>
        <w:top w:val="none" w:sz="0" w:space="0" w:color="auto"/>
        <w:left w:val="none" w:sz="0" w:space="0" w:color="auto"/>
        <w:bottom w:val="none" w:sz="0" w:space="0" w:color="auto"/>
        <w:right w:val="none" w:sz="0" w:space="0" w:color="auto"/>
      </w:divBdr>
    </w:div>
    <w:div w:id="615913802">
      <w:bodyDiv w:val="1"/>
      <w:marLeft w:val="0"/>
      <w:marRight w:val="0"/>
      <w:marTop w:val="0"/>
      <w:marBottom w:val="0"/>
      <w:divBdr>
        <w:top w:val="none" w:sz="0" w:space="0" w:color="auto"/>
        <w:left w:val="none" w:sz="0" w:space="0" w:color="auto"/>
        <w:bottom w:val="none" w:sz="0" w:space="0" w:color="auto"/>
        <w:right w:val="none" w:sz="0" w:space="0" w:color="auto"/>
      </w:divBdr>
    </w:div>
    <w:div w:id="637490948">
      <w:bodyDiv w:val="1"/>
      <w:marLeft w:val="0"/>
      <w:marRight w:val="0"/>
      <w:marTop w:val="0"/>
      <w:marBottom w:val="0"/>
      <w:divBdr>
        <w:top w:val="none" w:sz="0" w:space="0" w:color="auto"/>
        <w:left w:val="none" w:sz="0" w:space="0" w:color="auto"/>
        <w:bottom w:val="none" w:sz="0" w:space="0" w:color="auto"/>
        <w:right w:val="none" w:sz="0" w:space="0" w:color="auto"/>
      </w:divBdr>
    </w:div>
    <w:div w:id="753091080">
      <w:bodyDiv w:val="1"/>
      <w:marLeft w:val="0"/>
      <w:marRight w:val="0"/>
      <w:marTop w:val="0"/>
      <w:marBottom w:val="0"/>
      <w:divBdr>
        <w:top w:val="none" w:sz="0" w:space="0" w:color="auto"/>
        <w:left w:val="none" w:sz="0" w:space="0" w:color="auto"/>
        <w:bottom w:val="none" w:sz="0" w:space="0" w:color="auto"/>
        <w:right w:val="none" w:sz="0" w:space="0" w:color="auto"/>
      </w:divBdr>
    </w:div>
    <w:div w:id="784688899">
      <w:bodyDiv w:val="1"/>
      <w:marLeft w:val="0"/>
      <w:marRight w:val="0"/>
      <w:marTop w:val="0"/>
      <w:marBottom w:val="0"/>
      <w:divBdr>
        <w:top w:val="none" w:sz="0" w:space="0" w:color="auto"/>
        <w:left w:val="none" w:sz="0" w:space="0" w:color="auto"/>
        <w:bottom w:val="none" w:sz="0" w:space="0" w:color="auto"/>
        <w:right w:val="none" w:sz="0" w:space="0" w:color="auto"/>
      </w:divBdr>
    </w:div>
    <w:div w:id="886113704">
      <w:bodyDiv w:val="1"/>
      <w:marLeft w:val="0"/>
      <w:marRight w:val="0"/>
      <w:marTop w:val="0"/>
      <w:marBottom w:val="0"/>
      <w:divBdr>
        <w:top w:val="none" w:sz="0" w:space="0" w:color="auto"/>
        <w:left w:val="none" w:sz="0" w:space="0" w:color="auto"/>
        <w:bottom w:val="none" w:sz="0" w:space="0" w:color="auto"/>
        <w:right w:val="none" w:sz="0" w:space="0" w:color="auto"/>
      </w:divBdr>
    </w:div>
    <w:div w:id="886576005">
      <w:bodyDiv w:val="1"/>
      <w:marLeft w:val="0"/>
      <w:marRight w:val="0"/>
      <w:marTop w:val="0"/>
      <w:marBottom w:val="0"/>
      <w:divBdr>
        <w:top w:val="none" w:sz="0" w:space="0" w:color="auto"/>
        <w:left w:val="none" w:sz="0" w:space="0" w:color="auto"/>
        <w:bottom w:val="none" w:sz="0" w:space="0" w:color="auto"/>
        <w:right w:val="none" w:sz="0" w:space="0" w:color="auto"/>
      </w:divBdr>
    </w:div>
    <w:div w:id="897277231">
      <w:bodyDiv w:val="1"/>
      <w:marLeft w:val="0"/>
      <w:marRight w:val="0"/>
      <w:marTop w:val="0"/>
      <w:marBottom w:val="0"/>
      <w:divBdr>
        <w:top w:val="none" w:sz="0" w:space="0" w:color="auto"/>
        <w:left w:val="none" w:sz="0" w:space="0" w:color="auto"/>
        <w:bottom w:val="none" w:sz="0" w:space="0" w:color="auto"/>
        <w:right w:val="none" w:sz="0" w:space="0" w:color="auto"/>
      </w:divBdr>
    </w:div>
    <w:div w:id="923996381">
      <w:bodyDiv w:val="1"/>
      <w:marLeft w:val="0"/>
      <w:marRight w:val="0"/>
      <w:marTop w:val="0"/>
      <w:marBottom w:val="0"/>
      <w:divBdr>
        <w:top w:val="none" w:sz="0" w:space="0" w:color="auto"/>
        <w:left w:val="none" w:sz="0" w:space="0" w:color="auto"/>
        <w:bottom w:val="none" w:sz="0" w:space="0" w:color="auto"/>
        <w:right w:val="none" w:sz="0" w:space="0" w:color="auto"/>
      </w:divBdr>
    </w:div>
    <w:div w:id="997004675">
      <w:bodyDiv w:val="1"/>
      <w:marLeft w:val="0"/>
      <w:marRight w:val="0"/>
      <w:marTop w:val="0"/>
      <w:marBottom w:val="0"/>
      <w:divBdr>
        <w:top w:val="none" w:sz="0" w:space="0" w:color="auto"/>
        <w:left w:val="none" w:sz="0" w:space="0" w:color="auto"/>
        <w:bottom w:val="none" w:sz="0" w:space="0" w:color="auto"/>
        <w:right w:val="none" w:sz="0" w:space="0" w:color="auto"/>
      </w:divBdr>
    </w:div>
    <w:div w:id="1055809646">
      <w:bodyDiv w:val="1"/>
      <w:marLeft w:val="0"/>
      <w:marRight w:val="0"/>
      <w:marTop w:val="0"/>
      <w:marBottom w:val="0"/>
      <w:divBdr>
        <w:top w:val="none" w:sz="0" w:space="0" w:color="auto"/>
        <w:left w:val="none" w:sz="0" w:space="0" w:color="auto"/>
        <w:bottom w:val="none" w:sz="0" w:space="0" w:color="auto"/>
        <w:right w:val="none" w:sz="0" w:space="0" w:color="auto"/>
      </w:divBdr>
    </w:div>
    <w:div w:id="1107776300">
      <w:bodyDiv w:val="1"/>
      <w:marLeft w:val="0"/>
      <w:marRight w:val="0"/>
      <w:marTop w:val="0"/>
      <w:marBottom w:val="0"/>
      <w:divBdr>
        <w:top w:val="none" w:sz="0" w:space="0" w:color="auto"/>
        <w:left w:val="none" w:sz="0" w:space="0" w:color="auto"/>
        <w:bottom w:val="none" w:sz="0" w:space="0" w:color="auto"/>
        <w:right w:val="none" w:sz="0" w:space="0" w:color="auto"/>
      </w:divBdr>
    </w:div>
    <w:div w:id="1160734413">
      <w:bodyDiv w:val="1"/>
      <w:marLeft w:val="0"/>
      <w:marRight w:val="0"/>
      <w:marTop w:val="0"/>
      <w:marBottom w:val="0"/>
      <w:divBdr>
        <w:top w:val="none" w:sz="0" w:space="0" w:color="auto"/>
        <w:left w:val="none" w:sz="0" w:space="0" w:color="auto"/>
        <w:bottom w:val="none" w:sz="0" w:space="0" w:color="auto"/>
        <w:right w:val="none" w:sz="0" w:space="0" w:color="auto"/>
      </w:divBdr>
    </w:div>
    <w:div w:id="1177767391">
      <w:bodyDiv w:val="1"/>
      <w:marLeft w:val="0"/>
      <w:marRight w:val="0"/>
      <w:marTop w:val="0"/>
      <w:marBottom w:val="0"/>
      <w:divBdr>
        <w:top w:val="none" w:sz="0" w:space="0" w:color="auto"/>
        <w:left w:val="none" w:sz="0" w:space="0" w:color="auto"/>
        <w:bottom w:val="none" w:sz="0" w:space="0" w:color="auto"/>
        <w:right w:val="none" w:sz="0" w:space="0" w:color="auto"/>
      </w:divBdr>
    </w:div>
    <w:div w:id="1423719550">
      <w:bodyDiv w:val="1"/>
      <w:marLeft w:val="0"/>
      <w:marRight w:val="0"/>
      <w:marTop w:val="0"/>
      <w:marBottom w:val="0"/>
      <w:divBdr>
        <w:top w:val="none" w:sz="0" w:space="0" w:color="auto"/>
        <w:left w:val="none" w:sz="0" w:space="0" w:color="auto"/>
        <w:bottom w:val="none" w:sz="0" w:space="0" w:color="auto"/>
        <w:right w:val="none" w:sz="0" w:space="0" w:color="auto"/>
      </w:divBdr>
    </w:div>
    <w:div w:id="1523977242">
      <w:bodyDiv w:val="1"/>
      <w:marLeft w:val="0"/>
      <w:marRight w:val="0"/>
      <w:marTop w:val="0"/>
      <w:marBottom w:val="0"/>
      <w:divBdr>
        <w:top w:val="none" w:sz="0" w:space="0" w:color="auto"/>
        <w:left w:val="none" w:sz="0" w:space="0" w:color="auto"/>
        <w:bottom w:val="none" w:sz="0" w:space="0" w:color="auto"/>
        <w:right w:val="none" w:sz="0" w:space="0" w:color="auto"/>
      </w:divBdr>
    </w:div>
    <w:div w:id="1570535040">
      <w:bodyDiv w:val="1"/>
      <w:marLeft w:val="0"/>
      <w:marRight w:val="0"/>
      <w:marTop w:val="0"/>
      <w:marBottom w:val="0"/>
      <w:divBdr>
        <w:top w:val="none" w:sz="0" w:space="0" w:color="auto"/>
        <w:left w:val="none" w:sz="0" w:space="0" w:color="auto"/>
        <w:bottom w:val="none" w:sz="0" w:space="0" w:color="auto"/>
        <w:right w:val="none" w:sz="0" w:space="0" w:color="auto"/>
      </w:divBdr>
    </w:div>
    <w:div w:id="1592927634">
      <w:bodyDiv w:val="1"/>
      <w:marLeft w:val="0"/>
      <w:marRight w:val="0"/>
      <w:marTop w:val="0"/>
      <w:marBottom w:val="0"/>
      <w:divBdr>
        <w:top w:val="none" w:sz="0" w:space="0" w:color="auto"/>
        <w:left w:val="none" w:sz="0" w:space="0" w:color="auto"/>
        <w:bottom w:val="none" w:sz="0" w:space="0" w:color="auto"/>
        <w:right w:val="none" w:sz="0" w:space="0" w:color="auto"/>
      </w:divBdr>
    </w:div>
    <w:div w:id="1677265094">
      <w:bodyDiv w:val="1"/>
      <w:marLeft w:val="0"/>
      <w:marRight w:val="0"/>
      <w:marTop w:val="0"/>
      <w:marBottom w:val="0"/>
      <w:divBdr>
        <w:top w:val="none" w:sz="0" w:space="0" w:color="auto"/>
        <w:left w:val="none" w:sz="0" w:space="0" w:color="auto"/>
        <w:bottom w:val="none" w:sz="0" w:space="0" w:color="auto"/>
        <w:right w:val="none" w:sz="0" w:space="0" w:color="auto"/>
      </w:divBdr>
    </w:div>
    <w:div w:id="1901551615">
      <w:bodyDiv w:val="1"/>
      <w:marLeft w:val="0"/>
      <w:marRight w:val="0"/>
      <w:marTop w:val="0"/>
      <w:marBottom w:val="0"/>
      <w:divBdr>
        <w:top w:val="none" w:sz="0" w:space="0" w:color="auto"/>
        <w:left w:val="none" w:sz="0" w:space="0" w:color="auto"/>
        <w:bottom w:val="none" w:sz="0" w:space="0" w:color="auto"/>
        <w:right w:val="none" w:sz="0" w:space="0" w:color="auto"/>
      </w:divBdr>
    </w:div>
    <w:div w:id="1922836399">
      <w:bodyDiv w:val="1"/>
      <w:marLeft w:val="0"/>
      <w:marRight w:val="0"/>
      <w:marTop w:val="0"/>
      <w:marBottom w:val="0"/>
      <w:divBdr>
        <w:top w:val="none" w:sz="0" w:space="0" w:color="auto"/>
        <w:left w:val="none" w:sz="0" w:space="0" w:color="auto"/>
        <w:bottom w:val="none" w:sz="0" w:space="0" w:color="auto"/>
        <w:right w:val="none" w:sz="0" w:space="0" w:color="auto"/>
      </w:divBdr>
    </w:div>
    <w:div w:id="199722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荣大-李雷</dc:creator>
  <cp:keywords/>
  <dc:description/>
  <cp:lastModifiedBy>yanjiaozhou</cp:lastModifiedBy>
  <cp:revision>14</cp:revision>
  <dcterms:created xsi:type="dcterms:W3CDTF">2025-09-03T05:42:00Z</dcterms:created>
  <dcterms:modified xsi:type="dcterms:W3CDTF">2025-09-03T06:18:00Z</dcterms:modified>
</cp:coreProperties>
</file>