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38C65" w14:textId="77777777" w:rsidR="003804FE" w:rsidRPr="003C3A7D" w:rsidRDefault="003804FE" w:rsidP="003804FE">
      <w:pPr>
        <w:spacing w:beforeLines="50" w:before="156" w:afterLines="50" w:after="156" w:line="400" w:lineRule="exact"/>
        <w:rPr>
          <w:bCs/>
          <w:iCs/>
          <w:color w:val="000000"/>
          <w:sz w:val="24"/>
        </w:rPr>
      </w:pPr>
      <w:r w:rsidRPr="003C3A7D">
        <w:rPr>
          <w:bCs/>
          <w:iCs/>
          <w:color w:val="000000"/>
          <w:sz w:val="24"/>
        </w:rPr>
        <w:t>证券代码：</w:t>
      </w:r>
      <w:r w:rsidRPr="003C3A7D">
        <w:rPr>
          <w:color w:val="000000"/>
          <w:sz w:val="24"/>
        </w:rPr>
        <w:t xml:space="preserve">688710                      </w:t>
      </w:r>
      <w:r w:rsidRPr="003C3A7D">
        <w:rPr>
          <w:rFonts w:hint="eastAsia"/>
          <w:color w:val="000000"/>
          <w:sz w:val="24"/>
        </w:rPr>
        <w:t xml:space="preserve">    </w:t>
      </w:r>
      <w:r w:rsidRPr="003C3A7D">
        <w:rPr>
          <w:color w:val="000000"/>
          <w:sz w:val="24"/>
        </w:rPr>
        <w:t xml:space="preserve">              </w:t>
      </w:r>
      <w:r w:rsidRPr="003C3A7D">
        <w:rPr>
          <w:bCs/>
          <w:iCs/>
          <w:color w:val="000000"/>
          <w:sz w:val="24"/>
        </w:rPr>
        <w:t>证券简称：</w:t>
      </w:r>
      <w:r w:rsidRPr="003C3A7D">
        <w:rPr>
          <w:color w:val="000000"/>
          <w:sz w:val="24"/>
        </w:rPr>
        <w:t>益诺思</w:t>
      </w:r>
    </w:p>
    <w:p w14:paraId="0B0DD0BE" w14:textId="77777777" w:rsidR="003804FE" w:rsidRPr="003C3A7D" w:rsidRDefault="003804FE" w:rsidP="003804FE">
      <w:pPr>
        <w:spacing w:beforeLines="50" w:before="156" w:afterLines="50" w:after="156" w:line="400" w:lineRule="exact"/>
        <w:jc w:val="center"/>
        <w:rPr>
          <w:b/>
          <w:bCs/>
          <w:iCs/>
          <w:color w:val="000000"/>
          <w:sz w:val="32"/>
          <w:szCs w:val="32"/>
        </w:rPr>
      </w:pPr>
    </w:p>
    <w:p w14:paraId="2C0DB888" w14:textId="77777777" w:rsidR="003804FE" w:rsidRPr="003C3A7D" w:rsidRDefault="003804FE" w:rsidP="003804FE">
      <w:pPr>
        <w:spacing w:beforeLines="50" w:before="156" w:afterLines="50" w:after="156" w:line="400" w:lineRule="exact"/>
        <w:jc w:val="center"/>
        <w:rPr>
          <w:b/>
          <w:bCs/>
          <w:iCs/>
          <w:color w:val="000000"/>
          <w:sz w:val="32"/>
          <w:szCs w:val="32"/>
        </w:rPr>
      </w:pPr>
      <w:r w:rsidRPr="003C3A7D">
        <w:rPr>
          <w:b/>
          <w:bCs/>
          <w:iCs/>
          <w:color w:val="000000"/>
          <w:sz w:val="32"/>
          <w:szCs w:val="32"/>
        </w:rPr>
        <w:t>上海益诺思生物技术股份有限公司</w:t>
      </w:r>
    </w:p>
    <w:p w14:paraId="256CF307" w14:textId="77777777" w:rsidR="003804FE" w:rsidRPr="003C3A7D" w:rsidRDefault="003804FE" w:rsidP="003804FE">
      <w:pPr>
        <w:spacing w:beforeLines="50" w:before="156" w:afterLines="50" w:after="156" w:line="400" w:lineRule="exact"/>
        <w:jc w:val="center"/>
        <w:rPr>
          <w:b/>
          <w:bCs/>
          <w:iCs/>
          <w:color w:val="000000"/>
          <w:sz w:val="32"/>
          <w:szCs w:val="32"/>
        </w:rPr>
      </w:pPr>
      <w:r w:rsidRPr="003C3A7D">
        <w:rPr>
          <w:b/>
          <w:bCs/>
          <w:iCs/>
          <w:color w:val="000000"/>
          <w:sz w:val="32"/>
          <w:szCs w:val="32"/>
        </w:rPr>
        <w:t>投资者关系活动记录表</w:t>
      </w:r>
    </w:p>
    <w:p w14:paraId="5FB4212B" w14:textId="2D44CF37" w:rsidR="003804FE" w:rsidRPr="003C3A7D" w:rsidRDefault="003804FE" w:rsidP="003804FE">
      <w:pPr>
        <w:spacing w:line="360" w:lineRule="auto"/>
        <w:jc w:val="right"/>
        <w:rPr>
          <w:b/>
          <w:bCs/>
          <w:sz w:val="24"/>
        </w:rPr>
      </w:pPr>
      <w:r w:rsidRPr="003C3A7D">
        <w:rPr>
          <w:bCs/>
          <w:iCs/>
          <w:color w:val="000000"/>
          <w:sz w:val="24"/>
        </w:rPr>
        <w:t xml:space="preserve">                                                     </w:t>
      </w:r>
      <w:r w:rsidRPr="003C3A7D">
        <w:rPr>
          <w:b/>
          <w:bCs/>
          <w:sz w:val="24"/>
        </w:rPr>
        <w:t>编号：</w:t>
      </w:r>
      <w:r w:rsidRPr="003C3A7D">
        <w:rPr>
          <w:b/>
          <w:bCs/>
          <w:sz w:val="24"/>
        </w:rPr>
        <w:t>2025-00</w:t>
      </w:r>
      <w:r w:rsidR="006315FF" w:rsidRPr="003C3A7D">
        <w:rPr>
          <w:rFonts w:hint="eastAsia"/>
          <w:b/>
          <w:bCs/>
          <w:sz w:val="24"/>
        </w:rPr>
        <w:t>3</w:t>
      </w:r>
    </w:p>
    <w:tbl>
      <w:tblPr>
        <w:tblW w:w="88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4"/>
        <w:gridCol w:w="6943"/>
      </w:tblGrid>
      <w:tr w:rsidR="00EB2A8A" w:rsidRPr="003C3A7D" w14:paraId="4691AE03" w14:textId="23702D6D" w:rsidTr="007178AA">
        <w:trPr>
          <w:trHeight w:val="140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94F5B" w14:textId="77777777" w:rsidR="00EB2A8A" w:rsidRPr="003C3A7D" w:rsidRDefault="00EB2A8A" w:rsidP="00E95566">
            <w:pPr>
              <w:spacing w:line="420" w:lineRule="exact"/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</w:pPr>
            <w:r w:rsidRPr="003C3A7D"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投资者关系活动类别</w:t>
            </w:r>
          </w:p>
          <w:p w14:paraId="0F161CA5" w14:textId="77777777" w:rsidR="00EB2A8A" w:rsidRPr="003C3A7D" w:rsidRDefault="00EB2A8A" w:rsidP="00E95566">
            <w:pPr>
              <w:spacing w:line="420" w:lineRule="exact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59D76" w14:textId="77777777" w:rsidR="00EB2A8A" w:rsidRPr="003C3A7D" w:rsidRDefault="00EB2A8A" w:rsidP="00E95566">
            <w:pPr>
              <w:spacing w:line="420" w:lineRule="exact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3C3A7D"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□</w:t>
            </w:r>
            <w:r w:rsidRPr="003C3A7D">
              <w:rPr>
                <w:rFonts w:ascii="宋体" w:hAnsi="宋体"/>
                <w:kern w:val="0"/>
                <w:sz w:val="24"/>
              </w:rPr>
              <w:t xml:space="preserve">特定对象调研        </w:t>
            </w:r>
            <w:r w:rsidRPr="003C3A7D"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□</w:t>
            </w:r>
            <w:r w:rsidRPr="003C3A7D">
              <w:rPr>
                <w:rFonts w:ascii="宋体" w:hAnsi="宋体"/>
                <w:kern w:val="0"/>
                <w:sz w:val="24"/>
              </w:rPr>
              <w:t>分析师会议</w:t>
            </w:r>
          </w:p>
          <w:p w14:paraId="1586A890" w14:textId="77777777" w:rsidR="00EB2A8A" w:rsidRPr="003C3A7D" w:rsidRDefault="00EB2A8A" w:rsidP="00E95566">
            <w:pPr>
              <w:spacing w:line="420" w:lineRule="exact"/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</w:pPr>
            <w:r w:rsidRPr="003C3A7D"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□</w:t>
            </w:r>
            <w:r w:rsidRPr="003C3A7D">
              <w:rPr>
                <w:rFonts w:ascii="宋体" w:hAnsi="宋体"/>
                <w:kern w:val="0"/>
                <w:sz w:val="24"/>
              </w:rPr>
              <w:t xml:space="preserve">媒体采访            </w:t>
            </w:r>
            <w:r w:rsidRPr="003C3A7D"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□</w:t>
            </w:r>
            <w:r w:rsidRPr="003C3A7D">
              <w:rPr>
                <w:rFonts w:ascii="宋体" w:hAnsi="宋体"/>
                <w:kern w:val="0"/>
                <w:sz w:val="24"/>
              </w:rPr>
              <w:t>业绩说明会</w:t>
            </w:r>
          </w:p>
          <w:p w14:paraId="69FD56FB" w14:textId="77777777" w:rsidR="00EB2A8A" w:rsidRPr="003C3A7D" w:rsidRDefault="00EB2A8A" w:rsidP="00E95566">
            <w:pPr>
              <w:spacing w:line="420" w:lineRule="exact"/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</w:pPr>
            <w:bookmarkStart w:id="0" w:name="OLE_LINK6"/>
            <w:r w:rsidRPr="003C3A7D"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□</w:t>
            </w:r>
            <w:bookmarkEnd w:id="0"/>
            <w:r w:rsidRPr="003C3A7D">
              <w:rPr>
                <w:rFonts w:ascii="宋体" w:hAnsi="宋体"/>
                <w:kern w:val="0"/>
                <w:sz w:val="24"/>
              </w:rPr>
              <w:t xml:space="preserve">新闻发布会          </w:t>
            </w:r>
            <w:r w:rsidRPr="003C3A7D"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□</w:t>
            </w:r>
            <w:r w:rsidRPr="003C3A7D">
              <w:rPr>
                <w:rFonts w:ascii="宋体" w:hAnsi="宋体"/>
                <w:kern w:val="0"/>
                <w:sz w:val="24"/>
              </w:rPr>
              <w:t>路演活动</w:t>
            </w:r>
          </w:p>
          <w:p w14:paraId="36FEBDA4" w14:textId="77777777" w:rsidR="00EB2A8A" w:rsidRPr="003C3A7D" w:rsidRDefault="00EB2A8A" w:rsidP="00E95566">
            <w:pPr>
              <w:tabs>
                <w:tab w:val="left" w:pos="3045"/>
                <w:tab w:val="center" w:pos="3199"/>
              </w:tabs>
              <w:spacing w:line="420" w:lineRule="exact"/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</w:pPr>
            <w:r w:rsidRPr="003C3A7D"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□</w:t>
            </w:r>
            <w:r w:rsidRPr="003C3A7D">
              <w:rPr>
                <w:rFonts w:ascii="宋体" w:hAnsi="宋体"/>
                <w:kern w:val="0"/>
                <w:sz w:val="24"/>
              </w:rPr>
              <w:t>现场参观</w:t>
            </w:r>
          </w:p>
          <w:p w14:paraId="65BE09FA" w14:textId="77777777" w:rsidR="00EB2A8A" w:rsidRPr="003C3A7D" w:rsidRDefault="00EB2A8A" w:rsidP="00E95566">
            <w:pPr>
              <w:tabs>
                <w:tab w:val="center" w:pos="3199"/>
              </w:tabs>
              <w:spacing w:line="420" w:lineRule="exact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3C3A7D">
              <w:rPr>
                <w:rFonts w:ascii="宋体" w:hAnsi="宋体"/>
                <w:kern w:val="0"/>
                <w:sz w:val="24"/>
              </w:rPr>
              <w:t>√其他（</w:t>
            </w:r>
            <w:r w:rsidRPr="003C3A7D">
              <w:rPr>
                <w:rFonts w:ascii="宋体" w:hAnsi="宋体"/>
                <w:kern w:val="0"/>
                <w:sz w:val="24"/>
                <w:u w:val="single"/>
              </w:rPr>
              <w:t>电话交流会）</w:t>
            </w:r>
          </w:p>
        </w:tc>
      </w:tr>
      <w:tr w:rsidR="00EB2A8A" w:rsidRPr="003C3A7D" w14:paraId="6A1E01CC" w14:textId="7D29D9F5" w:rsidTr="007178AA">
        <w:trPr>
          <w:trHeight w:val="140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D7C09" w14:textId="77777777" w:rsidR="00EB2A8A" w:rsidRPr="003C3A7D" w:rsidRDefault="00EB2A8A" w:rsidP="00E95566">
            <w:pPr>
              <w:spacing w:line="420" w:lineRule="exact"/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</w:pPr>
            <w:r w:rsidRPr="003C3A7D"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参与单位名称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C4208" w14:textId="12B4B61D" w:rsidR="00EB2A8A" w:rsidRPr="003C3A7D" w:rsidRDefault="00EB2A8A" w:rsidP="00E95566">
            <w:pPr>
              <w:spacing w:line="420" w:lineRule="exact"/>
              <w:rPr>
                <w:rFonts w:ascii="宋体" w:hAnsi="宋体" w:hint="eastAsia"/>
                <w:bCs/>
                <w:iCs/>
                <w:color w:val="000000"/>
                <w:sz w:val="24"/>
                <w:lang w:val="en-GB"/>
              </w:rPr>
            </w:pPr>
            <w:r w:rsidRPr="003C3A7D">
              <w:rPr>
                <w:rFonts w:ascii="宋体" w:hAnsi="宋体" w:hint="eastAsia"/>
                <w:bCs/>
                <w:iCs/>
                <w:color w:val="000000"/>
                <w:sz w:val="24"/>
              </w:rPr>
              <w:t>东方证券、兴业证券、中金公司、中泰证券、东北证券、招商证券、国盛证券、中信建投证券、信达证券</w:t>
            </w:r>
            <w:r w:rsidR="006315FF" w:rsidRPr="003C3A7D">
              <w:rPr>
                <w:rFonts w:ascii="宋体" w:hAnsi="宋体" w:hint="eastAsia"/>
                <w:bCs/>
                <w:iCs/>
                <w:color w:val="000000"/>
                <w:sz w:val="24"/>
              </w:rPr>
              <w:t>、浙商证券、东方证券、建信基金、华泰证券、前海开源基金、晨曦投資、海富通基金、弘晖基金</w:t>
            </w:r>
            <w:r w:rsidRPr="003C3A7D">
              <w:rPr>
                <w:rFonts w:ascii="宋体" w:hAnsi="宋体" w:hint="eastAsia"/>
                <w:bCs/>
                <w:iCs/>
                <w:color w:val="000000"/>
                <w:sz w:val="24"/>
              </w:rPr>
              <w:t>等</w:t>
            </w:r>
          </w:p>
        </w:tc>
      </w:tr>
      <w:tr w:rsidR="00EB2A8A" w:rsidRPr="003C3A7D" w14:paraId="07C8E7F4" w14:textId="6F600EE5" w:rsidTr="007178AA">
        <w:trPr>
          <w:trHeight w:val="140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7E799" w14:textId="77777777" w:rsidR="00EB2A8A" w:rsidRPr="003C3A7D" w:rsidRDefault="00EB2A8A" w:rsidP="00E95566">
            <w:pPr>
              <w:spacing w:line="420" w:lineRule="exact"/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</w:pPr>
            <w:r w:rsidRPr="003C3A7D"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C8F0F" w14:textId="77777777" w:rsidR="00EB2A8A" w:rsidRPr="003C3A7D" w:rsidRDefault="00EB2A8A" w:rsidP="00E95566">
            <w:pPr>
              <w:spacing w:line="420" w:lineRule="exact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3C3A7D">
              <w:rPr>
                <w:rFonts w:ascii="宋体" w:hAnsi="宋体"/>
                <w:bCs/>
                <w:iCs/>
                <w:color w:val="000000"/>
                <w:sz w:val="24"/>
              </w:rPr>
              <w:t>2025年</w:t>
            </w:r>
            <w:r w:rsidRPr="003C3A7D">
              <w:rPr>
                <w:rFonts w:ascii="宋体" w:hAnsi="宋体" w:hint="eastAsia"/>
                <w:bCs/>
                <w:iCs/>
                <w:color w:val="000000"/>
                <w:sz w:val="24"/>
              </w:rPr>
              <w:t>9</w:t>
            </w:r>
            <w:r w:rsidRPr="003C3A7D">
              <w:rPr>
                <w:rFonts w:ascii="宋体" w:hAnsi="宋体"/>
                <w:bCs/>
                <w:iCs/>
                <w:color w:val="000000"/>
                <w:sz w:val="24"/>
              </w:rPr>
              <w:t>月</w:t>
            </w:r>
            <w:r w:rsidRPr="003C3A7D">
              <w:rPr>
                <w:rFonts w:ascii="宋体" w:hAnsi="宋体" w:hint="eastAsia"/>
                <w:bCs/>
                <w:iCs/>
                <w:color w:val="000000"/>
                <w:sz w:val="24"/>
              </w:rPr>
              <w:t>1日</w:t>
            </w:r>
          </w:p>
        </w:tc>
      </w:tr>
      <w:tr w:rsidR="00EB2A8A" w:rsidRPr="003C3A7D" w14:paraId="681E56B4" w14:textId="5038BDAE" w:rsidTr="007178AA">
        <w:trPr>
          <w:trHeight w:val="140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72347" w14:textId="77777777" w:rsidR="00EB2A8A" w:rsidRPr="003C3A7D" w:rsidRDefault="00EB2A8A" w:rsidP="00E95566">
            <w:pPr>
              <w:spacing w:line="420" w:lineRule="exact"/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</w:pPr>
            <w:r w:rsidRPr="003C3A7D"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13802" w14:textId="57E71A13" w:rsidR="00EB2A8A" w:rsidRPr="003C3A7D" w:rsidRDefault="00EB2A8A" w:rsidP="00E95566">
            <w:pPr>
              <w:spacing w:line="420" w:lineRule="exact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3C3A7D">
              <w:rPr>
                <w:rFonts w:ascii="宋体" w:hAnsi="宋体" w:hint="eastAsia"/>
                <w:bCs/>
                <w:iCs/>
                <w:color w:val="000000"/>
                <w:sz w:val="24"/>
              </w:rPr>
              <w:t>线上会议</w:t>
            </w:r>
          </w:p>
        </w:tc>
      </w:tr>
      <w:tr w:rsidR="00EB2A8A" w:rsidRPr="003C3A7D" w14:paraId="77DAFCE7" w14:textId="25DD3B36" w:rsidTr="007178AA">
        <w:trPr>
          <w:trHeight w:val="140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11725" w14:textId="77777777" w:rsidR="00EB2A8A" w:rsidRPr="003C3A7D" w:rsidRDefault="00EB2A8A" w:rsidP="00E95566">
            <w:pPr>
              <w:spacing w:line="420" w:lineRule="exact"/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</w:pPr>
            <w:r w:rsidRPr="003C3A7D"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上市公司接待人员姓名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1EBE4" w14:textId="77777777" w:rsidR="00EB2A8A" w:rsidRPr="003C3A7D" w:rsidRDefault="00EB2A8A" w:rsidP="00E95566">
            <w:pPr>
              <w:spacing w:line="420" w:lineRule="exact"/>
              <w:rPr>
                <w:rFonts w:ascii="宋体" w:hAnsi="宋体" w:hint="eastAsia"/>
                <w:bCs/>
                <w:sz w:val="24"/>
              </w:rPr>
            </w:pPr>
            <w:r w:rsidRPr="003C3A7D">
              <w:rPr>
                <w:rFonts w:ascii="宋体" w:hAnsi="宋体" w:hint="eastAsia"/>
                <w:bCs/>
                <w:sz w:val="24"/>
              </w:rPr>
              <w:t>董事、</w:t>
            </w:r>
            <w:r w:rsidRPr="003C3A7D">
              <w:rPr>
                <w:rFonts w:ascii="宋体" w:hAnsi="宋体"/>
                <w:bCs/>
                <w:sz w:val="24"/>
              </w:rPr>
              <w:t>总裁</w:t>
            </w:r>
            <w:r w:rsidRPr="003C3A7D">
              <w:rPr>
                <w:rFonts w:ascii="宋体" w:hAnsi="宋体" w:hint="eastAsia"/>
                <w:bCs/>
                <w:sz w:val="24"/>
              </w:rPr>
              <w:t>、核心技术人员 常艳</w:t>
            </w:r>
          </w:p>
          <w:p w14:paraId="749350A2" w14:textId="77777777" w:rsidR="00EB2A8A" w:rsidRPr="003C3A7D" w:rsidRDefault="00EB2A8A" w:rsidP="00E95566">
            <w:pPr>
              <w:spacing w:line="420" w:lineRule="exact"/>
              <w:rPr>
                <w:rFonts w:ascii="宋体" w:hAnsi="宋体" w:hint="eastAsia"/>
                <w:bCs/>
                <w:sz w:val="24"/>
              </w:rPr>
            </w:pPr>
            <w:r w:rsidRPr="003C3A7D">
              <w:rPr>
                <w:rFonts w:ascii="宋体" w:hAnsi="宋体"/>
                <w:bCs/>
                <w:sz w:val="24"/>
              </w:rPr>
              <w:t>副总裁、财务总监</w:t>
            </w:r>
            <w:r w:rsidRPr="003C3A7D">
              <w:rPr>
                <w:rFonts w:ascii="宋体" w:hAnsi="宋体" w:hint="eastAsia"/>
                <w:bCs/>
                <w:sz w:val="24"/>
              </w:rPr>
              <w:t xml:space="preserve"> </w:t>
            </w:r>
            <w:r w:rsidRPr="003C3A7D">
              <w:rPr>
                <w:rFonts w:ascii="宋体" w:hAnsi="宋体"/>
                <w:bCs/>
                <w:sz w:val="24"/>
              </w:rPr>
              <w:t>高晓红</w:t>
            </w:r>
          </w:p>
          <w:p w14:paraId="528949A4" w14:textId="77777777" w:rsidR="00EB2A8A" w:rsidRPr="003C3A7D" w:rsidRDefault="00EB2A8A" w:rsidP="00E95566">
            <w:pPr>
              <w:spacing w:line="420" w:lineRule="exact"/>
              <w:rPr>
                <w:rFonts w:ascii="宋体" w:hAnsi="宋体" w:hint="eastAsia"/>
                <w:bCs/>
                <w:sz w:val="24"/>
              </w:rPr>
            </w:pPr>
            <w:r w:rsidRPr="003C3A7D">
              <w:rPr>
                <w:rFonts w:ascii="宋体" w:hAnsi="宋体"/>
                <w:bCs/>
                <w:sz w:val="24"/>
              </w:rPr>
              <w:t>董事会秘书</w:t>
            </w:r>
            <w:r w:rsidRPr="003C3A7D">
              <w:rPr>
                <w:rFonts w:ascii="宋体" w:hAnsi="宋体" w:hint="eastAsia"/>
                <w:bCs/>
                <w:sz w:val="24"/>
              </w:rPr>
              <w:t xml:space="preserve"> </w:t>
            </w:r>
            <w:r w:rsidRPr="003C3A7D">
              <w:rPr>
                <w:rFonts w:ascii="宋体" w:hAnsi="宋体"/>
                <w:bCs/>
                <w:sz w:val="24"/>
              </w:rPr>
              <w:t>李燕</w:t>
            </w:r>
          </w:p>
        </w:tc>
      </w:tr>
      <w:tr w:rsidR="00EB2A8A" w:rsidRPr="003C3A7D" w14:paraId="636D9199" w14:textId="1E893F4B" w:rsidTr="007178AA">
        <w:trPr>
          <w:trHeight w:val="140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53270" w14:textId="77777777" w:rsidR="00EB2A8A" w:rsidRPr="003C3A7D" w:rsidRDefault="00EB2A8A" w:rsidP="00E95566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 w:rsidRPr="003C3A7D">
              <w:rPr>
                <w:bCs/>
                <w:iCs/>
                <w:color w:val="000000"/>
                <w:kern w:val="0"/>
                <w:sz w:val="24"/>
              </w:rPr>
              <w:t>交流内容及具体问答记录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506F7" w14:textId="1B3A605D" w:rsidR="00EB2A8A" w:rsidRPr="003C3A7D" w:rsidRDefault="00EB2A8A" w:rsidP="00763ACD">
            <w:pPr>
              <w:widowControl/>
              <w:spacing w:beforeLines="50" w:before="156" w:afterLines="50" w:after="156" w:line="360" w:lineRule="auto"/>
              <w:rPr>
                <w:rFonts w:ascii="宋体" w:hAnsi="宋体" w:hint="eastAsia"/>
                <w:b/>
                <w:bCs/>
                <w:kern w:val="0"/>
                <w:sz w:val="24"/>
              </w:rPr>
            </w:pPr>
            <w:r w:rsidRPr="003C3A7D">
              <w:rPr>
                <w:rFonts w:ascii="宋体" w:hAnsi="宋体" w:hint="eastAsia"/>
                <w:b/>
                <w:bCs/>
                <w:kern w:val="0"/>
                <w:sz w:val="24"/>
              </w:rPr>
              <w:t>一、</w:t>
            </w:r>
            <w:r w:rsidRPr="003C3A7D">
              <w:rPr>
                <w:rFonts w:ascii="宋体" w:hAnsi="宋体"/>
                <w:b/>
                <w:bCs/>
                <w:kern w:val="0"/>
                <w:sz w:val="24"/>
              </w:rPr>
              <w:t>公司背景介绍</w:t>
            </w:r>
          </w:p>
          <w:p w14:paraId="37B816D6" w14:textId="77777777" w:rsidR="00EB2A8A" w:rsidRPr="003C3A7D" w:rsidRDefault="00EB2A8A" w:rsidP="00763ACD">
            <w:pPr>
              <w:widowControl/>
              <w:spacing w:beforeLines="50" w:before="156" w:afterLines="50" w:after="156" w:line="360" w:lineRule="auto"/>
              <w:ind w:firstLineChars="200" w:firstLine="480"/>
              <w:rPr>
                <w:rFonts w:ascii="宋体" w:hAnsi="宋体" w:hint="eastAsia"/>
                <w:kern w:val="0"/>
                <w:sz w:val="24"/>
              </w:rPr>
            </w:pPr>
            <w:r w:rsidRPr="003C3A7D">
              <w:rPr>
                <w:rFonts w:ascii="宋体" w:hAnsi="宋体" w:hint="eastAsia"/>
                <w:kern w:val="0"/>
                <w:sz w:val="24"/>
              </w:rPr>
              <w:t>益诺思成立于</w:t>
            </w:r>
            <w:r w:rsidRPr="003C3A7D">
              <w:rPr>
                <w:rFonts w:ascii="宋体" w:hAnsi="宋体"/>
                <w:kern w:val="0"/>
                <w:sz w:val="24"/>
              </w:rPr>
              <w:t>2010</w:t>
            </w:r>
            <w:r w:rsidRPr="003C3A7D">
              <w:rPr>
                <w:rFonts w:ascii="宋体" w:hAnsi="宋体" w:hint="eastAsia"/>
                <w:kern w:val="0"/>
                <w:sz w:val="24"/>
              </w:rPr>
              <w:t>年，是一家专业提供生物医药非临床研究服务为主的综合研发服务（</w:t>
            </w:r>
            <w:r w:rsidRPr="003C3A7D">
              <w:rPr>
                <w:rFonts w:ascii="宋体" w:hAnsi="宋体"/>
                <w:kern w:val="0"/>
                <w:sz w:val="24"/>
              </w:rPr>
              <w:t>CRO</w:t>
            </w:r>
            <w:r w:rsidRPr="003C3A7D">
              <w:rPr>
                <w:rFonts w:ascii="宋体" w:hAnsi="宋体" w:hint="eastAsia"/>
                <w:kern w:val="0"/>
                <w:sz w:val="24"/>
              </w:rPr>
              <w:t>）企业，为国药集团下属中国医药工业研究总院有限公司的控股子公司。</w:t>
            </w:r>
          </w:p>
          <w:p w14:paraId="3E1AA4D6" w14:textId="60300C07" w:rsidR="00EB2A8A" w:rsidRPr="003C3A7D" w:rsidRDefault="00EB2A8A" w:rsidP="00D50DA2">
            <w:pPr>
              <w:widowControl/>
              <w:spacing w:beforeLines="50" w:before="156" w:afterLines="50" w:after="156" w:line="360" w:lineRule="auto"/>
              <w:ind w:firstLineChars="200" w:firstLine="480"/>
              <w:rPr>
                <w:rFonts w:ascii="宋体" w:hAnsi="宋体" w:hint="eastAsia"/>
                <w:kern w:val="0"/>
                <w:sz w:val="24"/>
              </w:rPr>
            </w:pPr>
            <w:r w:rsidRPr="003C3A7D">
              <w:rPr>
                <w:rFonts w:ascii="宋体" w:hAnsi="宋体" w:hint="eastAsia"/>
                <w:kern w:val="0"/>
                <w:sz w:val="24"/>
              </w:rPr>
              <w:t>益诺思作为国内最早同时具备</w:t>
            </w:r>
            <w:r w:rsidRPr="003C3A7D">
              <w:rPr>
                <w:rFonts w:ascii="宋体" w:hAnsi="宋体"/>
                <w:kern w:val="0"/>
                <w:sz w:val="24"/>
              </w:rPr>
              <w:t>NMPA</w:t>
            </w:r>
            <w:r w:rsidRPr="003C3A7D">
              <w:rPr>
                <w:rFonts w:ascii="宋体" w:hAnsi="宋体" w:hint="eastAsia"/>
                <w:kern w:val="0"/>
                <w:sz w:val="24"/>
              </w:rPr>
              <w:t>的</w:t>
            </w:r>
            <w:r w:rsidRPr="003C3A7D">
              <w:rPr>
                <w:rFonts w:ascii="宋体" w:hAnsi="宋体"/>
                <w:kern w:val="0"/>
                <w:sz w:val="24"/>
              </w:rPr>
              <w:t>GLP</w:t>
            </w:r>
            <w:r w:rsidRPr="003C3A7D">
              <w:rPr>
                <w:rFonts w:ascii="宋体" w:hAnsi="宋体" w:hint="eastAsia"/>
                <w:kern w:val="0"/>
                <w:sz w:val="24"/>
              </w:rPr>
              <w:t>认证、</w:t>
            </w:r>
            <w:r w:rsidRPr="003C3A7D">
              <w:rPr>
                <w:rFonts w:ascii="宋体" w:hAnsi="宋体"/>
                <w:kern w:val="0"/>
                <w:sz w:val="24"/>
              </w:rPr>
              <w:t>OECD</w:t>
            </w:r>
            <w:r w:rsidRPr="003C3A7D">
              <w:rPr>
                <w:rFonts w:ascii="宋体" w:hAnsi="宋体" w:hint="eastAsia"/>
                <w:kern w:val="0"/>
                <w:sz w:val="24"/>
              </w:rPr>
              <w:t>的</w:t>
            </w:r>
            <w:r w:rsidRPr="003C3A7D">
              <w:rPr>
                <w:rFonts w:ascii="宋体" w:hAnsi="宋体"/>
                <w:kern w:val="0"/>
                <w:sz w:val="24"/>
              </w:rPr>
              <w:t>GLP</w:t>
            </w:r>
            <w:r w:rsidRPr="003C3A7D">
              <w:rPr>
                <w:rFonts w:ascii="宋体" w:hAnsi="宋体" w:hint="eastAsia"/>
                <w:kern w:val="0"/>
                <w:sz w:val="24"/>
              </w:rPr>
              <w:t>认证、通过美国</w:t>
            </w:r>
            <w:r w:rsidRPr="003C3A7D">
              <w:rPr>
                <w:rFonts w:ascii="宋体" w:hAnsi="宋体"/>
                <w:kern w:val="0"/>
                <w:sz w:val="24"/>
              </w:rPr>
              <w:t>FDA</w:t>
            </w:r>
            <w:r w:rsidRPr="003C3A7D">
              <w:rPr>
                <w:rFonts w:ascii="宋体" w:hAnsi="宋体" w:hint="eastAsia"/>
                <w:kern w:val="0"/>
                <w:sz w:val="24"/>
              </w:rPr>
              <w:t>的</w:t>
            </w:r>
            <w:r w:rsidRPr="003C3A7D">
              <w:rPr>
                <w:rFonts w:ascii="宋体" w:hAnsi="宋体"/>
                <w:kern w:val="0"/>
                <w:sz w:val="24"/>
              </w:rPr>
              <w:t>GLP</w:t>
            </w:r>
            <w:r w:rsidRPr="003C3A7D">
              <w:rPr>
                <w:rFonts w:ascii="宋体" w:hAnsi="宋体" w:hint="eastAsia"/>
                <w:kern w:val="0"/>
                <w:sz w:val="24"/>
              </w:rPr>
              <w:t>检查的企业之一，与国际标准接轨，具备了行业内具有竞争力的国际化服务能力，为全球的医药企业和科研机构提供全方位、符合国内及国际申报标准的新药研究服务。</w:t>
            </w:r>
          </w:p>
          <w:p w14:paraId="21662AA0" w14:textId="079F094E" w:rsidR="00EB2A8A" w:rsidRPr="003C3A7D" w:rsidRDefault="00EB2A8A" w:rsidP="00763ACD">
            <w:pPr>
              <w:widowControl/>
              <w:spacing w:beforeLines="50" w:before="156" w:afterLines="50" w:after="156" w:line="360" w:lineRule="auto"/>
              <w:rPr>
                <w:rFonts w:ascii="宋体" w:hAnsi="宋体" w:hint="eastAsia"/>
                <w:b/>
                <w:bCs/>
                <w:kern w:val="0"/>
                <w:sz w:val="24"/>
              </w:rPr>
            </w:pPr>
            <w:r w:rsidRPr="003C3A7D">
              <w:rPr>
                <w:rFonts w:ascii="宋体" w:hAnsi="宋体" w:hint="eastAsia"/>
                <w:b/>
                <w:bCs/>
                <w:kern w:val="0"/>
                <w:sz w:val="24"/>
              </w:rPr>
              <w:t>二、2025年半年度整体业绩表现情况</w:t>
            </w:r>
          </w:p>
          <w:p w14:paraId="3747EDAA" w14:textId="455AD925" w:rsidR="00EB2A8A" w:rsidRPr="003C3A7D" w:rsidRDefault="00EB2A8A" w:rsidP="00763ACD">
            <w:pPr>
              <w:widowControl/>
              <w:spacing w:beforeLines="50" w:before="156" w:afterLines="50" w:after="156" w:line="360" w:lineRule="auto"/>
              <w:ind w:firstLineChars="200" w:firstLine="480"/>
              <w:rPr>
                <w:rFonts w:ascii="宋体" w:hAnsi="宋体" w:hint="eastAsia"/>
                <w:kern w:val="0"/>
                <w:sz w:val="24"/>
              </w:rPr>
            </w:pPr>
            <w:r w:rsidRPr="003C3A7D">
              <w:rPr>
                <w:rFonts w:ascii="宋体" w:hAnsi="宋体"/>
                <w:kern w:val="0"/>
                <w:sz w:val="24"/>
              </w:rPr>
              <w:lastRenderedPageBreak/>
              <w:t>报告期内，</w:t>
            </w:r>
            <w:r w:rsidRPr="003C3A7D">
              <w:rPr>
                <w:rFonts w:ascii="宋体" w:hAnsi="宋体" w:hint="eastAsia"/>
                <w:kern w:val="0"/>
                <w:sz w:val="24"/>
              </w:rPr>
              <w:t>受国内医药行业投融资放缓和市场需求增长放缓的影响，市场竞争加剧导致销售订单价格下降，</w:t>
            </w:r>
            <w:r w:rsidR="00EA0B3A" w:rsidRPr="003C3A7D">
              <w:rPr>
                <w:rFonts w:ascii="宋体" w:hAnsi="宋体"/>
                <w:kern w:val="0"/>
                <w:sz w:val="24"/>
              </w:rPr>
              <w:t>利润空间被压缩</w:t>
            </w:r>
            <w:r w:rsidR="00EA0B3A" w:rsidRPr="003C3A7D">
              <w:rPr>
                <w:rFonts w:ascii="宋体" w:hAnsi="宋体" w:hint="eastAsia"/>
                <w:kern w:val="0"/>
                <w:sz w:val="24"/>
              </w:rPr>
              <w:t>，</w:t>
            </w:r>
            <w:r w:rsidRPr="003C3A7D">
              <w:rPr>
                <w:rFonts w:ascii="宋体" w:hAnsi="宋体"/>
                <w:kern w:val="0"/>
                <w:sz w:val="24"/>
              </w:rPr>
              <w:t>公司营业收入37,522.86万元</w:t>
            </w:r>
            <w:r w:rsidR="00EA0B3A" w:rsidRPr="003C3A7D">
              <w:rPr>
                <w:rFonts w:ascii="宋体" w:hAnsi="宋体" w:hint="eastAsia"/>
                <w:kern w:val="0"/>
                <w:sz w:val="24"/>
              </w:rPr>
              <w:t>，净利润为354.64万元</w:t>
            </w:r>
            <w:r w:rsidRPr="003C3A7D">
              <w:rPr>
                <w:rFonts w:ascii="宋体" w:hAnsi="宋体"/>
                <w:kern w:val="0"/>
                <w:sz w:val="24"/>
              </w:rPr>
              <w:t>。</w:t>
            </w:r>
          </w:p>
          <w:p w14:paraId="3AE55E0E" w14:textId="02BE2A59" w:rsidR="00EB2A8A" w:rsidRPr="003C3A7D" w:rsidRDefault="00EB2A8A" w:rsidP="001F261E">
            <w:pPr>
              <w:widowControl/>
              <w:spacing w:beforeLines="50" w:before="156" w:afterLines="50" w:after="156" w:line="360" w:lineRule="auto"/>
              <w:ind w:firstLineChars="200" w:firstLine="482"/>
              <w:rPr>
                <w:rFonts w:ascii="宋体" w:hAnsi="宋体" w:hint="eastAsia"/>
                <w:b/>
                <w:bCs/>
                <w:kern w:val="0"/>
                <w:sz w:val="24"/>
              </w:rPr>
            </w:pPr>
            <w:r w:rsidRPr="003C3A7D">
              <w:rPr>
                <w:rFonts w:ascii="宋体" w:hAnsi="宋体" w:hint="eastAsia"/>
                <w:b/>
                <w:bCs/>
                <w:kern w:val="0"/>
                <w:sz w:val="24"/>
              </w:rPr>
              <w:t>报告期内，公司新签订单金额为5.32亿元，同比上涨7.39%；在手订单金额为11.12亿元，较2024年末增长14.29%</w:t>
            </w:r>
            <w:r w:rsidR="006E233A" w:rsidRPr="003C3A7D">
              <w:rPr>
                <w:rFonts w:ascii="宋体" w:hAnsi="宋体" w:hint="eastAsia"/>
                <w:b/>
                <w:bCs/>
                <w:kern w:val="0"/>
                <w:sz w:val="24"/>
              </w:rPr>
              <w:t>；新签IND+NDA项目数同比增长6.86%</w:t>
            </w:r>
            <w:r w:rsidRPr="003C3A7D">
              <w:rPr>
                <w:rFonts w:ascii="宋体" w:hAnsi="宋体" w:hint="eastAsia"/>
                <w:b/>
                <w:bCs/>
                <w:kern w:val="0"/>
                <w:sz w:val="24"/>
              </w:rPr>
              <w:t>。公司实现海外市场新签订单金额同比大幅增长</w:t>
            </w:r>
            <w:r w:rsidR="006E233A" w:rsidRPr="003C3A7D">
              <w:rPr>
                <w:rFonts w:ascii="宋体" w:hAnsi="宋体" w:hint="eastAsia"/>
                <w:b/>
                <w:bCs/>
                <w:kern w:val="0"/>
                <w:sz w:val="24"/>
              </w:rPr>
              <w:t>。</w:t>
            </w:r>
          </w:p>
          <w:p w14:paraId="56DCA536" w14:textId="1F3506E2" w:rsidR="00EB2A8A" w:rsidRPr="003C3A7D" w:rsidRDefault="00EB2A8A" w:rsidP="009C264B">
            <w:pPr>
              <w:widowControl/>
              <w:spacing w:before="180" w:after="180" w:line="360" w:lineRule="auto"/>
              <w:rPr>
                <w:rFonts w:ascii="宋体" w:hAnsi="宋体" w:hint="eastAsia"/>
                <w:b/>
                <w:bCs/>
                <w:kern w:val="0"/>
                <w:sz w:val="24"/>
              </w:rPr>
            </w:pPr>
            <w:r w:rsidRPr="003C3A7D">
              <w:rPr>
                <w:rFonts w:ascii="宋体" w:hAnsi="宋体" w:hint="eastAsia"/>
                <w:b/>
                <w:bCs/>
                <w:kern w:val="0"/>
                <w:sz w:val="24"/>
              </w:rPr>
              <w:t>三、</w:t>
            </w:r>
            <w:r w:rsidRPr="003C3A7D">
              <w:rPr>
                <w:rFonts w:ascii="宋体" w:hAnsi="宋体"/>
                <w:b/>
                <w:bCs/>
                <w:kern w:val="0"/>
                <w:sz w:val="24"/>
              </w:rPr>
              <w:t>投资者互动环节</w:t>
            </w:r>
          </w:p>
          <w:p w14:paraId="2D7B1C72" w14:textId="47234B47" w:rsidR="00EB2A8A" w:rsidRPr="003C3A7D" w:rsidRDefault="00EB2A8A" w:rsidP="008948A1">
            <w:pPr>
              <w:widowControl/>
              <w:spacing w:before="180" w:after="180" w:line="360" w:lineRule="auto"/>
              <w:ind w:firstLineChars="200" w:firstLine="482"/>
              <w:rPr>
                <w:rFonts w:ascii="宋体" w:hAnsi="宋体" w:hint="eastAsia"/>
                <w:b/>
                <w:bCs/>
                <w:kern w:val="0"/>
                <w:sz w:val="24"/>
              </w:rPr>
            </w:pPr>
            <w:r w:rsidRPr="003C3A7D">
              <w:rPr>
                <w:rFonts w:ascii="宋体" w:hAnsi="宋体" w:hint="eastAsia"/>
                <w:b/>
                <w:bCs/>
                <w:kern w:val="0"/>
                <w:sz w:val="24"/>
              </w:rPr>
              <w:t>1、中国创新药BD和二级市场火热是否带动一级市场融资和药企研发投入？</w:t>
            </w:r>
          </w:p>
          <w:p w14:paraId="31D2D05F" w14:textId="6855E69F" w:rsidR="00EB2A8A" w:rsidRPr="003C3A7D" w:rsidRDefault="00EB2A8A" w:rsidP="009A2DFD">
            <w:pPr>
              <w:widowControl/>
              <w:spacing w:before="180" w:after="180" w:line="360" w:lineRule="auto"/>
              <w:ind w:firstLineChars="200" w:firstLine="480"/>
              <w:rPr>
                <w:rFonts w:ascii="宋体" w:hAnsi="宋体" w:hint="eastAsia"/>
                <w:kern w:val="0"/>
                <w:sz w:val="24"/>
              </w:rPr>
            </w:pPr>
            <w:r w:rsidRPr="003C3A7D">
              <w:rPr>
                <w:rFonts w:ascii="宋体" w:hAnsi="宋体" w:hint="eastAsia"/>
                <w:kern w:val="0"/>
                <w:sz w:val="24"/>
              </w:rPr>
              <w:t>答：</w:t>
            </w:r>
            <w:r w:rsidRPr="003C3A7D">
              <w:rPr>
                <w:rFonts w:ascii="宋体" w:hAnsi="宋体"/>
                <w:kern w:val="0"/>
                <w:sz w:val="24"/>
              </w:rPr>
              <w:t>2025年上半年，国内创新药行业在经历较长时间的下行周期后，迎来了一些积极信号。首先，2025年上半年以来头部MNC对国内创新药资产关注度大幅提升，中国创新药BD出海成为常态。根据医药魔方统计，2025年上半年中国医药企业license-out交易共72笔，交易总金额为600.03亿美元，已经超过2024年全年的交易总金额。TOP</w:t>
            </w:r>
            <w:r w:rsidR="0002190C" w:rsidRPr="003C3A7D">
              <w:rPr>
                <w:rFonts w:ascii="宋体" w:hAnsi="宋体" w:hint="eastAsia"/>
                <w:kern w:val="0"/>
                <w:sz w:val="24"/>
              </w:rPr>
              <w:t xml:space="preserve"> </w:t>
            </w:r>
            <w:r w:rsidRPr="003C3A7D">
              <w:rPr>
                <w:rFonts w:ascii="宋体" w:hAnsi="宋体"/>
                <w:kern w:val="0"/>
                <w:sz w:val="24"/>
              </w:rPr>
              <w:t>MNC从中国引进交易数量占所有交易的比例从2021-2024年的12%提升到了19%，交易总金额从17%提升到33%；其次，创新药投融资下降幅度趋缓。根据医药魔方统计，国内创新药一级市场的投融资事件共194起，同比下降6.7%，下滑幅度已经显著收窄；第三，未盈利生物医药企业的上市通道重新开启。随着全球流动性改善为港股注入新的活力，上半年多家创新药企业纷纷选择登陆港交所。随着7月科创板第五套上市标准的重启，也为优质创新药企业登陆资本市场提供了新的舞台。随着创新药发展的大环境改善，公司也将迎来新的发展机会</w:t>
            </w:r>
            <w:r w:rsidRPr="003C3A7D">
              <w:rPr>
                <w:rFonts w:ascii="宋体" w:hAnsi="宋体" w:hint="eastAsia"/>
                <w:kern w:val="0"/>
                <w:sz w:val="24"/>
              </w:rPr>
              <w:t>。</w:t>
            </w:r>
          </w:p>
          <w:p w14:paraId="69BAE30E" w14:textId="0A4E9B2D" w:rsidR="00EB2A8A" w:rsidRPr="003C3A7D" w:rsidRDefault="00EB2A8A" w:rsidP="00E95566">
            <w:pPr>
              <w:widowControl/>
              <w:spacing w:before="180" w:after="180" w:line="360" w:lineRule="auto"/>
              <w:ind w:firstLineChars="200" w:firstLine="482"/>
              <w:rPr>
                <w:rFonts w:ascii="宋体" w:hAnsi="宋体" w:hint="eastAsia"/>
                <w:b/>
                <w:bCs/>
                <w:kern w:val="0"/>
                <w:sz w:val="24"/>
              </w:rPr>
            </w:pPr>
            <w:r w:rsidRPr="003C3A7D">
              <w:rPr>
                <w:rFonts w:ascii="宋体" w:hAnsi="宋体" w:hint="eastAsia"/>
                <w:b/>
                <w:bCs/>
                <w:kern w:val="0"/>
                <w:sz w:val="24"/>
              </w:rPr>
              <w:t>2、25H1国内新签订单量价趋势？</w:t>
            </w:r>
          </w:p>
          <w:p w14:paraId="40953FD2" w14:textId="427D40EC" w:rsidR="00EB2A8A" w:rsidRPr="003C3A7D" w:rsidRDefault="00EB2A8A" w:rsidP="00A506FA">
            <w:pPr>
              <w:widowControl/>
              <w:spacing w:before="180" w:after="180" w:line="360" w:lineRule="auto"/>
              <w:ind w:firstLineChars="200" w:firstLine="480"/>
              <w:rPr>
                <w:rFonts w:ascii="宋体" w:hAnsi="宋体" w:hint="eastAsia"/>
                <w:kern w:val="0"/>
                <w:sz w:val="24"/>
              </w:rPr>
            </w:pPr>
            <w:r w:rsidRPr="003C3A7D">
              <w:rPr>
                <w:rFonts w:ascii="宋体" w:hAnsi="宋体" w:hint="eastAsia"/>
                <w:kern w:val="0"/>
                <w:sz w:val="24"/>
              </w:rPr>
              <w:t>答：</w:t>
            </w:r>
            <w:r w:rsidRPr="003C3A7D">
              <w:rPr>
                <w:rFonts w:ascii="宋体" w:hAnsi="宋体"/>
                <w:kern w:val="0"/>
                <w:sz w:val="24"/>
              </w:rPr>
              <w:t>报告期内，公司整体业务规模保持稳定，公司新签订单金额为5.32亿元，同比上涨7.39%；在手订单金额为11.12亿元，较2024年末增长14.29%；从销售端来看，2025年公司各业</w:t>
            </w:r>
            <w:r w:rsidRPr="003C3A7D">
              <w:rPr>
                <w:rFonts w:ascii="宋体" w:hAnsi="宋体"/>
                <w:kern w:val="0"/>
                <w:sz w:val="24"/>
              </w:rPr>
              <w:lastRenderedPageBreak/>
              <w:t>务板块齐头并进，其中核心业务IND（新药临床试验申请）和NDA（新药上市申请）的新签项目个数合计同比增长6.86%，彰显了公司强大的市场拓展能力。</w:t>
            </w:r>
          </w:p>
          <w:p w14:paraId="38BE44A4" w14:textId="40D94A14" w:rsidR="00EB2A8A" w:rsidRPr="003C3A7D" w:rsidRDefault="00EB2A8A" w:rsidP="00E95566">
            <w:pPr>
              <w:widowControl/>
              <w:spacing w:before="180" w:after="180" w:line="360" w:lineRule="auto"/>
              <w:ind w:firstLineChars="200" w:firstLine="482"/>
              <w:rPr>
                <w:rFonts w:ascii="宋体" w:hAnsi="宋体" w:hint="eastAsia"/>
                <w:b/>
                <w:bCs/>
                <w:kern w:val="0"/>
                <w:sz w:val="24"/>
              </w:rPr>
            </w:pPr>
            <w:r w:rsidRPr="003C3A7D">
              <w:rPr>
                <w:rFonts w:ascii="宋体" w:hAnsi="宋体" w:hint="eastAsia"/>
                <w:b/>
                <w:bCs/>
                <w:kern w:val="0"/>
                <w:sz w:val="24"/>
              </w:rPr>
              <w:t>3、公司上半年海外安评业务和客户开拓计划是怎样的？</w:t>
            </w:r>
          </w:p>
          <w:p w14:paraId="204C6D89" w14:textId="0E966907" w:rsidR="00EB2A8A" w:rsidRPr="003C3A7D" w:rsidRDefault="00EB2A8A" w:rsidP="00B30C2E">
            <w:pPr>
              <w:widowControl/>
              <w:spacing w:before="180" w:after="180" w:line="360" w:lineRule="auto"/>
              <w:ind w:firstLineChars="200" w:firstLine="480"/>
              <w:rPr>
                <w:rFonts w:ascii="宋体" w:hAnsi="宋体" w:hint="eastAsia"/>
                <w:kern w:val="0"/>
                <w:sz w:val="24"/>
              </w:rPr>
            </w:pPr>
            <w:r w:rsidRPr="003C3A7D">
              <w:rPr>
                <w:rFonts w:ascii="宋体" w:hAnsi="宋体" w:hint="eastAsia"/>
                <w:kern w:val="0"/>
                <w:sz w:val="24"/>
              </w:rPr>
              <w:t>答：</w:t>
            </w:r>
            <w:r w:rsidRPr="003C3A7D">
              <w:rPr>
                <w:rFonts w:ascii="宋体" w:hAnsi="宋体"/>
                <w:kern w:val="0"/>
                <w:sz w:val="24"/>
              </w:rPr>
              <w:t>报告期内公司海外布局成效显著，</w:t>
            </w:r>
            <w:r w:rsidR="006E672D" w:rsidRPr="003C3A7D">
              <w:rPr>
                <w:rFonts w:ascii="宋体" w:hAnsi="宋体" w:hint="eastAsia"/>
                <w:kern w:val="0"/>
                <w:sz w:val="24"/>
              </w:rPr>
              <w:t>海外</w:t>
            </w:r>
            <w:r w:rsidRPr="003C3A7D">
              <w:rPr>
                <w:rFonts w:ascii="宋体" w:hAnsi="宋体"/>
                <w:kern w:val="0"/>
                <w:sz w:val="24"/>
              </w:rPr>
              <w:t>业务新签订单同比大幅增长，公司在国际市场上的认可度和影响力逐步提升。通过在核心业务领域的深耕细作与市场拓展策略的有效实施，</w:t>
            </w:r>
            <w:r w:rsidR="006E672D" w:rsidRPr="003C3A7D">
              <w:rPr>
                <w:rFonts w:ascii="宋体" w:hAnsi="宋体"/>
                <w:kern w:val="0"/>
                <w:sz w:val="24"/>
              </w:rPr>
              <w:t>公司</w:t>
            </w:r>
            <w:r w:rsidRPr="003C3A7D">
              <w:rPr>
                <w:rFonts w:ascii="宋体" w:hAnsi="宋体"/>
                <w:kern w:val="0"/>
                <w:sz w:val="24"/>
              </w:rPr>
              <w:t>在服务的客户数量与项目类型上均实现增长。从销售端来看，2025年公司各业务板块齐头并进，其中核心业务IND（新药临床试验申请）和NDA（新药上市申请）的新签项目个数合计同比增长6.86%，彰显了公司强大的市场拓展能力。</w:t>
            </w:r>
          </w:p>
          <w:p w14:paraId="42CFFA01" w14:textId="3BF38C94" w:rsidR="00EB2A8A" w:rsidRPr="003C3A7D" w:rsidRDefault="00EB2A8A" w:rsidP="00B30C2E">
            <w:pPr>
              <w:widowControl/>
              <w:spacing w:before="180" w:after="180" w:line="360" w:lineRule="auto"/>
              <w:ind w:firstLineChars="200" w:firstLine="480"/>
              <w:rPr>
                <w:rFonts w:ascii="宋体" w:hAnsi="宋体" w:hint="eastAsia"/>
                <w:kern w:val="0"/>
                <w:sz w:val="24"/>
              </w:rPr>
            </w:pPr>
            <w:r w:rsidRPr="003C3A7D">
              <w:rPr>
                <w:rFonts w:ascii="宋体" w:hAnsi="宋体"/>
                <w:kern w:val="0"/>
                <w:sz w:val="24"/>
              </w:rPr>
              <w:t>在国际市场推广方面，公司加速海外商务BD团队及营销网络的</w:t>
            </w:r>
            <w:r w:rsidR="0007298C" w:rsidRPr="003C3A7D">
              <w:rPr>
                <w:rFonts w:ascii="宋体" w:hAnsi="宋体" w:hint="eastAsia"/>
                <w:kern w:val="0"/>
                <w:sz w:val="24"/>
              </w:rPr>
              <w:t>进一步</w:t>
            </w:r>
            <w:r w:rsidRPr="003C3A7D">
              <w:rPr>
                <w:rFonts w:ascii="宋体" w:hAnsi="宋体"/>
                <w:kern w:val="0"/>
                <w:sz w:val="24"/>
              </w:rPr>
              <w:t>拓展，2025年上半年高效实施全球营销网络布局，累计参与</w:t>
            </w:r>
            <w:r w:rsidR="0007298C" w:rsidRPr="003C3A7D">
              <w:rPr>
                <w:rFonts w:ascii="宋体" w:hAnsi="宋体" w:hint="eastAsia"/>
                <w:kern w:val="0"/>
                <w:sz w:val="24"/>
              </w:rPr>
              <w:t>国内外</w:t>
            </w:r>
            <w:r w:rsidRPr="003C3A7D">
              <w:rPr>
                <w:rFonts w:ascii="宋体" w:hAnsi="宋体"/>
                <w:kern w:val="0"/>
                <w:sz w:val="24"/>
              </w:rPr>
              <w:t>行业展会33场</w:t>
            </w:r>
            <w:r w:rsidR="0007298C" w:rsidRPr="003C3A7D">
              <w:rPr>
                <w:rFonts w:ascii="宋体" w:hAnsi="宋体" w:hint="eastAsia"/>
                <w:kern w:val="0"/>
                <w:sz w:val="24"/>
              </w:rPr>
              <w:t>。</w:t>
            </w:r>
            <w:r w:rsidRPr="003C3A7D">
              <w:rPr>
                <w:rFonts w:ascii="宋体" w:hAnsi="宋体"/>
                <w:kern w:val="0"/>
                <w:sz w:val="24"/>
              </w:rPr>
              <w:t>其中</w:t>
            </w:r>
            <w:r w:rsidR="0007298C" w:rsidRPr="003C3A7D">
              <w:rPr>
                <w:rFonts w:ascii="宋体" w:hAnsi="宋体" w:hint="eastAsia"/>
                <w:kern w:val="0"/>
                <w:sz w:val="24"/>
              </w:rPr>
              <w:t>在</w:t>
            </w:r>
            <w:r w:rsidRPr="003C3A7D">
              <w:rPr>
                <w:rFonts w:ascii="宋体" w:hAnsi="宋体"/>
                <w:kern w:val="0"/>
                <w:sz w:val="24"/>
              </w:rPr>
              <w:t>国际市场</w:t>
            </w:r>
            <w:r w:rsidR="0007298C" w:rsidRPr="003C3A7D">
              <w:rPr>
                <w:rFonts w:ascii="宋体" w:hAnsi="宋体" w:hint="eastAsia"/>
                <w:kern w:val="0"/>
                <w:sz w:val="24"/>
              </w:rPr>
              <w:t>方面，</w:t>
            </w:r>
            <w:r w:rsidRPr="003C3A7D">
              <w:rPr>
                <w:rFonts w:ascii="宋体" w:hAnsi="宋体"/>
                <w:kern w:val="0"/>
                <w:sz w:val="24"/>
              </w:rPr>
              <w:t>基于深度需求洞察，重点亮相CBA-GP、SOT、JSOT、Bio</w:t>
            </w:r>
            <w:r w:rsidR="00DC3E56" w:rsidRPr="003C3A7D">
              <w:rPr>
                <w:rFonts w:ascii="宋体" w:hAnsi="宋体" w:hint="eastAsia"/>
                <w:kern w:val="0"/>
                <w:sz w:val="24"/>
              </w:rPr>
              <w:t xml:space="preserve"> </w:t>
            </w:r>
            <w:r w:rsidRPr="003C3A7D">
              <w:rPr>
                <w:rFonts w:ascii="宋体" w:hAnsi="宋体"/>
                <w:kern w:val="0"/>
                <w:sz w:val="24"/>
              </w:rPr>
              <w:t>Boston等6场顶级会议，发表主题演讲2场、系统性提升</w:t>
            </w:r>
            <w:r w:rsidR="0007298C" w:rsidRPr="003C3A7D">
              <w:rPr>
                <w:rFonts w:ascii="宋体" w:hAnsi="宋体" w:hint="eastAsia"/>
                <w:kern w:val="0"/>
                <w:sz w:val="24"/>
              </w:rPr>
              <w:t>了</w:t>
            </w:r>
            <w:r w:rsidRPr="003C3A7D">
              <w:rPr>
                <w:rFonts w:ascii="宋体" w:hAnsi="宋体"/>
                <w:kern w:val="0"/>
                <w:sz w:val="24"/>
              </w:rPr>
              <w:t>行业话语权；</w:t>
            </w:r>
            <w:r w:rsidR="0007298C" w:rsidRPr="003C3A7D">
              <w:rPr>
                <w:rFonts w:ascii="宋体" w:hAnsi="宋体" w:hint="eastAsia"/>
                <w:kern w:val="0"/>
                <w:sz w:val="24"/>
              </w:rPr>
              <w:t>在</w:t>
            </w:r>
            <w:r w:rsidRPr="003C3A7D">
              <w:rPr>
                <w:rFonts w:ascii="宋体" w:hAnsi="宋体"/>
                <w:kern w:val="0"/>
                <w:sz w:val="24"/>
              </w:rPr>
              <w:t>国内市场</w:t>
            </w:r>
            <w:r w:rsidR="0007298C" w:rsidRPr="003C3A7D">
              <w:rPr>
                <w:rFonts w:ascii="宋体" w:hAnsi="宋体" w:hint="eastAsia"/>
                <w:kern w:val="0"/>
                <w:sz w:val="24"/>
              </w:rPr>
              <w:t>方面，</w:t>
            </w:r>
            <w:r w:rsidRPr="003C3A7D">
              <w:rPr>
                <w:rFonts w:ascii="宋体" w:hAnsi="宋体"/>
                <w:kern w:val="0"/>
                <w:sz w:val="24"/>
              </w:rPr>
              <w:t>强化线上线下交互策略，通过自主主办研讨会1场及专业直播4场、协同承办行业论坛</w:t>
            </w:r>
            <w:r w:rsidR="0007298C" w:rsidRPr="003C3A7D">
              <w:rPr>
                <w:rFonts w:ascii="宋体" w:hAnsi="宋体"/>
                <w:kern w:val="0"/>
                <w:sz w:val="24"/>
              </w:rPr>
              <w:t>与</w:t>
            </w:r>
            <w:r w:rsidRPr="003C3A7D">
              <w:rPr>
                <w:rFonts w:ascii="宋体" w:hAnsi="宋体"/>
                <w:kern w:val="0"/>
                <w:sz w:val="24"/>
              </w:rPr>
              <w:t>培训交流活动21场，实现核心客户群体高效触达与合作关系深化。</w:t>
            </w:r>
          </w:p>
          <w:p w14:paraId="67796557" w14:textId="21CE8C23" w:rsidR="00EB2A8A" w:rsidRPr="003C3A7D" w:rsidRDefault="00EB2A8A" w:rsidP="001839AF">
            <w:pPr>
              <w:widowControl/>
              <w:spacing w:before="180" w:after="180" w:line="360" w:lineRule="auto"/>
              <w:ind w:firstLineChars="200" w:firstLine="480"/>
              <w:rPr>
                <w:rFonts w:eastAsiaTheme="minorEastAsia"/>
                <w:b/>
                <w:bCs/>
                <w:kern w:val="0"/>
                <w:sz w:val="24"/>
              </w:rPr>
            </w:pPr>
            <w:r w:rsidRPr="003C3A7D">
              <w:rPr>
                <w:rFonts w:ascii="宋体" w:hAnsi="宋体"/>
                <w:kern w:val="0"/>
                <w:sz w:val="24"/>
              </w:rPr>
              <w:t>国际化拓展是公司重点发展战略，</w:t>
            </w:r>
            <w:r w:rsidRPr="003C3A7D">
              <w:rPr>
                <w:rFonts w:ascii="宋体" w:hAnsi="宋体" w:hint="eastAsia"/>
                <w:kern w:val="0"/>
                <w:sz w:val="24"/>
              </w:rPr>
              <w:t>未来公司将继续</w:t>
            </w:r>
            <w:r w:rsidRPr="003C3A7D">
              <w:rPr>
                <w:rFonts w:ascii="宋体" w:hAnsi="宋体"/>
                <w:kern w:val="0"/>
                <w:sz w:val="24"/>
              </w:rPr>
              <w:t>通过</w:t>
            </w:r>
            <w:r w:rsidR="00FB7964" w:rsidRPr="003C3A7D">
              <w:rPr>
                <w:rFonts w:ascii="宋体" w:hAnsi="宋体" w:hint="eastAsia"/>
                <w:kern w:val="0"/>
                <w:sz w:val="24"/>
              </w:rPr>
              <w:t>加强</w:t>
            </w:r>
            <w:r w:rsidRPr="003C3A7D">
              <w:rPr>
                <w:rFonts w:ascii="宋体" w:hAnsi="宋体"/>
                <w:kern w:val="0"/>
                <w:sz w:val="24"/>
              </w:rPr>
              <w:t>海外销售部</w:t>
            </w:r>
            <w:r w:rsidR="00FB7964" w:rsidRPr="003C3A7D">
              <w:rPr>
                <w:rFonts w:ascii="宋体" w:hAnsi="宋体" w:hint="eastAsia"/>
                <w:kern w:val="0"/>
                <w:sz w:val="24"/>
              </w:rPr>
              <w:t>建设</w:t>
            </w:r>
            <w:r w:rsidRPr="003C3A7D">
              <w:rPr>
                <w:rFonts w:ascii="宋体" w:hAnsi="宋体"/>
                <w:kern w:val="0"/>
                <w:sz w:val="24"/>
              </w:rPr>
              <w:t>，同时充分联合产业链上下游、产业资本合作伙伴等搭建多元化营销渠道，</w:t>
            </w:r>
            <w:r w:rsidRPr="003C3A7D">
              <w:rPr>
                <w:rFonts w:ascii="宋体" w:hAnsi="宋体" w:hint="eastAsia"/>
                <w:kern w:val="0"/>
                <w:sz w:val="24"/>
              </w:rPr>
              <w:t>加速</w:t>
            </w:r>
            <w:r w:rsidR="0007298C" w:rsidRPr="003C3A7D">
              <w:rPr>
                <w:rFonts w:ascii="宋体" w:hAnsi="宋体" w:hint="eastAsia"/>
                <w:kern w:val="0"/>
                <w:sz w:val="24"/>
              </w:rPr>
              <w:t>提升</w:t>
            </w:r>
            <w:r w:rsidRPr="003C3A7D">
              <w:rPr>
                <w:rFonts w:ascii="宋体" w:hAnsi="宋体"/>
                <w:kern w:val="0"/>
                <w:sz w:val="24"/>
              </w:rPr>
              <w:t>公司在国际市场上的认可度和影响力。</w:t>
            </w:r>
          </w:p>
          <w:p w14:paraId="4514D654" w14:textId="46BDCFD9" w:rsidR="00EB2A8A" w:rsidRPr="003C3A7D" w:rsidRDefault="00EB2A8A" w:rsidP="00A73E8F">
            <w:pPr>
              <w:widowControl/>
              <w:spacing w:beforeLines="50" w:before="156" w:afterLines="50" w:after="156" w:line="360" w:lineRule="auto"/>
              <w:ind w:firstLineChars="200" w:firstLine="482"/>
              <w:rPr>
                <w:rFonts w:ascii="宋体" w:hAnsi="宋体" w:hint="eastAsia"/>
                <w:b/>
                <w:bCs/>
                <w:kern w:val="0"/>
                <w:sz w:val="24"/>
              </w:rPr>
            </w:pPr>
            <w:r w:rsidRPr="003C3A7D">
              <w:rPr>
                <w:rFonts w:ascii="宋体" w:hAnsi="宋体" w:hint="eastAsia"/>
                <w:b/>
                <w:bCs/>
                <w:kern w:val="0"/>
                <w:sz w:val="24"/>
              </w:rPr>
              <w:t>4、公司新产能建设及释放情况？产能利用率爬坡情况？</w:t>
            </w:r>
          </w:p>
          <w:p w14:paraId="055715F5" w14:textId="6B621DE8" w:rsidR="00EB2A8A" w:rsidRPr="003C3A7D" w:rsidRDefault="00EB2A8A" w:rsidP="00350AD7">
            <w:pPr>
              <w:widowControl/>
              <w:spacing w:beforeLines="50" w:before="156" w:afterLines="50" w:after="156" w:line="360" w:lineRule="auto"/>
              <w:ind w:firstLineChars="200" w:firstLine="480"/>
              <w:rPr>
                <w:rFonts w:ascii="宋体" w:hAnsi="宋体" w:hint="eastAsia"/>
                <w:kern w:val="0"/>
                <w:sz w:val="24"/>
              </w:rPr>
            </w:pPr>
            <w:r w:rsidRPr="003C3A7D">
              <w:rPr>
                <w:rFonts w:ascii="宋体" w:hAnsi="宋体"/>
                <w:kern w:val="0"/>
                <w:sz w:val="24"/>
              </w:rPr>
              <w:t>答：</w:t>
            </w:r>
            <w:r w:rsidR="00C74AB9" w:rsidRPr="003C3A7D" w:rsidDel="00C74AB9">
              <w:rPr>
                <w:rFonts w:ascii="宋体" w:hAnsi="宋体"/>
                <w:kern w:val="0"/>
                <w:sz w:val="24"/>
              </w:rPr>
              <w:t xml:space="preserve"> </w:t>
            </w:r>
            <w:r w:rsidRPr="003C3A7D">
              <w:rPr>
                <w:rFonts w:ascii="宋体" w:hAnsi="宋体"/>
                <w:kern w:val="0"/>
                <w:sz w:val="24"/>
              </w:rPr>
              <w:t>公司全资子公司南通益诺思</w:t>
            </w:r>
            <w:r w:rsidR="00C74AB9" w:rsidRPr="003C3A7D">
              <w:rPr>
                <w:rFonts w:ascii="宋体" w:hAnsi="宋体"/>
                <w:kern w:val="0"/>
                <w:sz w:val="24"/>
              </w:rPr>
              <w:t>实施的</w:t>
            </w:r>
            <w:r w:rsidRPr="003C3A7D">
              <w:rPr>
                <w:rFonts w:ascii="宋体" w:hAnsi="宋体"/>
                <w:kern w:val="0"/>
                <w:sz w:val="24"/>
              </w:rPr>
              <w:t>募投项目南通高品质非临床创新药物综合评价平台扩建项目2.4</w:t>
            </w:r>
            <w:r w:rsidR="00350AD7" w:rsidRPr="003C3A7D">
              <w:rPr>
                <w:rFonts w:ascii="宋体" w:hAnsi="宋体"/>
                <w:kern w:val="0"/>
                <w:sz w:val="24"/>
              </w:rPr>
              <w:t>万平方米的设施已于</w:t>
            </w:r>
            <w:r w:rsidR="00350AD7" w:rsidRPr="003C3A7D">
              <w:rPr>
                <w:rFonts w:ascii="宋体" w:hAnsi="宋体" w:hint="eastAsia"/>
                <w:kern w:val="0"/>
                <w:sz w:val="24"/>
              </w:rPr>
              <w:t>2025</w:t>
            </w:r>
            <w:r w:rsidR="00350AD7" w:rsidRPr="003C3A7D">
              <w:rPr>
                <w:rFonts w:ascii="宋体" w:hAnsi="宋体"/>
                <w:kern w:val="0"/>
                <w:sz w:val="24"/>
              </w:rPr>
              <w:t>年上半年取得实验动物使用许可证</w:t>
            </w:r>
            <w:r w:rsidRPr="003C3A7D">
              <w:rPr>
                <w:rFonts w:ascii="宋体" w:hAnsi="宋体"/>
                <w:kern w:val="0"/>
                <w:sz w:val="24"/>
              </w:rPr>
              <w:t>，全面进入GLP模拟运营阶段</w:t>
            </w:r>
            <w:r w:rsidR="00350AD7" w:rsidRPr="003C3A7D">
              <w:rPr>
                <w:rFonts w:ascii="宋体" w:hAnsi="宋体" w:hint="eastAsia"/>
                <w:kern w:val="0"/>
                <w:sz w:val="24"/>
              </w:rPr>
              <w:t>。</w:t>
            </w:r>
            <w:r w:rsidRPr="003C3A7D">
              <w:rPr>
                <w:rFonts w:ascii="宋体" w:hAnsi="宋体"/>
                <w:kern w:val="0"/>
                <w:sz w:val="24"/>
              </w:rPr>
              <w:t>南通益诺思同步整合放射影像评价中心、类器官技术平台</w:t>
            </w:r>
            <w:r w:rsidRPr="003C3A7D">
              <w:rPr>
                <w:rFonts w:ascii="宋体" w:hAnsi="宋体"/>
                <w:kern w:val="0"/>
                <w:sz w:val="24"/>
              </w:rPr>
              <w:lastRenderedPageBreak/>
              <w:t>等特色资源，进一步强化放射性药物和新技术平台的技术壁垒，同期进行同位素设施1800平方米实验室扩建改造工程，竣工后将大幅提升放射性药物的评价服务能力，为细分领域业务增长注入新的动力。</w:t>
            </w:r>
            <w:r w:rsidRPr="003C3A7D">
              <w:rPr>
                <w:rFonts w:ascii="宋体" w:hAnsi="宋体" w:hint="eastAsia"/>
                <w:kern w:val="0"/>
                <w:sz w:val="24"/>
              </w:rPr>
              <w:t>后续公司将会积极把握行业发展回暖的利好趋势，尽快加快产能释放，提高产能利用率。</w:t>
            </w:r>
          </w:p>
          <w:p w14:paraId="2B028F12" w14:textId="5913F986" w:rsidR="00EB2A8A" w:rsidRPr="003C3A7D" w:rsidRDefault="008E0770" w:rsidP="00221B38">
            <w:pPr>
              <w:widowControl/>
              <w:spacing w:before="180" w:after="180" w:line="360" w:lineRule="auto"/>
              <w:ind w:firstLineChars="200" w:firstLine="482"/>
              <w:rPr>
                <w:rFonts w:ascii="宋体" w:hAnsi="宋体" w:hint="eastAsia"/>
                <w:b/>
                <w:bCs/>
                <w:kern w:val="0"/>
                <w:sz w:val="24"/>
              </w:rPr>
            </w:pPr>
            <w:r w:rsidRPr="003C3A7D">
              <w:rPr>
                <w:rFonts w:ascii="宋体" w:hAnsi="宋体" w:hint="eastAsia"/>
                <w:b/>
                <w:bCs/>
                <w:kern w:val="0"/>
                <w:sz w:val="24"/>
              </w:rPr>
              <w:t>5</w:t>
            </w:r>
            <w:r w:rsidR="00EB2A8A" w:rsidRPr="003C3A7D">
              <w:rPr>
                <w:rFonts w:ascii="宋体" w:hAnsi="宋体" w:hint="eastAsia"/>
                <w:b/>
                <w:bCs/>
                <w:kern w:val="0"/>
                <w:sz w:val="24"/>
              </w:rPr>
              <w:t>、公司对未来的收并购有什么展望？</w:t>
            </w:r>
          </w:p>
          <w:p w14:paraId="3FB2017D" w14:textId="08249774" w:rsidR="00EB2A8A" w:rsidRPr="003C3A7D" w:rsidRDefault="00EB2A8A" w:rsidP="00221B38">
            <w:pPr>
              <w:widowControl/>
              <w:spacing w:before="180" w:after="180" w:line="360" w:lineRule="auto"/>
              <w:ind w:firstLineChars="200" w:firstLine="480"/>
              <w:rPr>
                <w:rFonts w:eastAsiaTheme="minorEastAsia"/>
                <w:kern w:val="0"/>
                <w:sz w:val="24"/>
              </w:rPr>
            </w:pPr>
            <w:r w:rsidRPr="003C3A7D">
              <w:rPr>
                <w:rFonts w:ascii="宋体" w:hAnsi="宋体" w:hint="eastAsia"/>
                <w:kern w:val="0"/>
                <w:sz w:val="24"/>
              </w:rPr>
              <w:t>答：</w:t>
            </w:r>
            <w:r w:rsidR="00DC3E56" w:rsidRPr="003C3A7D">
              <w:rPr>
                <w:rFonts w:ascii="宋体" w:hAnsi="宋体" w:hint="eastAsia"/>
                <w:kern w:val="0"/>
                <w:sz w:val="24"/>
              </w:rPr>
              <w:t>公司在强化内生增长的同时，将持续聚焦主业，择机强化产业并购布局，系统性地挖掘符合战略方向的外延式发展机遇。逐步拓展上下游产业链服务，打造一站式服务解决方案，促进业务协同与资源整合，全面提速企业发展进程，持续提升公司的综合竞争力。如有相关进展情况会严格履行信息披露义务。</w:t>
            </w:r>
          </w:p>
          <w:p w14:paraId="5FC1CFF9" w14:textId="7ED2F170" w:rsidR="00EB2A8A" w:rsidRPr="003C3A7D" w:rsidRDefault="008E0770" w:rsidP="00E95566">
            <w:pPr>
              <w:widowControl/>
              <w:spacing w:before="180" w:after="180" w:line="360" w:lineRule="auto"/>
              <w:ind w:firstLineChars="200" w:firstLine="482"/>
              <w:rPr>
                <w:rFonts w:ascii="宋体" w:hAnsi="宋体" w:hint="eastAsia"/>
                <w:b/>
                <w:bCs/>
                <w:kern w:val="0"/>
                <w:sz w:val="24"/>
              </w:rPr>
            </w:pPr>
            <w:r w:rsidRPr="003C3A7D">
              <w:rPr>
                <w:rFonts w:ascii="宋体" w:hAnsi="宋体" w:hint="eastAsia"/>
                <w:b/>
                <w:bCs/>
                <w:kern w:val="0"/>
                <w:sz w:val="24"/>
              </w:rPr>
              <w:t>6</w:t>
            </w:r>
            <w:r w:rsidR="00EB2A8A" w:rsidRPr="003C3A7D">
              <w:rPr>
                <w:rFonts w:ascii="宋体" w:hAnsi="宋体" w:hint="eastAsia"/>
                <w:b/>
                <w:bCs/>
                <w:kern w:val="0"/>
                <w:sz w:val="24"/>
              </w:rPr>
              <w:t>、上半年，类器官或者其他方式对于药效评价的布局及进展？</w:t>
            </w:r>
          </w:p>
          <w:p w14:paraId="25FFDA7C" w14:textId="0C232DD6" w:rsidR="00EB2A8A" w:rsidRPr="003C3A7D" w:rsidRDefault="00EB2A8A" w:rsidP="00C97498">
            <w:pPr>
              <w:widowControl/>
              <w:spacing w:before="180" w:after="180" w:line="360" w:lineRule="auto"/>
              <w:ind w:firstLineChars="200" w:firstLine="480"/>
              <w:rPr>
                <w:rFonts w:ascii="宋体" w:hAnsi="宋体" w:hint="eastAsia"/>
                <w:kern w:val="0"/>
                <w:sz w:val="24"/>
              </w:rPr>
            </w:pPr>
            <w:r w:rsidRPr="003C3A7D">
              <w:rPr>
                <w:rFonts w:ascii="宋体" w:hAnsi="宋体" w:hint="eastAsia"/>
                <w:kern w:val="0"/>
                <w:sz w:val="24"/>
              </w:rPr>
              <w:t>答：</w:t>
            </w:r>
            <w:r w:rsidRPr="003C3A7D">
              <w:rPr>
                <w:rFonts w:ascii="宋体" w:hAnsi="宋体"/>
                <w:kern w:val="0"/>
                <w:sz w:val="24"/>
              </w:rPr>
              <w:t>类器官和器官芯片作为生物医学领域的新兴技术，近年来发展迅速，其应用场景持续扩展，为药物研发的重要工具之一。</w:t>
            </w:r>
            <w:r w:rsidR="008F113E" w:rsidRPr="003C3A7D">
              <w:rPr>
                <w:rFonts w:ascii="宋体" w:hAnsi="宋体" w:hint="eastAsia"/>
                <w:kern w:val="0"/>
                <w:sz w:val="24"/>
              </w:rPr>
              <w:t>2025年上半年，公司继续紧跟国际最新发展前沿技术，以市场需求与前瞻式布局相结合的科技创新双轮驱动模式，以临床转化效率与监管科学前沿为锚点，开发多项药物评价关键创新技术，不断提升公司的业务服务能力。报告期内在肿瘤药效、生殖、致畸、心脏、肠道免疫等5个方向建立了基于类器官模型的创新药物评价方法，对细胞组成、功能和关键标志物进行了鉴定，并采用已知药物对所建立的模型进行了初步验证，为候选药物非临床评价提供新的模式；完善了基于人工智能的毒性病理辅助诊断技术，完善了基于人工智能的毒性病理辅助诊断技术，构建了跨种属多脏器自主二分类诊断方法，并持续训练提升诊断准确率，有望缩短药物非临床毒性试验评价周期，提升药物研发效率。</w:t>
            </w:r>
          </w:p>
        </w:tc>
      </w:tr>
      <w:tr w:rsidR="00EB2A8A" w:rsidRPr="003C3A7D" w14:paraId="0B4BCEBF" w14:textId="53749BB1" w:rsidTr="007178AA">
        <w:trPr>
          <w:trHeight w:val="140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79084" w14:textId="77777777" w:rsidR="00EB2A8A" w:rsidRPr="003C3A7D" w:rsidRDefault="00EB2A8A" w:rsidP="00E95566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 w:rsidRPr="003C3A7D">
              <w:rPr>
                <w:bCs/>
                <w:iCs/>
                <w:color w:val="000000"/>
                <w:kern w:val="0"/>
                <w:sz w:val="24"/>
              </w:rPr>
              <w:lastRenderedPageBreak/>
              <w:t>附件清单（如有）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01468" w14:textId="77777777" w:rsidR="00EB2A8A" w:rsidRPr="003C3A7D" w:rsidRDefault="00EB2A8A" w:rsidP="00E95566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 w:rsidRPr="003C3A7D">
              <w:rPr>
                <w:bCs/>
                <w:iCs/>
                <w:color w:val="000000"/>
                <w:sz w:val="24"/>
              </w:rPr>
              <w:t>无</w:t>
            </w:r>
          </w:p>
        </w:tc>
      </w:tr>
      <w:tr w:rsidR="00EB2A8A" w:rsidRPr="007171D5" w14:paraId="4B38C8FF" w14:textId="127D2B2D" w:rsidTr="007178AA">
        <w:trPr>
          <w:trHeight w:val="413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73DB1" w14:textId="77777777" w:rsidR="00EB2A8A" w:rsidRPr="003C3A7D" w:rsidRDefault="00EB2A8A" w:rsidP="00E95566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 w:rsidRPr="003C3A7D">
              <w:rPr>
                <w:bCs/>
                <w:i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69402" w14:textId="4326CF6D" w:rsidR="00EB2A8A" w:rsidRPr="00F05828" w:rsidRDefault="00EB2A8A" w:rsidP="00E95566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 w:rsidRPr="003C3A7D">
              <w:rPr>
                <w:bCs/>
                <w:iCs/>
                <w:color w:val="000000"/>
                <w:sz w:val="24"/>
              </w:rPr>
              <w:t>2025</w:t>
            </w:r>
            <w:r w:rsidRPr="003C3A7D">
              <w:rPr>
                <w:bCs/>
                <w:iCs/>
                <w:color w:val="000000"/>
                <w:sz w:val="24"/>
              </w:rPr>
              <w:t>年</w:t>
            </w:r>
            <w:r w:rsidRPr="003C3A7D">
              <w:rPr>
                <w:rFonts w:hint="eastAsia"/>
                <w:bCs/>
                <w:iCs/>
                <w:color w:val="000000"/>
                <w:sz w:val="24"/>
              </w:rPr>
              <w:t>9</w:t>
            </w:r>
            <w:r w:rsidRPr="003C3A7D">
              <w:rPr>
                <w:rFonts w:hint="eastAsia"/>
                <w:bCs/>
                <w:iCs/>
                <w:color w:val="000000"/>
                <w:sz w:val="24"/>
              </w:rPr>
              <w:t>月</w:t>
            </w:r>
            <w:r w:rsidRPr="003C3A7D">
              <w:rPr>
                <w:rFonts w:hint="eastAsia"/>
                <w:bCs/>
                <w:iCs/>
                <w:color w:val="000000"/>
                <w:sz w:val="24"/>
              </w:rPr>
              <w:t>1</w:t>
            </w:r>
            <w:r w:rsidRPr="003C3A7D">
              <w:rPr>
                <w:rFonts w:hint="eastAsia"/>
                <w:bCs/>
                <w:iCs/>
                <w:color w:val="000000"/>
                <w:sz w:val="24"/>
              </w:rPr>
              <w:t>日</w:t>
            </w:r>
          </w:p>
        </w:tc>
      </w:tr>
    </w:tbl>
    <w:p w14:paraId="4DF97C85" w14:textId="77777777" w:rsidR="003804FE" w:rsidRDefault="003804FE" w:rsidP="008648AD"/>
    <w:sectPr w:rsidR="003804FE" w:rsidSect="003804FE">
      <w:footerReference w:type="default" r:id="rId7"/>
      <w:pgSz w:w="11906" w:h="16838"/>
      <w:pgMar w:top="1077" w:right="1588" w:bottom="964" w:left="1588" w:header="851" w:footer="737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9EE3B" w14:textId="77777777" w:rsidR="0020159D" w:rsidRDefault="0020159D">
      <w:r>
        <w:separator/>
      </w:r>
    </w:p>
  </w:endnote>
  <w:endnote w:type="continuationSeparator" w:id="0">
    <w:p w14:paraId="01519A1F" w14:textId="77777777" w:rsidR="0020159D" w:rsidRDefault="00201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68726781"/>
      <w:docPartObj>
        <w:docPartGallery w:val="Page Numbers (Bottom of Page)"/>
        <w:docPartUnique/>
      </w:docPartObj>
    </w:sdtPr>
    <w:sdtContent>
      <w:p w14:paraId="46A776B4" w14:textId="77777777" w:rsidR="003804FE" w:rsidRDefault="003804FE" w:rsidP="004121E1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2181BD98" w14:textId="77777777" w:rsidR="003804FE" w:rsidRDefault="003804FE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88EDE" w14:textId="77777777" w:rsidR="0020159D" w:rsidRDefault="0020159D">
      <w:r>
        <w:separator/>
      </w:r>
    </w:p>
  </w:footnote>
  <w:footnote w:type="continuationSeparator" w:id="0">
    <w:p w14:paraId="192106FB" w14:textId="77777777" w:rsidR="0020159D" w:rsidRDefault="002015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3D5AF8"/>
    <w:multiLevelType w:val="multilevel"/>
    <w:tmpl w:val="5F524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54061A"/>
    <w:multiLevelType w:val="multilevel"/>
    <w:tmpl w:val="65A86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D1E7760"/>
    <w:multiLevelType w:val="multilevel"/>
    <w:tmpl w:val="01604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F7F395A"/>
    <w:multiLevelType w:val="hybridMultilevel"/>
    <w:tmpl w:val="A280AF08"/>
    <w:lvl w:ilvl="0" w:tplc="DD9C240A">
      <w:start w:val="1"/>
      <w:numFmt w:val="chineseCountingThousand"/>
      <w:suff w:val="nothing"/>
      <w:lvlText w:val="%1、"/>
      <w:lvlJc w:val="left"/>
      <w:pPr>
        <w:ind w:left="480" w:hanging="480"/>
      </w:pPr>
      <w:rPr>
        <w:rFonts w:hint="default"/>
      </w:rPr>
    </w:lvl>
    <w:lvl w:ilvl="1" w:tplc="04209AA4">
      <w:start w:val="1"/>
      <w:numFmt w:val="decimal"/>
      <w:lvlText w:val="%2、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7BFA7E3B"/>
    <w:multiLevelType w:val="hybridMultilevel"/>
    <w:tmpl w:val="F1444D5A"/>
    <w:lvl w:ilvl="0" w:tplc="E970331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ED4256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534797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46CDDB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E88A36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DD0202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02A244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A6039D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E32E6D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17439320">
    <w:abstractNumId w:val="3"/>
  </w:num>
  <w:num w:numId="2" w16cid:durableId="1842426365">
    <w:abstractNumId w:val="1"/>
  </w:num>
  <w:num w:numId="3" w16cid:durableId="1402412753">
    <w:abstractNumId w:val="2"/>
  </w:num>
  <w:num w:numId="4" w16cid:durableId="1674383013">
    <w:abstractNumId w:val="0"/>
  </w:num>
  <w:num w:numId="5" w16cid:durableId="18961167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4FE"/>
    <w:rsid w:val="00000D4E"/>
    <w:rsid w:val="0001403D"/>
    <w:rsid w:val="000158FD"/>
    <w:rsid w:val="000177FB"/>
    <w:rsid w:val="0002190C"/>
    <w:rsid w:val="0007298C"/>
    <w:rsid w:val="000860CA"/>
    <w:rsid w:val="000D0E04"/>
    <w:rsid w:val="000E7BF5"/>
    <w:rsid w:val="000F3521"/>
    <w:rsid w:val="00104987"/>
    <w:rsid w:val="00114705"/>
    <w:rsid w:val="001219F2"/>
    <w:rsid w:val="00136DDB"/>
    <w:rsid w:val="001839AF"/>
    <w:rsid w:val="001A241B"/>
    <w:rsid w:val="001F261E"/>
    <w:rsid w:val="001F30F2"/>
    <w:rsid w:val="0020159D"/>
    <w:rsid w:val="00221B38"/>
    <w:rsid w:val="0024140D"/>
    <w:rsid w:val="0028036D"/>
    <w:rsid w:val="002B23B8"/>
    <w:rsid w:val="002B39D3"/>
    <w:rsid w:val="002D5D72"/>
    <w:rsid w:val="002E4684"/>
    <w:rsid w:val="00320B26"/>
    <w:rsid w:val="00340548"/>
    <w:rsid w:val="00347B91"/>
    <w:rsid w:val="00350041"/>
    <w:rsid w:val="00350AD7"/>
    <w:rsid w:val="00364395"/>
    <w:rsid w:val="003804FE"/>
    <w:rsid w:val="003C3A7D"/>
    <w:rsid w:val="003C7AA2"/>
    <w:rsid w:val="003F6066"/>
    <w:rsid w:val="004042C9"/>
    <w:rsid w:val="0043110C"/>
    <w:rsid w:val="004551F2"/>
    <w:rsid w:val="0046254B"/>
    <w:rsid w:val="00470C4C"/>
    <w:rsid w:val="00477441"/>
    <w:rsid w:val="00483744"/>
    <w:rsid w:val="004A03DE"/>
    <w:rsid w:val="004B3354"/>
    <w:rsid w:val="004B6E9C"/>
    <w:rsid w:val="004C3FA0"/>
    <w:rsid w:val="005359E4"/>
    <w:rsid w:val="00541E1C"/>
    <w:rsid w:val="00581082"/>
    <w:rsid w:val="0059622E"/>
    <w:rsid w:val="00597053"/>
    <w:rsid w:val="005F611E"/>
    <w:rsid w:val="006315FF"/>
    <w:rsid w:val="00653685"/>
    <w:rsid w:val="00681804"/>
    <w:rsid w:val="0068769C"/>
    <w:rsid w:val="006955C5"/>
    <w:rsid w:val="006B62C6"/>
    <w:rsid w:val="006E233A"/>
    <w:rsid w:val="006E672D"/>
    <w:rsid w:val="00703C81"/>
    <w:rsid w:val="00716D6E"/>
    <w:rsid w:val="007178AA"/>
    <w:rsid w:val="00763ACD"/>
    <w:rsid w:val="0078458E"/>
    <w:rsid w:val="00795439"/>
    <w:rsid w:val="007B2908"/>
    <w:rsid w:val="007B5F6B"/>
    <w:rsid w:val="007E398C"/>
    <w:rsid w:val="00806FD7"/>
    <w:rsid w:val="00814E8F"/>
    <w:rsid w:val="008632E5"/>
    <w:rsid w:val="008648AD"/>
    <w:rsid w:val="008948A1"/>
    <w:rsid w:val="008A503F"/>
    <w:rsid w:val="008B27C8"/>
    <w:rsid w:val="008B53F4"/>
    <w:rsid w:val="008E0770"/>
    <w:rsid w:val="008F113E"/>
    <w:rsid w:val="00900595"/>
    <w:rsid w:val="0094116E"/>
    <w:rsid w:val="00970BA6"/>
    <w:rsid w:val="00997D0A"/>
    <w:rsid w:val="009A2DFD"/>
    <w:rsid w:val="009C244F"/>
    <w:rsid w:val="009C264B"/>
    <w:rsid w:val="00A506FA"/>
    <w:rsid w:val="00A65E2F"/>
    <w:rsid w:val="00A73E8F"/>
    <w:rsid w:val="00A90EE3"/>
    <w:rsid w:val="00AD5439"/>
    <w:rsid w:val="00AD75A0"/>
    <w:rsid w:val="00AE3D15"/>
    <w:rsid w:val="00B30C2E"/>
    <w:rsid w:val="00B85E51"/>
    <w:rsid w:val="00B91901"/>
    <w:rsid w:val="00B9635C"/>
    <w:rsid w:val="00BA7C5B"/>
    <w:rsid w:val="00BB607F"/>
    <w:rsid w:val="00BD2564"/>
    <w:rsid w:val="00BD3D1B"/>
    <w:rsid w:val="00BF671C"/>
    <w:rsid w:val="00C26ED9"/>
    <w:rsid w:val="00C46A5C"/>
    <w:rsid w:val="00C47713"/>
    <w:rsid w:val="00C74AB9"/>
    <w:rsid w:val="00C80221"/>
    <w:rsid w:val="00C86582"/>
    <w:rsid w:val="00C97498"/>
    <w:rsid w:val="00D35BCC"/>
    <w:rsid w:val="00D42905"/>
    <w:rsid w:val="00D46C04"/>
    <w:rsid w:val="00D50DA2"/>
    <w:rsid w:val="00D80ED1"/>
    <w:rsid w:val="00D958F9"/>
    <w:rsid w:val="00DA532F"/>
    <w:rsid w:val="00DA66B5"/>
    <w:rsid w:val="00DC3E56"/>
    <w:rsid w:val="00DE4452"/>
    <w:rsid w:val="00E558EA"/>
    <w:rsid w:val="00E572AF"/>
    <w:rsid w:val="00E83C98"/>
    <w:rsid w:val="00E93D8E"/>
    <w:rsid w:val="00EA0B3A"/>
    <w:rsid w:val="00EB2A8A"/>
    <w:rsid w:val="00EB5459"/>
    <w:rsid w:val="00EF0890"/>
    <w:rsid w:val="00F0068B"/>
    <w:rsid w:val="00F02F18"/>
    <w:rsid w:val="00F2085F"/>
    <w:rsid w:val="00F3514D"/>
    <w:rsid w:val="00F96486"/>
    <w:rsid w:val="00FA6FF6"/>
    <w:rsid w:val="00FB7964"/>
    <w:rsid w:val="00FE5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0E8816"/>
  <w15:chartTrackingRefBased/>
  <w15:docId w15:val="{DF4DC2ED-AE03-448A-B226-0AA8D5358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04FE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04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04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04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04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04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04FE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04FE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04FE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04FE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04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04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04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04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04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04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04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04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04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04F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04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04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04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04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04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04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04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04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04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04FE"/>
    <w:rPr>
      <w:b/>
      <w:bCs/>
      <w:smallCaps/>
      <w:color w:val="2F5496" w:themeColor="accent1" w:themeShade="BF"/>
      <w:spacing w:val="5"/>
    </w:rPr>
  </w:style>
  <w:style w:type="paragraph" w:styleId="ae">
    <w:name w:val="footer"/>
    <w:basedOn w:val="a"/>
    <w:link w:val="af"/>
    <w:uiPriority w:val="99"/>
    <w:qFormat/>
    <w:rsid w:val="003804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">
    <w:name w:val="页脚 字符"/>
    <w:basedOn w:val="a0"/>
    <w:link w:val="ae"/>
    <w:uiPriority w:val="99"/>
    <w:qFormat/>
    <w:rsid w:val="003804FE"/>
    <w:rPr>
      <w:rFonts w:ascii="Times New Roman" w:eastAsia="宋体" w:hAnsi="Times New Roman" w:cs="Times New Roman"/>
      <w:sz w:val="18"/>
      <w:szCs w:val="18"/>
      <w14:ligatures w14:val="none"/>
    </w:rPr>
  </w:style>
  <w:style w:type="paragraph" w:styleId="af0">
    <w:name w:val="header"/>
    <w:basedOn w:val="a"/>
    <w:link w:val="af1"/>
    <w:uiPriority w:val="99"/>
    <w:qFormat/>
    <w:rsid w:val="003804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1">
    <w:name w:val="页眉 字符"/>
    <w:basedOn w:val="a0"/>
    <w:link w:val="af0"/>
    <w:uiPriority w:val="99"/>
    <w:qFormat/>
    <w:rsid w:val="003804FE"/>
    <w:rPr>
      <w:rFonts w:ascii="Times New Roman" w:eastAsia="宋体" w:hAnsi="Times New Roman" w:cs="Times New Roman"/>
      <w:sz w:val="18"/>
      <w:szCs w:val="18"/>
      <w14:ligatures w14:val="none"/>
    </w:rPr>
  </w:style>
  <w:style w:type="paragraph" w:styleId="HTML">
    <w:name w:val="HTML Preformatted"/>
    <w:basedOn w:val="a"/>
    <w:link w:val="HTML0"/>
    <w:qFormat/>
    <w:rsid w:val="003804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0">
    <w:name w:val="HTML 预设格式 字符"/>
    <w:basedOn w:val="a0"/>
    <w:link w:val="HTML"/>
    <w:rsid w:val="003804FE"/>
    <w:rPr>
      <w:rFonts w:ascii="宋体" w:eastAsia="宋体" w:hAnsi="宋体" w:cs="Times New Roman"/>
      <w:kern w:val="0"/>
      <w:sz w:val="24"/>
      <w14:ligatures w14:val="none"/>
    </w:rPr>
  </w:style>
  <w:style w:type="paragraph" w:customStyle="1" w:styleId="Style6">
    <w:name w:val="_Style 6"/>
    <w:basedOn w:val="a"/>
    <w:uiPriority w:val="34"/>
    <w:qFormat/>
    <w:rsid w:val="003804FE"/>
    <w:pPr>
      <w:ind w:firstLineChars="200" w:firstLine="420"/>
    </w:pPr>
    <w:rPr>
      <w:rFonts w:ascii="Calibri" w:hAnsi="Calibri"/>
      <w:szCs w:val="22"/>
    </w:rPr>
  </w:style>
  <w:style w:type="paragraph" w:customStyle="1" w:styleId="CharCharChar">
    <w:name w:val="Char Char Char"/>
    <w:basedOn w:val="a"/>
    <w:qFormat/>
    <w:rsid w:val="003804FE"/>
    <w:rPr>
      <w:szCs w:val="21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"/>
    <w:qFormat/>
    <w:rsid w:val="003804FE"/>
  </w:style>
  <w:style w:type="character" w:styleId="af2">
    <w:name w:val="Hyperlink"/>
    <w:basedOn w:val="a0"/>
    <w:rsid w:val="003804FE"/>
    <w:rPr>
      <w:color w:val="0563C1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3804FE"/>
    <w:rPr>
      <w:color w:val="605E5C"/>
      <w:shd w:val="clear" w:color="auto" w:fill="E1DFDD"/>
    </w:rPr>
  </w:style>
  <w:style w:type="paragraph" w:styleId="af4">
    <w:name w:val="Revision"/>
    <w:hidden/>
    <w:uiPriority w:val="99"/>
    <w:semiHidden/>
    <w:rsid w:val="003804FE"/>
    <w:pPr>
      <w:spacing w:after="0" w:line="240" w:lineRule="auto"/>
    </w:pPr>
    <w:rPr>
      <w:rFonts w:ascii="Times New Roman" w:eastAsia="宋体" w:hAnsi="Times New Roman" w:cs="Times New Roman"/>
      <w:sz w:val="21"/>
      <w14:ligatures w14:val="none"/>
    </w:rPr>
  </w:style>
  <w:style w:type="character" w:styleId="af5">
    <w:name w:val="annotation reference"/>
    <w:basedOn w:val="a0"/>
    <w:rsid w:val="003804FE"/>
    <w:rPr>
      <w:sz w:val="21"/>
      <w:szCs w:val="21"/>
    </w:rPr>
  </w:style>
  <w:style w:type="paragraph" w:styleId="af6">
    <w:name w:val="annotation text"/>
    <w:basedOn w:val="a"/>
    <w:link w:val="af7"/>
    <w:rsid w:val="003804FE"/>
    <w:pPr>
      <w:jc w:val="left"/>
    </w:pPr>
  </w:style>
  <w:style w:type="character" w:customStyle="1" w:styleId="af7">
    <w:name w:val="批注文字 字符"/>
    <w:basedOn w:val="a0"/>
    <w:link w:val="af6"/>
    <w:rsid w:val="003804FE"/>
    <w:rPr>
      <w:rFonts w:ascii="Times New Roman" w:eastAsia="宋体" w:hAnsi="Times New Roman" w:cs="Times New Roman"/>
      <w:sz w:val="21"/>
      <w14:ligatures w14:val="none"/>
    </w:rPr>
  </w:style>
  <w:style w:type="paragraph" w:styleId="af8">
    <w:name w:val="annotation subject"/>
    <w:basedOn w:val="af6"/>
    <w:next w:val="af6"/>
    <w:link w:val="af9"/>
    <w:rsid w:val="003804FE"/>
    <w:rPr>
      <w:b/>
      <w:bCs/>
    </w:rPr>
  </w:style>
  <w:style w:type="character" w:customStyle="1" w:styleId="af9">
    <w:name w:val="批注主题 字符"/>
    <w:basedOn w:val="af7"/>
    <w:link w:val="af8"/>
    <w:rsid w:val="003804FE"/>
    <w:rPr>
      <w:rFonts w:ascii="Times New Roman" w:eastAsia="宋体" w:hAnsi="Times New Roman" w:cs="Times New Roman"/>
      <w:b/>
      <w:bCs/>
      <w:sz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1282</Words>
  <Characters>1603</Characters>
  <Application>Microsoft Office Word</Application>
  <DocSecurity>0</DocSecurity>
  <Lines>178</Lines>
  <Paragraphs>160</Paragraphs>
  <ScaleCrop>false</ScaleCrop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1748607444@qq.com</dc:creator>
  <cp:keywords/>
  <dc:description/>
  <cp:lastModifiedBy>白雪</cp:lastModifiedBy>
  <cp:revision>4</cp:revision>
  <dcterms:created xsi:type="dcterms:W3CDTF">2025-09-03T09:01:00Z</dcterms:created>
  <dcterms:modified xsi:type="dcterms:W3CDTF">2025-09-03T09:24:00Z</dcterms:modified>
</cp:coreProperties>
</file>