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8351D" w14:paraId="04BB9441" w14:textId="77777777">
        <w:trPr>
          <w:trHeight w:val="132"/>
        </w:trPr>
        <w:tc>
          <w:tcPr>
            <w:tcW w:w="4148" w:type="dxa"/>
          </w:tcPr>
          <w:p w14:paraId="75F58838" w14:textId="77777777" w:rsidR="00A8351D" w:rsidRDefault="00380974">
            <w:r>
              <w:rPr>
                <w:rFonts w:hint="eastAsia"/>
              </w:rPr>
              <w:t>证券代码：</w:t>
            </w:r>
            <w:r>
              <w:t>601607</w:t>
            </w:r>
          </w:p>
          <w:p w14:paraId="6777CCEB" w14:textId="77777777" w:rsidR="00A8351D" w:rsidRDefault="00A8351D"/>
        </w:tc>
        <w:tc>
          <w:tcPr>
            <w:tcW w:w="4148" w:type="dxa"/>
          </w:tcPr>
          <w:p w14:paraId="79FD47E2" w14:textId="77777777" w:rsidR="00A8351D" w:rsidRDefault="00380974">
            <w:pPr>
              <w:jc w:val="right"/>
            </w:pPr>
            <w:r>
              <w:rPr>
                <w:rFonts w:hint="eastAsia"/>
              </w:rPr>
              <w:t>证券简称：上海医药</w:t>
            </w:r>
          </w:p>
        </w:tc>
      </w:tr>
    </w:tbl>
    <w:p w14:paraId="2B332B80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上海医药</w:t>
      </w:r>
      <w:r>
        <w:rPr>
          <w:rStyle w:val="NormalCharacter"/>
          <w:rFonts w:ascii="宋体" w:hAnsi="宋体" w:hint="eastAsia"/>
          <w:b/>
          <w:bCs/>
          <w:iCs/>
          <w:sz w:val="24"/>
        </w:rPr>
        <w:t>集团</w:t>
      </w:r>
      <w:r>
        <w:rPr>
          <w:rStyle w:val="NormalCharacter"/>
          <w:rFonts w:ascii="宋体" w:hAnsi="宋体"/>
          <w:b/>
          <w:bCs/>
          <w:iCs/>
          <w:sz w:val="24"/>
        </w:rPr>
        <w:t>股份有限公司</w:t>
      </w:r>
    </w:p>
    <w:p w14:paraId="65189594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投资者关系活动记录表</w:t>
      </w:r>
    </w:p>
    <w:p w14:paraId="7B2F44ED" w14:textId="67109D49" w:rsidR="00A8351D" w:rsidRDefault="00380974">
      <w:pPr>
        <w:spacing w:line="440" w:lineRule="exact"/>
        <w:rPr>
          <w:rStyle w:val="NormalCharacter"/>
          <w:rFonts w:ascii="宋体" w:hAnsi="宋体"/>
          <w:bCs/>
          <w:iCs/>
          <w:sz w:val="24"/>
        </w:rPr>
      </w:pPr>
      <w:r>
        <w:rPr>
          <w:rStyle w:val="NormalCharacter"/>
          <w:rFonts w:ascii="宋体" w:hAnsi="宋体"/>
          <w:bCs/>
          <w:iCs/>
          <w:sz w:val="24"/>
        </w:rPr>
        <w:t xml:space="preserve">                                                      </w:t>
      </w:r>
      <w:r w:rsidR="00267287">
        <w:rPr>
          <w:rStyle w:val="NormalCharacter"/>
          <w:rFonts w:ascii="宋体" w:hAnsi="宋体"/>
          <w:bCs/>
          <w:iCs/>
          <w:sz w:val="24"/>
        </w:rPr>
        <w:t>编号：2025-00</w:t>
      </w:r>
      <w:r w:rsidR="00CA295D">
        <w:rPr>
          <w:rStyle w:val="NormalCharacter"/>
          <w:rFonts w:ascii="宋体" w:hAnsi="宋体"/>
          <w:bCs/>
          <w:iCs/>
          <w:sz w:val="24"/>
        </w:rPr>
        <w:t>4</w:t>
      </w:r>
    </w:p>
    <w:tbl>
      <w:tblPr>
        <w:tblW w:w="8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82"/>
      </w:tblGrid>
      <w:tr w:rsidR="00A8351D" w14:paraId="77FBAC0D" w14:textId="77777777">
        <w:trPr>
          <w:trHeight w:val="188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318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投资者关系活动类别</w:t>
            </w:r>
          </w:p>
          <w:p w14:paraId="0573383F" w14:textId="77777777" w:rsidR="00A8351D" w:rsidRDefault="00A8351D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B46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特定对象调研        </w:t>
            </w:r>
            <w:bookmarkStart w:id="0" w:name="OLE_LINK1"/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bookmarkEnd w:id="0"/>
            <w:r>
              <w:rPr>
                <w:rStyle w:val="NormalCharacter"/>
                <w:rFonts w:ascii="宋体" w:hAnsi="宋体"/>
                <w:sz w:val="24"/>
              </w:rPr>
              <w:t>分析师会议</w:t>
            </w:r>
          </w:p>
          <w:p w14:paraId="5D88D3B8" w14:textId="2C637443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媒体采访            </w:t>
            </w:r>
            <w:r w:rsidR="00CA295D">
              <w:rPr>
                <w:rStyle w:val="NormalCharacter"/>
                <w:rFonts w:ascii="宋体" w:hAnsi="宋体"/>
                <w:bCs/>
                <w:iCs/>
                <w:sz w:val="24"/>
              </w:rPr>
              <w:sym w:font="Wingdings 2" w:char="F052"/>
            </w:r>
            <w:r>
              <w:rPr>
                <w:rStyle w:val="NormalCharacter"/>
                <w:rFonts w:ascii="宋体" w:hAnsi="宋体"/>
                <w:sz w:val="24"/>
              </w:rPr>
              <w:t>业绩说明会</w:t>
            </w:r>
          </w:p>
          <w:p w14:paraId="652F2B22" w14:textId="30C943C3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新闻发布会          </w:t>
            </w:r>
            <w:r w:rsidR="00CA295D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路演活动</w:t>
            </w:r>
          </w:p>
          <w:p w14:paraId="5D96A9C4" w14:textId="77777777" w:rsidR="00A8351D" w:rsidRDefault="00380974">
            <w:pPr>
              <w:tabs>
                <w:tab w:val="left" w:pos="3045"/>
                <w:tab w:val="center" w:pos="3199"/>
              </w:tabs>
              <w:spacing w:line="440" w:lineRule="exact"/>
              <w:ind w:left="1320" w:hangingChars="550" w:hanging="13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现场参观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ab/>
              <w:t xml:space="preserve">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其他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</w:t>
            </w:r>
          </w:p>
        </w:tc>
      </w:tr>
      <w:tr w:rsidR="00A8351D" w14:paraId="71625F9A" w14:textId="77777777">
        <w:trPr>
          <w:trHeight w:val="149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57D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参与单位名称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C23" w14:textId="49DB3762" w:rsidR="00A8351D" w:rsidRDefault="00380974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参与机构：</w:t>
            </w:r>
            <w:r w:rsidR="00CA295D">
              <w:rPr>
                <w:rFonts w:ascii="宋体" w:hAnsi="宋体" w:hint="eastAsia"/>
                <w:bCs/>
                <w:sz w:val="24"/>
                <w:szCs w:val="22"/>
              </w:rPr>
              <w:t>国盛证券、中金</w:t>
            </w:r>
            <w:r w:rsidR="008D74E3">
              <w:rPr>
                <w:rFonts w:ascii="宋体" w:hAnsi="宋体" w:hint="eastAsia"/>
                <w:bCs/>
                <w:sz w:val="24"/>
                <w:szCs w:val="22"/>
              </w:rPr>
              <w:t>公司</w:t>
            </w:r>
            <w:r w:rsidR="00CA295D">
              <w:rPr>
                <w:rFonts w:ascii="宋体" w:hAnsi="宋体" w:hint="eastAsia"/>
                <w:bCs/>
                <w:sz w:val="24"/>
                <w:szCs w:val="22"/>
              </w:rPr>
              <w:t>、中信证券、银河证券、</w:t>
            </w:r>
            <w:r w:rsidR="00D07094">
              <w:rPr>
                <w:rFonts w:ascii="宋体" w:hAnsi="宋体" w:hint="eastAsia"/>
                <w:bCs/>
                <w:sz w:val="24"/>
                <w:szCs w:val="22"/>
              </w:rPr>
              <w:t>华安基金、华泰柏瑞基金、农银汇理、华宝基金、</w:t>
            </w:r>
            <w:r w:rsidR="00493277">
              <w:rPr>
                <w:rFonts w:ascii="宋体" w:hAnsi="宋体" w:hint="eastAsia"/>
                <w:bCs/>
                <w:sz w:val="24"/>
                <w:szCs w:val="22"/>
              </w:rPr>
              <w:t>仁</w:t>
            </w:r>
            <w:r w:rsidR="00D07094">
              <w:rPr>
                <w:rFonts w:ascii="宋体" w:hAnsi="宋体" w:hint="eastAsia"/>
                <w:bCs/>
                <w:sz w:val="24"/>
                <w:szCs w:val="22"/>
              </w:rPr>
              <w:t>桥资产、富国基金等</w:t>
            </w:r>
            <w:r w:rsidR="002D3F5B">
              <w:rPr>
                <w:rFonts w:ascii="宋体" w:hAnsi="宋体"/>
                <w:bCs/>
                <w:sz w:val="24"/>
                <w:szCs w:val="22"/>
              </w:rPr>
              <w:t>4</w:t>
            </w:r>
            <w:r w:rsidR="003B66B3">
              <w:rPr>
                <w:rFonts w:ascii="宋体" w:hAnsi="宋体"/>
                <w:bCs/>
                <w:sz w:val="24"/>
                <w:szCs w:val="22"/>
              </w:rPr>
              <w:t>5</w:t>
            </w:r>
            <w:r w:rsidR="003B66B3">
              <w:rPr>
                <w:rFonts w:ascii="宋体" w:hAnsi="宋体" w:hint="eastAsia"/>
                <w:bCs/>
                <w:sz w:val="24"/>
                <w:szCs w:val="22"/>
              </w:rPr>
              <w:t>家机构</w:t>
            </w:r>
            <w:r w:rsidR="00D07094">
              <w:rPr>
                <w:rFonts w:ascii="宋体" w:hAnsi="宋体" w:hint="eastAsia"/>
                <w:bCs/>
                <w:sz w:val="24"/>
                <w:szCs w:val="22"/>
              </w:rPr>
              <w:t>。</w:t>
            </w:r>
          </w:p>
        </w:tc>
      </w:tr>
      <w:tr w:rsidR="00A8351D" w14:paraId="22517B72" w14:textId="77777777">
        <w:trPr>
          <w:trHeight w:val="77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7E92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时间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88F8" w14:textId="12EC9167" w:rsidR="00A8351D" w:rsidRDefault="00380974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202</w:t>
            </w:r>
            <w:r w:rsidR="000C281C">
              <w:rPr>
                <w:rStyle w:val="NormalCharacter"/>
                <w:rFonts w:ascii="宋体" w:hAnsi="宋体"/>
                <w:bCs/>
                <w:iCs/>
                <w:sz w:val="24"/>
              </w:rPr>
              <w:t>5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年</w:t>
            </w:r>
            <w:r w:rsidR="00337A0C">
              <w:rPr>
                <w:rStyle w:val="NormalCharacter"/>
                <w:rFonts w:ascii="宋体" w:hAnsi="宋体"/>
                <w:bCs/>
                <w:iCs/>
                <w:sz w:val="24"/>
              </w:rPr>
              <w:t>8</w:t>
            </w:r>
            <w:r w:rsidR="00D0709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月2</w:t>
            </w:r>
            <w:r w:rsidR="00D07094">
              <w:rPr>
                <w:rStyle w:val="NormalCharacter"/>
                <w:rFonts w:ascii="宋体" w:hAnsi="宋体"/>
                <w:bCs/>
                <w:iCs/>
                <w:sz w:val="24"/>
              </w:rPr>
              <w:t>9</w:t>
            </w:r>
            <w:r w:rsidR="00D0709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日</w:t>
            </w:r>
          </w:p>
        </w:tc>
      </w:tr>
      <w:tr w:rsidR="00A8351D" w14:paraId="72C8E93D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6BA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地点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5DE5" w14:textId="1D468FE9" w:rsidR="00A8351D" w:rsidRDefault="00982269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上海医药大厦会议室、</w:t>
            </w:r>
            <w:r w:rsidR="00D0709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上证路演中心线上平台</w:t>
            </w:r>
          </w:p>
        </w:tc>
      </w:tr>
      <w:tr w:rsidR="00A8351D" w14:paraId="3D033AE1" w14:textId="77777777" w:rsidTr="00B52F84">
        <w:trPr>
          <w:trHeight w:val="101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B34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上市公司接待人员姓名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8B48" w14:textId="2CE05C84" w:rsidR="00493277" w:rsidRDefault="00493277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董事长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杨秋华</w:t>
            </w:r>
          </w:p>
          <w:p w14:paraId="7EAF181F" w14:textId="3A512D6D" w:rsidR="00D07094" w:rsidRDefault="00D07094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执行董事、总裁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 沈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波</w:t>
            </w:r>
          </w:p>
          <w:p w14:paraId="4091B89C" w14:textId="364A022E" w:rsidR="007079FB" w:rsidRDefault="007079FB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独立董事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顾朝阳</w:t>
            </w:r>
          </w:p>
          <w:p w14:paraId="540E97BC" w14:textId="3BF5372D" w:rsidR="007079FB" w:rsidRDefault="007079FB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副总裁、财务总监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周亚栋</w:t>
            </w:r>
          </w:p>
          <w:p w14:paraId="6BB5EAF2" w14:textId="49529536" w:rsidR="00D07094" w:rsidRPr="00B52F84" w:rsidRDefault="00E70919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副总裁、董事会秘书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 w:rsidR="00D07094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钟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涛</w:t>
            </w:r>
          </w:p>
        </w:tc>
      </w:tr>
      <w:tr w:rsidR="00A8351D" w14:paraId="3C670D49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920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F3F5" w14:textId="7E855C12" w:rsidR="00943B43" w:rsidRDefault="00943B43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Q：公司</w:t>
            </w:r>
            <w:r w:rsidR="00D0709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研发如何进一步提升效率，体系优化成效如何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78227F34" w14:textId="2BB95675" w:rsidR="00B0075C" w:rsidRDefault="00943B43" w:rsidP="002B01D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B0075C" w:rsidRPr="00B0075C">
              <w:rPr>
                <w:rFonts w:ascii="宋体" w:hAnsi="宋体" w:cs="宋体" w:hint="eastAsia"/>
                <w:kern w:val="0"/>
                <w:sz w:val="24"/>
              </w:rPr>
              <w:t>目前，公司正致力于夯实研发基础、构建创新生态，以推动研发效能的全面提升。</w:t>
            </w:r>
            <w:r w:rsidR="009E6B7B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B0075C" w:rsidRPr="00B0075C">
              <w:rPr>
                <w:rFonts w:ascii="宋体" w:hAnsi="宋体" w:cs="宋体" w:hint="eastAsia"/>
                <w:kern w:val="0"/>
                <w:sz w:val="24"/>
              </w:rPr>
              <w:t>围绕重点治疗领域，不断加快研发技术平台的建设步伐，包括大分子早期研究平台、小分子多肽平台及转化评价等技术平台，已取得</w:t>
            </w:r>
            <w:r w:rsidR="009E6B7B">
              <w:rPr>
                <w:rFonts w:ascii="宋体" w:hAnsi="宋体" w:cs="宋体" w:hint="eastAsia"/>
                <w:kern w:val="0"/>
                <w:sz w:val="24"/>
              </w:rPr>
              <w:t>阶段性</w:t>
            </w:r>
            <w:r w:rsidR="00B0075C" w:rsidRPr="00B0075C">
              <w:rPr>
                <w:rFonts w:ascii="宋体" w:hAnsi="宋体" w:cs="宋体" w:hint="eastAsia"/>
                <w:kern w:val="0"/>
                <w:sz w:val="24"/>
              </w:rPr>
              <w:t>进展。此外，公司在扩充研发管线的同时，持续进行优化工作。目前，我们拥有56项在研管线，其中创新管线44项，且已有一项提交上市申请并获</w:t>
            </w:r>
            <w:r w:rsidR="008D74E3">
              <w:rPr>
                <w:rFonts w:ascii="宋体" w:hAnsi="宋体" w:cs="宋体" w:hint="eastAsia"/>
                <w:kern w:val="0"/>
                <w:sz w:val="24"/>
              </w:rPr>
              <w:t>得</w:t>
            </w:r>
            <w:r w:rsidR="00B0075C" w:rsidRPr="00B0075C">
              <w:rPr>
                <w:rFonts w:ascii="宋体" w:hAnsi="宋体" w:cs="宋体" w:hint="eastAsia"/>
                <w:kern w:val="0"/>
                <w:sz w:val="24"/>
              </w:rPr>
              <w:t>受理。在提升研发效率方面，</w:t>
            </w:r>
            <w:r w:rsidR="0080001D">
              <w:rPr>
                <w:rFonts w:ascii="宋体" w:hAnsi="宋体" w:cs="宋体" w:hint="eastAsia"/>
                <w:kern w:val="0"/>
                <w:sz w:val="24"/>
              </w:rPr>
              <w:t>公司研发团队</w:t>
            </w:r>
            <w:r w:rsidR="0080001D" w:rsidRPr="0080001D">
              <w:rPr>
                <w:rFonts w:ascii="宋体" w:hAnsi="宋体" w:cs="宋体" w:hint="eastAsia"/>
                <w:kern w:val="0"/>
                <w:sz w:val="24"/>
              </w:rPr>
              <w:t>通过智能化、自动化的多维布局，</w:t>
            </w:r>
            <w:r w:rsidR="00B0075C" w:rsidRPr="00B0075C">
              <w:rPr>
                <w:rFonts w:ascii="宋体" w:hAnsi="宋体" w:cs="宋体" w:hint="eastAsia"/>
                <w:kern w:val="0"/>
                <w:sz w:val="24"/>
              </w:rPr>
              <w:t>在立项调研、管线推进、分子结构设计等各个环节</w:t>
            </w:r>
            <w:r w:rsidR="00655176">
              <w:rPr>
                <w:rFonts w:ascii="宋体" w:hAnsi="宋体" w:cs="宋体" w:hint="eastAsia"/>
                <w:kern w:val="0"/>
                <w:sz w:val="24"/>
              </w:rPr>
              <w:t>上，</w:t>
            </w:r>
            <w:r w:rsidR="0080001D">
              <w:rPr>
                <w:rFonts w:ascii="宋体" w:hAnsi="宋体" w:cs="宋体" w:hint="eastAsia"/>
                <w:kern w:val="0"/>
                <w:sz w:val="24"/>
              </w:rPr>
              <w:t>有效</w:t>
            </w:r>
            <w:r w:rsidR="00655176">
              <w:rPr>
                <w:rFonts w:ascii="宋体" w:hAnsi="宋体" w:cs="宋体" w:hint="eastAsia"/>
                <w:kern w:val="0"/>
                <w:sz w:val="24"/>
              </w:rPr>
              <w:t>提升推进速度</w:t>
            </w:r>
            <w:r w:rsidR="00B0075C" w:rsidRPr="00B0075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117CFEFC" w14:textId="77777777" w:rsidR="00B0075C" w:rsidRDefault="00B0075C" w:rsidP="002B01D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6BD106C" w14:textId="6FD62DC2" w:rsidR="002B01D8" w:rsidRPr="00C5229A" w:rsidRDefault="002B01D8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9E6B7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公司在并购和黄药业后如何与公司原有中药业务进行协同整合？</w:t>
            </w:r>
          </w:p>
          <w:p w14:paraId="2232D53C" w14:textId="3317912A" w:rsidR="002B01D8" w:rsidRDefault="002B01D8" w:rsidP="00D00FB6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636763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636763" w:rsidRPr="00636763">
              <w:rPr>
                <w:rFonts w:ascii="宋体" w:hAnsi="宋体" w:cs="宋体" w:hint="eastAsia"/>
                <w:kern w:val="0"/>
                <w:sz w:val="24"/>
              </w:rPr>
              <w:t>已于4月25日</w:t>
            </w:r>
            <w:r w:rsidR="00F22B81">
              <w:rPr>
                <w:rFonts w:ascii="宋体" w:hAnsi="宋体" w:cs="宋体" w:hint="eastAsia"/>
                <w:kern w:val="0"/>
                <w:sz w:val="24"/>
              </w:rPr>
              <w:t>顺利</w:t>
            </w:r>
            <w:r w:rsidR="00636763" w:rsidRPr="00636763"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="00636763">
              <w:rPr>
                <w:rFonts w:ascii="宋体" w:hAnsi="宋体" w:cs="宋体" w:hint="eastAsia"/>
                <w:kern w:val="0"/>
                <w:sz w:val="24"/>
              </w:rPr>
              <w:t>和黄药业的交割</w:t>
            </w:r>
            <w:r w:rsidR="001F301A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636763">
              <w:rPr>
                <w:rFonts w:ascii="宋体" w:hAnsi="宋体" w:cs="宋体" w:hint="eastAsia"/>
                <w:kern w:val="0"/>
                <w:sz w:val="24"/>
              </w:rPr>
              <w:t>，并启动“百日”融合计划，本次交易所带来的长远价值</w:t>
            </w:r>
            <w:r w:rsidR="001F301A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F22B81">
              <w:rPr>
                <w:rFonts w:ascii="宋体" w:hAnsi="宋体" w:cs="宋体" w:hint="eastAsia"/>
                <w:kern w:val="0"/>
                <w:sz w:val="24"/>
              </w:rPr>
              <w:t>体</w:t>
            </w:r>
            <w:r w:rsidR="00636763">
              <w:rPr>
                <w:rFonts w:ascii="宋体" w:hAnsi="宋体" w:cs="宋体" w:hint="eastAsia"/>
                <w:kern w:val="0"/>
                <w:sz w:val="24"/>
              </w:rPr>
              <w:t>现在两个方面</w:t>
            </w:r>
            <w:r w:rsidR="00F22B8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36763">
              <w:rPr>
                <w:rFonts w:ascii="宋体" w:hAnsi="宋体" w:cs="宋体" w:hint="eastAsia"/>
                <w:kern w:val="0"/>
                <w:sz w:val="24"/>
              </w:rPr>
              <w:t>其一是为公司引入麝香保心丸、胆宁片等市场表现较好的重磅品</w:t>
            </w:r>
            <w:r w:rsidR="00636763">
              <w:rPr>
                <w:rFonts w:ascii="宋体" w:hAnsi="宋体" w:cs="宋体" w:hint="eastAsia"/>
                <w:kern w:val="0"/>
                <w:sz w:val="24"/>
              </w:rPr>
              <w:lastRenderedPageBreak/>
              <w:t>种；</w:t>
            </w:r>
            <w:r w:rsidR="00996866" w:rsidRPr="00996866">
              <w:rPr>
                <w:rFonts w:ascii="宋体" w:hAnsi="宋体" w:cs="宋体" w:hint="eastAsia"/>
                <w:kern w:val="0"/>
                <w:sz w:val="24"/>
              </w:rPr>
              <w:t>其二是</w:t>
            </w:r>
            <w:r w:rsidR="00996866"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="00996866" w:rsidRPr="00996866">
              <w:rPr>
                <w:rFonts w:ascii="宋体" w:hAnsi="宋体" w:cs="宋体" w:hint="eastAsia"/>
                <w:kern w:val="0"/>
                <w:sz w:val="24"/>
              </w:rPr>
              <w:t>黄药业的营销体系具备强大的终端覆盖能力，其学术能力突出且专注于终端市场的千人营销团队，将为公司心血管类产品提供广阔的协同空间。未来，公司将在确保</w:t>
            </w:r>
            <w:r w:rsidR="00685174"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="00996866" w:rsidRPr="00996866">
              <w:rPr>
                <w:rFonts w:ascii="宋体" w:hAnsi="宋体" w:cs="宋体" w:hint="eastAsia"/>
                <w:kern w:val="0"/>
                <w:sz w:val="24"/>
              </w:rPr>
              <w:t>黄药业现有业务持续稳定增长的基础上，充分整合研发、生产、营销等各方资源，进一步强化公司在中药领域的核心竞争力。</w:t>
            </w:r>
          </w:p>
          <w:p w14:paraId="69A00556" w14:textId="5C81909E" w:rsidR="000E6C03" w:rsidRDefault="000E6C03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5B8AF6" w14:textId="4BC3DA50" w:rsidR="00DC5261" w:rsidRDefault="00DC5261" w:rsidP="00DC5261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996866" w:rsidRPr="0099686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公司在商业创新业务方面的发展情况</w:t>
            </w:r>
            <w:r w:rsidR="0099686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如何？</w:t>
            </w:r>
          </w:p>
          <w:p w14:paraId="7195F5CE" w14:textId="0AEC2C98" w:rsidR="00DC5261" w:rsidRPr="00DC5261" w:rsidRDefault="00DC5261" w:rsidP="00AA03E2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392451">
              <w:rPr>
                <w:rFonts w:ascii="宋体" w:hAnsi="宋体" w:cs="宋体" w:hint="eastAsia"/>
                <w:kern w:val="0"/>
                <w:sz w:val="24"/>
              </w:rPr>
              <w:t>得益于公司早年进行的多元化业务布局，使得公司商业板块业绩持续向好。其中，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不断完善多口岸进口服务能力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2025年上半年，公司新增进口总代品</w:t>
            </w:r>
            <w:r w:rsidR="00E91B5E">
              <w:rPr>
                <w:rFonts w:ascii="宋体" w:hAnsi="宋体" w:cs="宋体" w:hint="eastAsia"/>
                <w:kern w:val="0"/>
                <w:sz w:val="24"/>
              </w:rPr>
              <w:t>规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25个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进口总代业务实现销售收入175亿元，同比增长11.7%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；公司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为全球医药企业创新产品提供全链条一站式服务，2025年上半年，公司医药商业创新药</w:t>
            </w:r>
            <w:r w:rsidR="00E91B5E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实现销售</w:t>
            </w:r>
            <w:r w:rsidR="00A62499">
              <w:rPr>
                <w:rFonts w:ascii="宋体" w:hAnsi="宋体" w:cs="宋体" w:hint="eastAsia"/>
                <w:kern w:val="0"/>
                <w:sz w:val="24"/>
              </w:rPr>
              <w:t>收入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242亿元，同比增</w:t>
            </w:r>
            <w:r w:rsidR="00A62499">
              <w:rPr>
                <w:rFonts w:ascii="宋体" w:hAnsi="宋体" w:cs="宋体" w:hint="eastAsia"/>
                <w:kern w:val="0"/>
                <w:sz w:val="24"/>
              </w:rPr>
              <w:t>长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22.6%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E91B5E">
              <w:rPr>
                <w:rFonts w:ascii="宋体" w:hAnsi="宋体" w:cs="宋体" w:hint="eastAsia"/>
                <w:kern w:val="0"/>
                <w:sz w:val="24"/>
              </w:rPr>
              <w:t>早年布局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CSO合约销售服务，帮助制药企业以更具成本效益的方式拓展市场，加速市场覆盖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，2</w:t>
            </w:r>
            <w:r w:rsidR="00FF6748">
              <w:rPr>
                <w:rFonts w:ascii="宋体" w:hAnsi="宋体" w:cs="宋体"/>
                <w:kern w:val="0"/>
                <w:sz w:val="24"/>
              </w:rPr>
              <w:t>025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年上半年</w:t>
            </w:r>
            <w:r w:rsidR="00AD00D0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公司C</w:t>
            </w:r>
            <w:r w:rsidR="00FF6748">
              <w:rPr>
                <w:rFonts w:ascii="宋体" w:hAnsi="宋体" w:cs="宋体"/>
                <w:kern w:val="0"/>
                <w:sz w:val="24"/>
              </w:rPr>
              <w:t>SO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="00FF6748" w:rsidRPr="00FF6748">
              <w:rPr>
                <w:rFonts w:ascii="宋体" w:hAnsi="宋体" w:cs="宋体" w:hint="eastAsia"/>
                <w:kern w:val="0"/>
                <w:sz w:val="24"/>
              </w:rPr>
              <w:t>合作产品数量持续增加，服务规模持续增长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2C1E584F" w14:textId="77777777" w:rsidR="00DC5261" w:rsidRPr="00DC5261" w:rsidRDefault="00DC5261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DF30BE9" w14:textId="06CF288E" w:rsidR="00A8351D" w:rsidRDefault="00380974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A721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</w:t>
            </w:r>
            <w:r w:rsidR="00971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在商业板块的新零售一体化战略如何定位？</w:t>
            </w:r>
          </w:p>
          <w:p w14:paraId="728493B3" w14:textId="33FE2525" w:rsidR="000106BF" w:rsidRDefault="00380974" w:rsidP="009718BA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9718BA" w:rsidRPr="009718BA">
              <w:rPr>
                <w:rFonts w:ascii="宋体" w:hAnsi="宋体" w:cs="宋体" w:hint="eastAsia"/>
                <w:kern w:val="0"/>
                <w:sz w:val="24"/>
              </w:rPr>
              <w:t>“上药新零售一体化战略”，依托旗下零售网络与成熟的供应链体系，深化批零协同，提升新零售战略能级，以“院边药房+DTP专业药房”为重点加快布局，通过上药云健康、华氏大药房、上药院边药房、镁信健康四大业务板块，构建“以患者为</w:t>
            </w:r>
            <w:r w:rsidR="00AD00D0">
              <w:rPr>
                <w:rFonts w:ascii="宋体" w:hAnsi="宋体" w:cs="宋体" w:hint="eastAsia"/>
                <w:kern w:val="0"/>
                <w:sz w:val="24"/>
              </w:rPr>
              <w:t>中</w:t>
            </w:r>
            <w:r w:rsidR="009718BA" w:rsidRPr="009718BA">
              <w:rPr>
                <w:rFonts w:ascii="宋体" w:hAnsi="宋体" w:cs="宋体" w:hint="eastAsia"/>
                <w:kern w:val="0"/>
                <w:sz w:val="24"/>
              </w:rPr>
              <w:t>心”的专业一体化、一站式、闭环式新零售体系。</w:t>
            </w:r>
          </w:p>
          <w:p w14:paraId="72CBEFDD" w14:textId="77777777" w:rsidR="005C258F" w:rsidRPr="009718BA" w:rsidRDefault="005C258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1A80DBA" w14:textId="3D16838E" w:rsidR="004C7EFF" w:rsidRPr="004C7EFF" w:rsidRDefault="004C7EFF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E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9718BA" w:rsidRPr="00971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公司CSO业务后续发展战略</w:t>
            </w:r>
            <w:r w:rsidR="00971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0DC0B169" w14:textId="7B8F48DB" w:rsidR="004C7EFF" w:rsidRDefault="004C7EFF" w:rsidP="00A9117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9718BA">
              <w:rPr>
                <w:rFonts w:ascii="宋体" w:hAnsi="宋体" w:cs="宋体" w:hint="eastAsia"/>
                <w:kern w:val="0"/>
                <w:sz w:val="24"/>
              </w:rPr>
              <w:t>公司商业板块C</w:t>
            </w:r>
            <w:r w:rsidR="009718BA">
              <w:rPr>
                <w:rFonts w:ascii="宋体" w:hAnsi="宋体" w:cs="宋体"/>
                <w:kern w:val="0"/>
                <w:sz w:val="24"/>
              </w:rPr>
              <w:t>SO</w:t>
            </w:r>
            <w:r w:rsidR="009718BA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="00493277">
              <w:rPr>
                <w:rFonts w:ascii="宋体" w:hAnsi="宋体" w:cs="宋体" w:hint="eastAsia"/>
                <w:kern w:val="0"/>
                <w:sz w:val="24"/>
              </w:rPr>
              <w:t>以往</w:t>
            </w:r>
            <w:r w:rsidR="009B5C7A">
              <w:rPr>
                <w:rFonts w:ascii="宋体" w:hAnsi="宋体" w:cs="宋体" w:hint="eastAsia"/>
                <w:kern w:val="0"/>
                <w:sz w:val="24"/>
              </w:rPr>
              <w:t>承接产品主要以跨国企业成熟品种为主。今年，公司进行了突破性的尝试，</w:t>
            </w:r>
            <w:r w:rsidR="009B5C7A" w:rsidRPr="009B5C7A">
              <w:rPr>
                <w:rFonts w:ascii="宋体" w:hAnsi="宋体" w:cs="宋体" w:hint="eastAsia"/>
                <w:kern w:val="0"/>
                <w:sz w:val="24"/>
              </w:rPr>
              <w:t>与博安生物合作其首次上市获批的</w:t>
            </w:r>
            <w:r w:rsidR="00512DB3">
              <w:rPr>
                <w:rFonts w:ascii="宋体" w:hAnsi="宋体" w:cs="宋体" w:hint="eastAsia"/>
                <w:kern w:val="0"/>
                <w:sz w:val="24"/>
              </w:rPr>
              <w:t>创新产品</w:t>
            </w:r>
            <w:r w:rsidR="009B5C7A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9B5C7A" w:rsidRPr="009B5C7A">
              <w:rPr>
                <w:rFonts w:ascii="宋体" w:hAnsi="宋体" w:cs="宋体" w:hint="eastAsia"/>
                <w:kern w:val="0"/>
                <w:sz w:val="24"/>
              </w:rPr>
              <w:t>未来，公司将重点发展CSO团队已具备专业能力的治疗领域，积极引进具有协同效应的产品</w:t>
            </w:r>
            <w:r w:rsidR="00512DB3">
              <w:rPr>
                <w:rFonts w:ascii="宋体" w:hAnsi="宋体" w:cs="宋体" w:hint="eastAsia"/>
                <w:kern w:val="0"/>
                <w:sz w:val="24"/>
              </w:rPr>
              <w:t>，并</w:t>
            </w:r>
            <w:r w:rsidR="009B5C7A" w:rsidRPr="009B5C7A">
              <w:rPr>
                <w:rFonts w:ascii="宋体" w:hAnsi="宋体" w:cs="宋体" w:hint="eastAsia"/>
                <w:kern w:val="0"/>
                <w:sz w:val="24"/>
              </w:rPr>
              <w:t>密切关注国内创新企业在产品商业化方面的需求。</w:t>
            </w:r>
          </w:p>
          <w:p w14:paraId="4313F8CD" w14:textId="77777777" w:rsidR="001E1996" w:rsidRDefault="001E1996" w:rsidP="00A9117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B2B89F" w14:textId="5DEA04B8" w:rsidR="007A316B" w:rsidRPr="004C7EFF" w:rsidRDefault="007A316B" w:rsidP="007A316B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E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</w:t>
            </w:r>
            <w:r w:rsidR="00F92B9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在市值管理工作上有何举措？</w:t>
            </w:r>
          </w:p>
          <w:p w14:paraId="41A0E85C" w14:textId="27CBC6CE" w:rsidR="00F92B9B" w:rsidRDefault="007A316B" w:rsidP="00F92B9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市值管理是公司</w:t>
            </w:r>
            <w:r w:rsidR="00F92B9B" w:rsidRPr="00D83445">
              <w:rPr>
                <w:rFonts w:ascii="宋体" w:hAnsi="宋体" w:cs="宋体" w:hint="eastAsia"/>
                <w:kern w:val="0"/>
                <w:sz w:val="24"/>
              </w:rPr>
              <w:t>长期战略的重要组成部分。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在分红方面，</w:t>
            </w:r>
            <w:r w:rsidR="00F92B9B" w:rsidRPr="00425DBD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十分</w:t>
            </w:r>
            <w:r w:rsidR="00F92B9B" w:rsidRPr="00425DBD">
              <w:rPr>
                <w:rFonts w:ascii="宋体" w:hAnsi="宋体" w:cs="宋体" w:hint="eastAsia"/>
                <w:kern w:val="0"/>
                <w:sz w:val="24"/>
              </w:rPr>
              <w:t>重视股东回报，已连续十几年保持每年30%以上的分红比例，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并在2</w:t>
            </w:r>
            <w:r w:rsidR="00F92B9B">
              <w:rPr>
                <w:rFonts w:ascii="宋体" w:hAnsi="宋体" w:cs="宋体"/>
                <w:kern w:val="0"/>
                <w:sz w:val="24"/>
              </w:rPr>
              <w:t>022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年-</w:t>
            </w:r>
            <w:r w:rsidR="00F92B9B">
              <w:rPr>
                <w:rFonts w:ascii="宋体" w:hAnsi="宋体" w:cs="宋体"/>
                <w:kern w:val="0"/>
                <w:sz w:val="24"/>
              </w:rPr>
              <w:t>2023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年将分红比例提升至4</w:t>
            </w:r>
            <w:r w:rsidR="00F92B9B">
              <w:rPr>
                <w:rFonts w:ascii="宋体" w:hAnsi="宋体" w:cs="宋体"/>
                <w:kern w:val="0"/>
                <w:sz w:val="24"/>
              </w:rPr>
              <w:t>0%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，2</w:t>
            </w:r>
            <w:r w:rsidR="00F92B9B">
              <w:rPr>
                <w:rFonts w:ascii="宋体" w:hAnsi="宋体" w:cs="宋体"/>
                <w:kern w:val="0"/>
                <w:sz w:val="24"/>
              </w:rPr>
              <w:t>024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年增加中期分红，以此回馈广大投资者</w:t>
            </w:r>
            <w:r w:rsidR="00F92B9B" w:rsidRPr="00425DBD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在股权激励方面，公司已于2</w:t>
            </w:r>
            <w:r w:rsidR="00F92B9B">
              <w:rPr>
                <w:rFonts w:ascii="宋体" w:hAnsi="宋体" w:cs="宋体"/>
                <w:kern w:val="0"/>
                <w:sz w:val="24"/>
              </w:rPr>
              <w:t>019</w:t>
            </w:r>
            <w:r w:rsidR="00F92B9B">
              <w:rPr>
                <w:rFonts w:ascii="宋体" w:hAnsi="宋体" w:cs="宋体" w:hint="eastAsia"/>
                <w:kern w:val="0"/>
                <w:sz w:val="24"/>
              </w:rPr>
              <w:t>年通过股东大会正式实行第一期股权激励计划。</w:t>
            </w:r>
            <w:r w:rsidR="00F92B9B" w:rsidRPr="00425DBD">
              <w:rPr>
                <w:rFonts w:ascii="宋体" w:hAnsi="宋体" w:cs="宋体" w:hint="eastAsia"/>
                <w:kern w:val="0"/>
                <w:sz w:val="24"/>
              </w:rPr>
              <w:t>未来，我们将持续通过优化资本</w:t>
            </w:r>
            <w:r w:rsidR="00F92B9B" w:rsidRPr="00425DBD">
              <w:rPr>
                <w:rFonts w:ascii="宋体" w:hAnsi="宋体" w:cs="宋体" w:hint="eastAsia"/>
                <w:kern w:val="0"/>
                <w:sz w:val="24"/>
              </w:rPr>
              <w:lastRenderedPageBreak/>
              <w:t>运作机制、聚焦核心价值创造、构建良性互动机制等方式维护投资者利益与市场信心，为股东创造长期稳健回报。</w:t>
            </w:r>
          </w:p>
          <w:p w14:paraId="2B176AC0" w14:textId="195CD7FC" w:rsidR="00F257D8" w:rsidRPr="00F257D8" w:rsidRDefault="00F257D8" w:rsidP="00F92B9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51D" w14:paraId="5C1AF499" w14:textId="77777777">
        <w:trPr>
          <w:trHeight w:val="102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7293" w14:textId="77777777" w:rsidR="00A8351D" w:rsidRDefault="00380974">
            <w:pPr>
              <w:spacing w:line="440" w:lineRule="exact"/>
              <w:ind w:firstLineChars="50" w:firstLine="1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F10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无</w:t>
            </w:r>
          </w:p>
        </w:tc>
      </w:tr>
      <w:tr w:rsidR="00A8351D" w14:paraId="59AB9622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EF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注意事项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E28" w14:textId="77777777" w:rsidR="00A8351D" w:rsidRDefault="0038097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>公司严格遵守信披规则进行投资者交流，如涉及公司未来计划、发展战略等前瞻性描述，不构成公司对投资者的实质性承诺。</w:t>
            </w:r>
          </w:p>
        </w:tc>
      </w:tr>
    </w:tbl>
    <w:p w14:paraId="26AB79A2" w14:textId="77777777" w:rsidR="00A8351D" w:rsidRDefault="00A8351D">
      <w:pPr>
        <w:spacing w:line="440" w:lineRule="exact"/>
        <w:rPr>
          <w:rStyle w:val="NormalCharacter"/>
          <w:rFonts w:ascii="宋体" w:hAnsi="宋体"/>
          <w:sz w:val="24"/>
        </w:rPr>
      </w:pPr>
    </w:p>
    <w:sectPr w:rsidR="00A8351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3683" w14:textId="77777777" w:rsidR="001B0D29" w:rsidRDefault="001B0D29">
      <w:r>
        <w:separator/>
      </w:r>
    </w:p>
  </w:endnote>
  <w:endnote w:type="continuationSeparator" w:id="0">
    <w:p w14:paraId="19C4FD35" w14:textId="77777777" w:rsidR="001B0D29" w:rsidRDefault="001B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390" w14:textId="77777777" w:rsidR="00A8351D" w:rsidRDefault="00A8351D">
    <w:pPr>
      <w:pStyle w:val="a9"/>
      <w:framePr w:wrap="around" w:hAnchor="text" w:xAlign="center" w:y="1"/>
      <w:rPr>
        <w:rStyle w:val="PageNumber"/>
      </w:rPr>
    </w:pPr>
  </w:p>
  <w:p w14:paraId="7914E9DE" w14:textId="77777777" w:rsidR="00A8351D" w:rsidRDefault="00A8351D">
    <w:pPr>
      <w:pStyle w:val="a9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52AF" w14:textId="77777777" w:rsidR="00A8351D" w:rsidRDefault="003809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E07" w:rsidRPr="00475E07">
      <w:rPr>
        <w:noProof/>
        <w:lang w:val="zh-CN"/>
      </w:rPr>
      <w:t>2</w:t>
    </w:r>
    <w:r>
      <w:rPr>
        <w:lang w:val="zh-CN"/>
      </w:rPr>
      <w:fldChar w:fldCharType="end"/>
    </w:r>
  </w:p>
  <w:p w14:paraId="098BCA03" w14:textId="77777777" w:rsidR="00A8351D" w:rsidRDefault="00A8351D">
    <w:pPr>
      <w:pStyle w:val="a9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40FB" w14:textId="77777777" w:rsidR="001B0D29" w:rsidRDefault="001B0D29">
      <w:r>
        <w:separator/>
      </w:r>
    </w:p>
  </w:footnote>
  <w:footnote w:type="continuationSeparator" w:id="0">
    <w:p w14:paraId="155BCB1C" w14:textId="77777777" w:rsidR="001B0D29" w:rsidRDefault="001B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AFDF" w14:textId="77777777" w:rsidR="00A8351D" w:rsidRDefault="00A8351D">
    <w:pPr>
      <w:pStyle w:val="ab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D"/>
    <w:rsid w:val="00002948"/>
    <w:rsid w:val="000106BF"/>
    <w:rsid w:val="0001661F"/>
    <w:rsid w:val="000311C7"/>
    <w:rsid w:val="00080BA0"/>
    <w:rsid w:val="00095809"/>
    <w:rsid w:val="000A1111"/>
    <w:rsid w:val="000C281C"/>
    <w:rsid w:val="000E6C03"/>
    <w:rsid w:val="000F5020"/>
    <w:rsid w:val="00103072"/>
    <w:rsid w:val="00114041"/>
    <w:rsid w:val="001221D9"/>
    <w:rsid w:val="00126C8E"/>
    <w:rsid w:val="0013667A"/>
    <w:rsid w:val="00141D46"/>
    <w:rsid w:val="001B0D29"/>
    <w:rsid w:val="001B5951"/>
    <w:rsid w:val="001C0AD0"/>
    <w:rsid w:val="001C5440"/>
    <w:rsid w:val="001E1996"/>
    <w:rsid w:val="001E580A"/>
    <w:rsid w:val="001F301A"/>
    <w:rsid w:val="0024108E"/>
    <w:rsid w:val="00267287"/>
    <w:rsid w:val="00270410"/>
    <w:rsid w:val="002839D7"/>
    <w:rsid w:val="00292E82"/>
    <w:rsid w:val="002B01D8"/>
    <w:rsid w:val="002B0A2A"/>
    <w:rsid w:val="002B1884"/>
    <w:rsid w:val="002B58AA"/>
    <w:rsid w:val="002D3F5B"/>
    <w:rsid w:val="00301D24"/>
    <w:rsid w:val="00337A0C"/>
    <w:rsid w:val="00342020"/>
    <w:rsid w:val="0036497F"/>
    <w:rsid w:val="00380974"/>
    <w:rsid w:val="00390DD1"/>
    <w:rsid w:val="00392451"/>
    <w:rsid w:val="003B66B3"/>
    <w:rsid w:val="003D4770"/>
    <w:rsid w:val="003E6A30"/>
    <w:rsid w:val="00415117"/>
    <w:rsid w:val="00415BD0"/>
    <w:rsid w:val="00425DBD"/>
    <w:rsid w:val="0045403E"/>
    <w:rsid w:val="0046361B"/>
    <w:rsid w:val="004640E2"/>
    <w:rsid w:val="00475E07"/>
    <w:rsid w:val="00493277"/>
    <w:rsid w:val="0049785A"/>
    <w:rsid w:val="004C2BF9"/>
    <w:rsid w:val="004C3851"/>
    <w:rsid w:val="004C7EFF"/>
    <w:rsid w:val="005039AE"/>
    <w:rsid w:val="00507760"/>
    <w:rsid w:val="00512DB3"/>
    <w:rsid w:val="00545187"/>
    <w:rsid w:val="0059383F"/>
    <w:rsid w:val="005A36D5"/>
    <w:rsid w:val="005C258F"/>
    <w:rsid w:val="005C3303"/>
    <w:rsid w:val="005D37C3"/>
    <w:rsid w:val="005F0A09"/>
    <w:rsid w:val="005F730B"/>
    <w:rsid w:val="00603B34"/>
    <w:rsid w:val="00636763"/>
    <w:rsid w:val="00650C64"/>
    <w:rsid w:val="00655176"/>
    <w:rsid w:val="00656AE9"/>
    <w:rsid w:val="00656AF1"/>
    <w:rsid w:val="00681F25"/>
    <w:rsid w:val="00685174"/>
    <w:rsid w:val="006A0538"/>
    <w:rsid w:val="006A40C0"/>
    <w:rsid w:val="006A4104"/>
    <w:rsid w:val="006B0648"/>
    <w:rsid w:val="006B4976"/>
    <w:rsid w:val="006C2357"/>
    <w:rsid w:val="006E1B0B"/>
    <w:rsid w:val="00701239"/>
    <w:rsid w:val="007079FB"/>
    <w:rsid w:val="007220FC"/>
    <w:rsid w:val="0073265E"/>
    <w:rsid w:val="00756FF9"/>
    <w:rsid w:val="00787BA2"/>
    <w:rsid w:val="007A316B"/>
    <w:rsid w:val="007B636C"/>
    <w:rsid w:val="007E44E6"/>
    <w:rsid w:val="007F1898"/>
    <w:rsid w:val="0080001D"/>
    <w:rsid w:val="00814479"/>
    <w:rsid w:val="0086505D"/>
    <w:rsid w:val="0088087C"/>
    <w:rsid w:val="0089640C"/>
    <w:rsid w:val="008D6D12"/>
    <w:rsid w:val="008D74E3"/>
    <w:rsid w:val="008E27E7"/>
    <w:rsid w:val="00913BDB"/>
    <w:rsid w:val="00932880"/>
    <w:rsid w:val="00943B43"/>
    <w:rsid w:val="009454CC"/>
    <w:rsid w:val="00962505"/>
    <w:rsid w:val="00967E3C"/>
    <w:rsid w:val="009718BA"/>
    <w:rsid w:val="00972248"/>
    <w:rsid w:val="00980644"/>
    <w:rsid w:val="00982269"/>
    <w:rsid w:val="00996866"/>
    <w:rsid w:val="009A7E6A"/>
    <w:rsid w:val="009B5C7A"/>
    <w:rsid w:val="009B6B70"/>
    <w:rsid w:val="009E6B7B"/>
    <w:rsid w:val="009F6633"/>
    <w:rsid w:val="00A12E56"/>
    <w:rsid w:val="00A40C32"/>
    <w:rsid w:val="00A4306B"/>
    <w:rsid w:val="00A62499"/>
    <w:rsid w:val="00A721E6"/>
    <w:rsid w:val="00A8351D"/>
    <w:rsid w:val="00A91173"/>
    <w:rsid w:val="00AA03E2"/>
    <w:rsid w:val="00AB7776"/>
    <w:rsid w:val="00AD00D0"/>
    <w:rsid w:val="00AE2E6D"/>
    <w:rsid w:val="00AF3F28"/>
    <w:rsid w:val="00B0075C"/>
    <w:rsid w:val="00B35268"/>
    <w:rsid w:val="00B46F47"/>
    <w:rsid w:val="00B52F84"/>
    <w:rsid w:val="00B961D5"/>
    <w:rsid w:val="00BA1E4C"/>
    <w:rsid w:val="00BB2815"/>
    <w:rsid w:val="00BE6BA6"/>
    <w:rsid w:val="00BF497A"/>
    <w:rsid w:val="00C5229A"/>
    <w:rsid w:val="00C65775"/>
    <w:rsid w:val="00C85A56"/>
    <w:rsid w:val="00C90452"/>
    <w:rsid w:val="00C92DBB"/>
    <w:rsid w:val="00CA295D"/>
    <w:rsid w:val="00CC486C"/>
    <w:rsid w:val="00CF03B1"/>
    <w:rsid w:val="00D00FB6"/>
    <w:rsid w:val="00D07094"/>
    <w:rsid w:val="00D142A2"/>
    <w:rsid w:val="00D458C2"/>
    <w:rsid w:val="00D46729"/>
    <w:rsid w:val="00D61FE4"/>
    <w:rsid w:val="00D642F8"/>
    <w:rsid w:val="00D64DA0"/>
    <w:rsid w:val="00D73FC5"/>
    <w:rsid w:val="00D83445"/>
    <w:rsid w:val="00D92A51"/>
    <w:rsid w:val="00DC5261"/>
    <w:rsid w:val="00DF015E"/>
    <w:rsid w:val="00E10ABA"/>
    <w:rsid w:val="00E472C9"/>
    <w:rsid w:val="00E70919"/>
    <w:rsid w:val="00E82F2B"/>
    <w:rsid w:val="00E905C1"/>
    <w:rsid w:val="00E91B5E"/>
    <w:rsid w:val="00EB794B"/>
    <w:rsid w:val="00ED554D"/>
    <w:rsid w:val="00F04AE7"/>
    <w:rsid w:val="00F22B81"/>
    <w:rsid w:val="00F23045"/>
    <w:rsid w:val="00F257D8"/>
    <w:rsid w:val="00F32217"/>
    <w:rsid w:val="00F55F16"/>
    <w:rsid w:val="00F67BA1"/>
    <w:rsid w:val="00F92B9B"/>
    <w:rsid w:val="00F96A22"/>
    <w:rsid w:val="00FC1FA4"/>
    <w:rsid w:val="00FF19BD"/>
    <w:rsid w:val="00FF6748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FD3AB"/>
  <w15:docId w15:val="{1F94E835-AE56-4DFD-BFB6-2E8D0FB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widowControl w:val="0"/>
      <w:ind w:leftChars="2500" w:left="100"/>
      <w:textAlignment w:val="auto"/>
    </w:pPr>
    <w:rPr>
      <w:rFonts w:ascii="等线" w:eastAsia="等线" w:hAnsi="等线" w:cs="宋体"/>
      <w:szCs w:val="22"/>
    </w:rPr>
  </w:style>
  <w:style w:type="paragraph" w:styleId="a7">
    <w:name w:val="Balloon Text"/>
    <w:basedOn w:val="a"/>
    <w:link w:val="a8"/>
    <w:uiPriority w:val="99"/>
    <w:qFormat/>
    <w:pPr>
      <w:widowControl w:val="0"/>
      <w:textAlignment w:val="auto"/>
    </w:pPr>
    <w:rPr>
      <w:rFonts w:ascii="等线" w:eastAsia="等线" w:hAnsi="等线" w:cs="宋体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Pr>
      <w:color w:val="CC0000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BodyTextIndent">
    <w:name w:val="BodyTextIndent"/>
    <w:basedOn w:val="a"/>
    <w:qFormat/>
    <w:pPr>
      <w:spacing w:after="120"/>
      <w:ind w:leftChars="200" w:left="200"/>
    </w:pPr>
    <w:rPr>
      <w:szCs w:val="20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  <w:qFormat/>
    <w:pPr>
      <w:tabs>
        <w:tab w:val="left" w:pos="720"/>
      </w:tabs>
      <w:ind w:left="720" w:hanging="720"/>
    </w:pPr>
    <w:rPr>
      <w:sz w:val="18"/>
      <w:szCs w:val="18"/>
    </w:rPr>
  </w:style>
  <w:style w:type="paragraph" w:customStyle="1" w:styleId="UserStyle3">
    <w:name w:val="UserStyle_3"/>
    <w:basedOn w:val="a"/>
    <w:qFormat/>
    <w:rPr>
      <w:rFonts w:ascii="仿宋_GB2312" w:eastAsia="仿宋_GB2312"/>
      <w:sz w:val="32"/>
      <w:szCs w:val="32"/>
    </w:rPr>
  </w:style>
  <w:style w:type="table" w:customStyle="1" w:styleId="TableGrid">
    <w:name w:val="TableGrid"/>
    <w:basedOn w:val="TableNormal"/>
    <w:qFormat/>
    <w:tblPr/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link w:val="Char"/>
    <w:uiPriority w:val="34"/>
    <w:qFormat/>
    <w:pPr>
      <w:widowControl w:val="0"/>
      <w:ind w:firstLineChars="200" w:firstLine="420"/>
      <w:textAlignment w:val="auto"/>
    </w:pPr>
    <w:rPr>
      <w:rFonts w:ascii="等线" w:eastAsia="等线" w:hAnsi="等线" w:cs="宋体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paragraph" w:customStyle="1" w:styleId="11">
    <w:name w:val="修订1"/>
    <w:uiPriority w:val="99"/>
    <w:qFormat/>
    <w:rPr>
      <w:kern w:val="2"/>
      <w:sz w:val="21"/>
      <w:szCs w:val="24"/>
    </w:rPr>
  </w:style>
  <w:style w:type="character" w:customStyle="1" w:styleId="Char">
    <w:name w:val="列出段落 Char"/>
    <w:link w:val="1"/>
    <w:uiPriority w:val="34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qFormat/>
    <w:rPr>
      <w:b/>
      <w:bCs/>
      <w:kern w:val="2"/>
      <w:sz w:val="21"/>
      <w:szCs w:val="24"/>
    </w:rPr>
  </w:style>
  <w:style w:type="paragraph" w:customStyle="1" w:styleId="3">
    <w:name w:val="修订3"/>
    <w:uiPriority w:val="99"/>
    <w:qFormat/>
    <w:rPr>
      <w:kern w:val="2"/>
      <w:sz w:val="21"/>
      <w:szCs w:val="24"/>
    </w:rPr>
  </w:style>
  <w:style w:type="paragraph" w:styleId="af3">
    <w:name w:val="Revision"/>
    <w:uiPriority w:val="99"/>
    <w:rPr>
      <w:kern w:val="2"/>
      <w:sz w:val="21"/>
      <w:szCs w:val="24"/>
    </w:rPr>
  </w:style>
  <w:style w:type="paragraph" w:customStyle="1" w:styleId="paragraph">
    <w:name w:val="paragraph"/>
    <w:basedOn w:val="a"/>
    <w:pPr>
      <w:spacing w:before="100" w:beforeAutospacing="1" w:after="100" w:afterAutospacing="1"/>
      <w:jc w:val="left"/>
      <w:textAlignment w:val="auto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DC74-7649-4853-9304-E7E5C139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280</Words>
  <Characters>1602</Characters>
  <Application>Microsoft Office Word</Application>
  <DocSecurity>0</DocSecurity>
  <Lines>13</Lines>
  <Paragraphs>3</Paragraphs>
  <ScaleCrop>false</ScaleCrop>
  <Company>SPH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王梓安</cp:lastModifiedBy>
  <cp:revision>21</cp:revision>
  <cp:lastPrinted>2025-09-02T09:27:00Z</cp:lastPrinted>
  <dcterms:created xsi:type="dcterms:W3CDTF">2025-07-31T06:44:00Z</dcterms:created>
  <dcterms:modified xsi:type="dcterms:W3CDTF">2025-09-02T09:32:00Z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de453fe5526f468199e8e26f8f97153b_23</vt:lpwstr>
  </property>
</Properties>
</file>