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414DE">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600458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时代新材</w:t>
      </w:r>
    </w:p>
    <w:p w14:paraId="6D1C00C9">
      <w:pPr>
        <w:spacing w:line="360" w:lineRule="auto"/>
        <w:jc w:val="center"/>
        <w:rPr>
          <w:rFonts w:ascii="宋体" w:hAnsi="宋体" w:eastAsia="宋体" w:cs="宋体"/>
          <w:b/>
          <w:bCs/>
          <w:sz w:val="44"/>
          <w:szCs w:val="44"/>
        </w:rPr>
      </w:pPr>
    </w:p>
    <w:p w14:paraId="5295E2E5">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株洲时代新材料科技股份有限公司</w:t>
      </w:r>
    </w:p>
    <w:p w14:paraId="62DB4F01">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1BABD11">
      <w:pPr>
        <w:wordWrap w:val="0"/>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5</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9</w:t>
      </w: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04C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FCF2B2B">
            <w:pPr>
              <w:pStyle w:val="12"/>
              <w:spacing w:before="7"/>
              <w:rPr>
                <w:rFonts w:ascii="宋体" w:hAnsi="宋体" w:eastAsia="宋体" w:cs="宋体"/>
                <w:b/>
                <w:bCs/>
                <w:sz w:val="20"/>
                <w:szCs w:val="20"/>
              </w:rPr>
            </w:pPr>
          </w:p>
          <w:p w14:paraId="34ADB77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49F6C64">
            <w:pPr>
              <w:pStyle w:val="12"/>
              <w:spacing w:before="7"/>
              <w:rPr>
                <w:rFonts w:ascii="宋体" w:hAnsi="宋体" w:eastAsia="宋体" w:cs="宋体"/>
                <w:sz w:val="20"/>
                <w:szCs w:val="20"/>
              </w:rPr>
            </w:pPr>
          </w:p>
          <w:p w14:paraId="55E45965">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AFD5815">
            <w:pPr>
              <w:pStyle w:val="12"/>
              <w:spacing w:before="11"/>
              <w:rPr>
                <w:rFonts w:ascii="宋体" w:hAnsi="宋体" w:eastAsia="宋体" w:cs="宋体"/>
                <w:sz w:val="20"/>
                <w:szCs w:val="20"/>
              </w:rPr>
            </w:pPr>
          </w:p>
          <w:p w14:paraId="559428DC">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1D8C276">
            <w:pPr>
              <w:pStyle w:val="12"/>
              <w:spacing w:before="8"/>
              <w:rPr>
                <w:rFonts w:ascii="宋体" w:hAnsi="宋体" w:eastAsia="宋体" w:cs="宋体"/>
                <w:sz w:val="20"/>
                <w:szCs w:val="20"/>
              </w:rPr>
            </w:pPr>
          </w:p>
          <w:p w14:paraId="1266BEE8">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B024376">
            <w:pPr>
              <w:pStyle w:val="12"/>
              <w:spacing w:before="8"/>
              <w:rPr>
                <w:rFonts w:ascii="宋体" w:hAnsi="宋体" w:eastAsia="宋体" w:cs="宋体"/>
                <w:sz w:val="20"/>
                <w:szCs w:val="20"/>
              </w:rPr>
            </w:pPr>
          </w:p>
          <w:p w14:paraId="3DD7A8F0">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715BB122">
            <w:pPr>
              <w:pStyle w:val="12"/>
              <w:spacing w:before="11"/>
              <w:rPr>
                <w:rFonts w:ascii="宋体" w:hAnsi="宋体" w:eastAsia="宋体" w:cs="宋体"/>
                <w:sz w:val="20"/>
                <w:szCs w:val="20"/>
              </w:rPr>
            </w:pPr>
          </w:p>
          <w:p w14:paraId="581254B5">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069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2953C5AE">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3EC4DC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线上参与本次会议的全体投资者</w:t>
            </w:r>
          </w:p>
        </w:tc>
      </w:tr>
      <w:tr w14:paraId="79CE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EA55E70">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B3FB5A2">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日 15:</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0-16:</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0</w:t>
            </w:r>
          </w:p>
        </w:tc>
      </w:tr>
      <w:tr w14:paraId="1F7A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A176D88">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D698E5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进门财经平台（https://s.comein.cn/jafvnhhm）</w:t>
            </w:r>
          </w:p>
        </w:tc>
      </w:tr>
      <w:tr w14:paraId="4179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38694A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931E2D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彭华文</w:t>
            </w:r>
            <w:r>
              <w:rPr>
                <w:rFonts w:ascii="宋体" w:hAnsi="宋体" w:eastAsia="宋体" w:cs="宋体"/>
                <w:sz w:val="20"/>
                <w:szCs w:val="20"/>
              </w:rPr>
              <w:br w:type="textWrapping"/>
            </w:r>
            <w:r>
              <w:rPr>
                <w:rFonts w:ascii="宋体" w:hAnsi="宋体" w:eastAsia="宋体" w:cs="宋体"/>
                <w:sz w:val="20"/>
                <w:szCs w:val="20"/>
              </w:rPr>
              <w:t>独立董事 周志方</w:t>
            </w:r>
            <w:r>
              <w:rPr>
                <w:rFonts w:ascii="宋体" w:hAnsi="宋体" w:eastAsia="宋体" w:cs="宋体"/>
                <w:sz w:val="20"/>
                <w:szCs w:val="20"/>
              </w:rPr>
              <w:br w:type="textWrapping"/>
            </w:r>
            <w:r>
              <w:rPr>
                <w:rFonts w:ascii="宋体" w:hAnsi="宋体" w:eastAsia="宋体" w:cs="宋体"/>
                <w:sz w:val="20"/>
                <w:szCs w:val="20"/>
              </w:rPr>
              <w:t xml:space="preserve">副总经理、财务总监 </w:t>
            </w:r>
            <w:r>
              <w:rPr>
                <w:rFonts w:hint="eastAsia" w:ascii="宋体" w:hAnsi="宋体" w:eastAsia="宋体" w:cs="宋体"/>
                <w:sz w:val="20"/>
                <w:szCs w:val="20"/>
                <w:lang w:val="en-US" w:eastAsia="zh-CN"/>
              </w:rPr>
              <w:t>卢雄文</w:t>
            </w:r>
            <w:r>
              <w:rPr>
                <w:rFonts w:ascii="宋体" w:hAnsi="宋体" w:eastAsia="宋体" w:cs="宋体"/>
                <w:sz w:val="20"/>
                <w:szCs w:val="20"/>
              </w:rPr>
              <w:br w:type="textWrapping"/>
            </w:r>
            <w:r>
              <w:rPr>
                <w:rFonts w:ascii="宋体" w:hAnsi="宋体" w:eastAsia="宋体" w:cs="宋体"/>
                <w:sz w:val="20"/>
                <w:szCs w:val="20"/>
              </w:rPr>
              <w:t>董事会秘书 夏智</w:t>
            </w:r>
          </w:p>
        </w:tc>
      </w:tr>
      <w:tr w14:paraId="43FB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EAF6BDE">
            <w:pPr>
              <w:pStyle w:val="12"/>
              <w:rPr>
                <w:rFonts w:ascii="宋体" w:hAnsi="宋体" w:eastAsia="宋体" w:cs="宋体"/>
                <w:b/>
                <w:bCs/>
                <w:sz w:val="20"/>
                <w:szCs w:val="20"/>
              </w:rPr>
            </w:pPr>
          </w:p>
          <w:p w14:paraId="46EC6459">
            <w:pPr>
              <w:pStyle w:val="12"/>
              <w:rPr>
                <w:rFonts w:ascii="宋体" w:hAnsi="宋体" w:eastAsia="宋体" w:cs="宋体"/>
                <w:b/>
                <w:bCs/>
                <w:sz w:val="20"/>
                <w:szCs w:val="20"/>
              </w:rPr>
            </w:pPr>
          </w:p>
          <w:p w14:paraId="0D8910D3">
            <w:pPr>
              <w:pStyle w:val="12"/>
              <w:spacing w:before="5"/>
              <w:rPr>
                <w:rFonts w:ascii="宋体" w:hAnsi="宋体" w:eastAsia="宋体" w:cs="宋体"/>
                <w:b/>
                <w:bCs/>
                <w:sz w:val="20"/>
                <w:szCs w:val="20"/>
              </w:rPr>
            </w:pPr>
          </w:p>
          <w:p w14:paraId="012E4659">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A638A4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sz w:val="20"/>
              </w:rPr>
              <w:t>1.</w:t>
            </w:r>
            <w:r>
              <w:rPr>
                <w:rFonts w:hint="eastAsia" w:ascii="宋体" w:hAnsi="宋体" w:eastAsia="宋体" w:cs="宋体"/>
                <w:b/>
                <w:sz w:val="20"/>
              </w:rPr>
              <w:t>2025 年上半年时代新材整体业绩增长的核心驱动因素是什么？</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03979BB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2025年上半年，时代新材整体业绩增长的核心驱动因素主要是销售收入规模增长。同时，公司通过强化应收账款全周期管理， 成功化解并收回历史应收款项。</w:t>
            </w:r>
          </w:p>
          <w:p w14:paraId="7B8C617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sz w:val="20"/>
              </w:rPr>
            </w:pPr>
            <w:r>
              <w:rPr>
                <w:rFonts w:hint="eastAsia"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2.</w:t>
            </w:r>
            <w:r>
              <w:rPr>
                <w:rFonts w:hint="eastAsia" w:ascii="宋体" w:hAnsi="宋体" w:eastAsia="宋体" w:cs="宋体"/>
                <w:b/>
                <w:sz w:val="20"/>
              </w:rPr>
              <w:t>新材料及其他板块 2025 年上半年表现亮眼，下半年及未来产能规划如何？</w:t>
            </w:r>
          </w:p>
          <w:p w14:paraId="5F8FE49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val="0"/>
                <w:sz w:val="20"/>
              </w:rPr>
              <w:t xml:space="preserve">    答:</w:t>
            </w:r>
            <w:r>
              <w:rPr>
                <w:rFonts w:hint="eastAsia" w:ascii="宋体" w:hAnsi="宋体" w:eastAsia="宋体" w:cs="宋体"/>
                <w:b w:val="0"/>
                <w:sz w:val="20"/>
              </w:rPr>
              <w:t>尊敬的投资者，您好！</w:t>
            </w:r>
          </w:p>
          <w:p w14:paraId="18D9C6E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公司新材料及其他板块相关产品主要运用于储能、动力电池及风电领域，受行业周期及公司产能下半年进一步爬坡的影响，预计下半年收入将维持快速增长趋势。</w:t>
            </w:r>
          </w:p>
          <w:p w14:paraId="23CEB72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近期产能规划：新材料株洲基地已经完成建成投产，目前正在推进新材料宜宾基地建设，该基地聚焦电池 pack、高压 RTM 及有机硅制品，预计在2025 年年内可实现就近配套。</w:t>
            </w:r>
          </w:p>
          <w:p w14:paraId="4151821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感谢您的关注！</w:t>
            </w:r>
          </w:p>
          <w:p w14:paraId="715A0C0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sz w:val="20"/>
              </w:rPr>
              <w:t>3.</w:t>
            </w:r>
            <w:r>
              <w:rPr>
                <w:rFonts w:hint="eastAsia" w:ascii="宋体" w:hAnsi="宋体" w:eastAsia="宋体" w:cs="宋体"/>
                <w:b/>
                <w:sz w:val="20"/>
              </w:rPr>
              <w:t>风电叶片板块 2025 年下半年能否实现更好的盈利表现？</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586762F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根据公司目前在手订单及产能情况，预计下半年风电叶片产品销售收入交付量较上半年将大幅增加，产线利用率提高，叶片下半年盈利水平将有所提高。</w:t>
            </w:r>
          </w:p>
          <w:p w14:paraId="3B5CFF7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4.</w:t>
            </w:r>
            <w:r>
              <w:rPr>
                <w:rFonts w:hint="eastAsia" w:ascii="宋体" w:hAnsi="宋体" w:eastAsia="宋体" w:cs="宋体"/>
                <w:b/>
                <w:sz w:val="20"/>
              </w:rPr>
              <w:t>风电板块 2025 年海外出口预期如何？越南基地的定位与进展是什么？</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7CEA878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 xml:space="preserve"> </w:t>
            </w:r>
            <w:r>
              <w:rPr>
                <w:rFonts w:hint="eastAsia" w:ascii="宋体" w:hAnsi="宋体" w:eastAsia="宋体" w:cs="宋体"/>
                <w:b w:val="0"/>
                <w:sz w:val="20"/>
                <w:lang w:val="en-US" w:eastAsia="zh-CN"/>
              </w:rPr>
              <w:t xml:space="preserve">   </w:t>
            </w:r>
            <w:r>
              <w:rPr>
                <w:rFonts w:hint="eastAsia" w:ascii="宋体" w:hAnsi="宋体" w:eastAsia="宋体" w:cs="宋体"/>
                <w:b w:val="0"/>
                <w:sz w:val="20"/>
              </w:rPr>
              <w:t>预计叶片海外出口同比去年将有明显增长，公司越南工厂目前主要定位辐射东南亚市场，计划明年上半年投产。</w:t>
            </w:r>
          </w:p>
          <w:p w14:paraId="06842F0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lang w:val="en-US" w:eastAsia="zh-CN"/>
              </w:rPr>
              <w:t xml:space="preserve">    </w:t>
            </w:r>
            <w:r>
              <w:rPr>
                <w:rFonts w:hint="eastAsia" w:ascii="宋体" w:hAnsi="宋体" w:eastAsia="宋体" w:cs="宋体"/>
                <w:b w:val="0"/>
                <w:sz w:val="20"/>
              </w:rPr>
              <w:t>感谢您的关注</w:t>
            </w:r>
            <w:r>
              <w:rPr>
                <w:rFonts w:hint="eastAsia" w:ascii="宋体" w:hAnsi="宋体" w:eastAsia="宋体" w:cs="宋体"/>
                <w:b w:val="0"/>
                <w:sz w:val="20"/>
                <w:lang w:eastAsia="zh-CN"/>
              </w:rPr>
              <w:t>！</w:t>
            </w:r>
            <w:r>
              <w:rPr>
                <w:rFonts w:ascii="宋体" w:hAnsi="宋体" w:eastAsia="宋体" w:cs="宋体"/>
                <w:b w:val="0"/>
                <w:sz w:val="20"/>
              </w:rPr>
              <w:br w:type="textWrapping"/>
            </w:r>
            <w:r>
              <w:rPr>
                <w:rFonts w:ascii="宋体" w:hAnsi="宋体" w:eastAsia="宋体" w:cs="宋体"/>
                <w:b/>
                <w:sz w:val="20"/>
              </w:rPr>
              <w:t>5.</w:t>
            </w:r>
            <w:r>
              <w:rPr>
                <w:rFonts w:hint="eastAsia" w:ascii="宋体" w:hAnsi="宋体" w:eastAsia="宋体" w:cs="宋体"/>
                <w:b/>
                <w:sz w:val="20"/>
              </w:rPr>
              <w:t>轨道交通与工业工程板块 2025 年上半年利润率逆势提升，核心原因是什么？</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7D9A468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轨道交通与工业工程板块利润率上涨主要原因是由于部分大宗原材料价格下降，以及内部降本增效所致。</w:t>
            </w:r>
          </w:p>
          <w:p w14:paraId="57E97EE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感谢您的关注！</w:t>
            </w:r>
          </w:p>
          <w:p w14:paraId="05BD2A2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sz w:val="20"/>
                <w:lang w:val="en-US" w:eastAsia="zh-CN"/>
              </w:rPr>
              <w:t>6</w:t>
            </w:r>
            <w:r>
              <w:rPr>
                <w:rFonts w:ascii="宋体" w:hAnsi="宋体" w:eastAsia="宋体" w:cs="宋体"/>
                <w:b/>
                <w:sz w:val="20"/>
              </w:rPr>
              <w:t>.</w:t>
            </w:r>
            <w:r>
              <w:rPr>
                <w:rFonts w:hint="eastAsia" w:ascii="宋体" w:hAnsi="宋体" w:eastAsia="宋体" w:cs="宋体"/>
                <w:b/>
                <w:sz w:val="20"/>
              </w:rPr>
              <w:t>轨道交通板块 2025 年上半年收入下降但订单创新高（12.6 亿元），收入下降的具体原因是什么？</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173D64A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上半年轨道交通板块收入下降的原因，主要是受创新中心建设及搬迁的影响，产线进行升级，同时海外业务在欧洲主机厂的认证工作占用了部分产能，导致产能下降，预计下半年将有所回升。</w:t>
            </w:r>
          </w:p>
          <w:p w14:paraId="0C8140A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rPr>
            </w:pPr>
            <w:r>
              <w:rPr>
                <w:rFonts w:hint="eastAsia" w:ascii="宋体" w:hAnsi="宋体" w:eastAsia="宋体" w:cs="宋体"/>
                <w:b w:val="0"/>
                <w:sz w:val="20"/>
              </w:rPr>
              <w:t>感谢您的关注！</w:t>
            </w:r>
          </w:p>
        </w:tc>
      </w:tr>
      <w:tr w14:paraId="4139D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8B950D2">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DCD40F7">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33249C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46E8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5D612E5">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4EBD28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F56F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7220EFE">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5139EE4">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年</w:t>
            </w:r>
            <w:r>
              <w:rPr>
                <w:rFonts w:hint="eastAsia" w:ascii="宋体" w:hAnsi="宋体" w:eastAsia="宋体" w:cs="宋体"/>
                <w:sz w:val="20"/>
                <w:szCs w:val="20"/>
                <w:lang w:val="en-US" w:eastAsia="zh-CN"/>
              </w:rPr>
              <w:t>9</w:t>
            </w:r>
            <w:r>
              <w:rPr>
                <w:rFonts w:ascii="宋体" w:hAnsi="宋体" w:eastAsia="宋体" w:cs="宋体"/>
                <w:sz w:val="20"/>
                <w:szCs w:val="20"/>
              </w:rPr>
              <w:t>月</w:t>
            </w:r>
            <w:r>
              <w:rPr>
                <w:rFonts w:hint="eastAsia" w:ascii="宋体" w:hAnsi="宋体" w:eastAsia="宋体" w:cs="宋体"/>
                <w:sz w:val="20"/>
                <w:szCs w:val="20"/>
                <w:lang w:val="en-US" w:eastAsia="zh-CN"/>
              </w:rPr>
              <w:t>3</w:t>
            </w:r>
            <w:r>
              <w:rPr>
                <w:rFonts w:ascii="宋体" w:hAnsi="宋体" w:eastAsia="宋体" w:cs="宋体"/>
                <w:sz w:val="20"/>
                <w:szCs w:val="20"/>
              </w:rPr>
              <w:t>日</w:t>
            </w:r>
          </w:p>
        </w:tc>
      </w:tr>
    </w:tbl>
    <w:p w14:paraId="4F74629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xYzY1ZjczOGFjMDQ3ZmRiZmM2NTQwNjRlNDU1Ym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3C839C3"/>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2E86CDC"/>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1790</Words>
  <Characters>1875</Characters>
  <Lines>2</Lines>
  <Paragraphs>1</Paragraphs>
  <TotalTime>8</TotalTime>
  <ScaleCrop>false</ScaleCrop>
  <LinksUpToDate>false</LinksUpToDate>
  <CharactersWithSpaces>1971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郭佳勋1号</cp:lastModifiedBy>
  <dcterms:modified xsi:type="dcterms:W3CDTF">2025-09-04T01:37:34Z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F4A7462789AB422396808AB679BEF79D_13</vt:lpwstr>
  </property>
  <property fmtid="{D5CDD505-2E9C-101B-9397-08002B2CF9AE}" pid="4" name="KSOTemplateDocerSaveRecord">
    <vt:lpwstr>eyJoZGlkIjoiYTVmZTIwZmI4NzQ4ODlmYzRlZjg2MTMzNTA3ZmFkYWMiLCJ1c2VySWQiOiI0Mzg5NDY4NTEifQ==</vt:lpwstr>
  </property>
</Properties>
</file>