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16610">
      <w:pPr>
        <w:pStyle w:val="2"/>
        <w:rPr>
          <w:rFonts w:ascii="宋体" w:hAnsi="宋体" w:eastAsia="宋体" w:cs="宋体"/>
          <w:sz w:val="20"/>
          <w:szCs w:val="20"/>
          <w:lang w:val="en-US"/>
        </w:rPr>
      </w:pPr>
      <w:r>
        <w:rPr>
          <w:rFonts w:hint="eastAsia" w:ascii="宋体" w:hAnsi="宋体" w:eastAsia="宋体" w:cs="宋体"/>
          <w:sz w:val="20"/>
          <w:szCs w:val="20"/>
          <w:lang w:val="en-US"/>
        </w:rPr>
        <w:t xml:space="preserve">证券代码：600231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证券简称：凌钢股份</w:t>
      </w:r>
    </w:p>
    <w:p w14:paraId="627805C0">
      <w:pPr>
        <w:rPr>
          <w:rFonts w:ascii="宋体" w:hAnsi="宋体" w:eastAsia="宋体" w:cs="宋体"/>
          <w:sz w:val="20"/>
          <w:szCs w:val="20"/>
          <w:lang w:val="en-US"/>
        </w:rPr>
      </w:pPr>
      <w:r>
        <w:rPr>
          <w:rFonts w:hint="eastAsia" w:ascii="宋体" w:hAnsi="宋体" w:eastAsia="宋体" w:cs="宋体"/>
          <w:sz w:val="20"/>
          <w:szCs w:val="20"/>
          <w:lang w:val="en-US"/>
        </w:rPr>
        <w:t>转债代码：110070                                           转债简称：凌钢转债</w:t>
      </w:r>
    </w:p>
    <w:p w14:paraId="32320E8B">
      <w:pPr>
        <w:spacing w:line="360" w:lineRule="auto"/>
        <w:rPr>
          <w:rFonts w:ascii="宋体" w:hAnsi="宋体" w:eastAsia="宋体" w:cs="宋体"/>
          <w:b/>
          <w:bCs/>
          <w:sz w:val="44"/>
          <w:szCs w:val="44"/>
          <w:lang w:val="en-US"/>
        </w:rPr>
      </w:pPr>
    </w:p>
    <w:p w14:paraId="73E14E3C">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凌源钢铁股份有限公司</w:t>
      </w:r>
    </w:p>
    <w:p w14:paraId="55D178B0">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15C5A1E8">
      <w:pPr>
        <w:spacing w:before="51" w:after="32"/>
        <w:ind w:right="619"/>
        <w:jc w:val="right"/>
        <w:rPr>
          <w:rFonts w:hint="eastAsia" w:ascii="宋体" w:hAnsi="宋体" w:eastAsia="宋体" w:cs="宋体"/>
          <w:sz w:val="20"/>
          <w:szCs w:val="20"/>
          <w:lang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 xml:space="preserve"> -00</w:t>
      </w:r>
      <w:r>
        <w:rPr>
          <w:rFonts w:hint="eastAsia" w:ascii="宋体" w:hAnsi="宋体" w:eastAsia="宋体" w:cs="宋体"/>
          <w:sz w:val="20"/>
          <w:szCs w:val="20"/>
          <w:lang w:val="en-US" w:eastAsia="zh-CN"/>
        </w:rPr>
        <w:t>5</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30330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069B05F3">
            <w:pPr>
              <w:pStyle w:val="12"/>
              <w:spacing w:before="7"/>
              <w:rPr>
                <w:rFonts w:ascii="宋体" w:hAnsi="宋体" w:eastAsia="宋体" w:cs="宋体"/>
                <w:b/>
                <w:bCs/>
                <w:sz w:val="20"/>
                <w:szCs w:val="20"/>
              </w:rPr>
            </w:pPr>
          </w:p>
          <w:p w14:paraId="4391DEBA">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14216BED">
            <w:pPr>
              <w:pStyle w:val="12"/>
              <w:spacing w:before="7"/>
              <w:rPr>
                <w:rFonts w:ascii="宋体" w:hAnsi="宋体" w:eastAsia="宋体" w:cs="宋体"/>
                <w:sz w:val="20"/>
                <w:szCs w:val="20"/>
              </w:rPr>
            </w:pPr>
          </w:p>
          <w:p w14:paraId="04FD3B32">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741010EE">
            <w:pPr>
              <w:pStyle w:val="12"/>
              <w:spacing w:before="11"/>
              <w:rPr>
                <w:rFonts w:ascii="宋体" w:hAnsi="宋体" w:eastAsia="宋体" w:cs="宋体"/>
                <w:sz w:val="20"/>
                <w:szCs w:val="20"/>
              </w:rPr>
            </w:pPr>
          </w:p>
          <w:p w14:paraId="16E4324C">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ascii="MS Gothic" w:hAnsi="MS Gothic" w:eastAsia="MS Gothic" w:cs="宋体"/>
                    <w:sz w:val="20"/>
                    <w:szCs w:val="20"/>
                    <w:lang w:val="zh-CN" w:eastAsia="zh-CN" w:bidi="zh-CN"/>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39CB69B6">
            <w:pPr>
              <w:pStyle w:val="12"/>
              <w:spacing w:before="8"/>
              <w:rPr>
                <w:rFonts w:ascii="宋体" w:hAnsi="宋体" w:eastAsia="宋体" w:cs="宋体"/>
                <w:sz w:val="20"/>
                <w:szCs w:val="20"/>
              </w:rPr>
            </w:pPr>
          </w:p>
          <w:p w14:paraId="70A6223D">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3AEBA136">
            <w:pPr>
              <w:pStyle w:val="12"/>
              <w:spacing w:before="8"/>
              <w:rPr>
                <w:rFonts w:ascii="宋体" w:hAnsi="宋体" w:eastAsia="宋体" w:cs="宋体"/>
                <w:sz w:val="20"/>
                <w:szCs w:val="20"/>
              </w:rPr>
            </w:pPr>
          </w:p>
          <w:p w14:paraId="1C555CE6">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53DEFCF7">
            <w:pPr>
              <w:pStyle w:val="12"/>
              <w:spacing w:before="11"/>
              <w:rPr>
                <w:rFonts w:ascii="宋体" w:hAnsi="宋体" w:eastAsia="宋体" w:cs="宋体"/>
                <w:sz w:val="20"/>
                <w:szCs w:val="20"/>
              </w:rPr>
            </w:pPr>
          </w:p>
          <w:p w14:paraId="37AFAE82">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其他（</w:t>
            </w:r>
            <w:r>
              <w:rPr>
                <w:rFonts w:hint="eastAsia" w:ascii="宋体" w:hAnsi="宋体" w:eastAsia="宋体" w:cs="宋体"/>
                <w:sz w:val="20"/>
                <w:szCs w:val="20"/>
                <w:u w:val="single"/>
                <w:lang w:val="en-US" w:eastAsia="zh-CN"/>
              </w:rPr>
              <w:t>上市公司交流会</w:t>
            </w:r>
            <w:r>
              <w:rPr>
                <w:rFonts w:hint="eastAsia" w:ascii="宋体" w:hAnsi="宋体" w:eastAsia="宋体" w:cs="宋体"/>
                <w:sz w:val="20"/>
                <w:szCs w:val="20"/>
                <w:u w:val="single"/>
              </w:rPr>
              <w:t>）</w:t>
            </w:r>
          </w:p>
        </w:tc>
      </w:tr>
      <w:tr w14:paraId="659FE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460AABC6">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0F25821C">
            <w:pPr>
              <w:pStyle w:val="12"/>
              <w:spacing w:before="100" w:beforeAutospacing="1" w:line="360" w:lineRule="auto"/>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光大证券：戴默、李枢川</w:t>
            </w:r>
          </w:p>
          <w:p w14:paraId="0973BFA0">
            <w:pPr>
              <w:pStyle w:val="12"/>
              <w:spacing w:before="100" w:beforeAutospacing="1" w:line="360" w:lineRule="auto"/>
              <w:rPr>
                <w:rFonts w:hint="default" w:cs="宋体" w:asciiTheme="minorEastAsia" w:hAnsiTheme="minorEastAsia" w:eastAsiaTheme="minorEastAsia"/>
                <w:sz w:val="20"/>
                <w:szCs w:val="20"/>
                <w:lang w:val="en-US" w:eastAsia="zh-CN"/>
              </w:rPr>
            </w:pPr>
            <w:r>
              <w:rPr>
                <w:rFonts w:hint="default" w:cs="宋体" w:asciiTheme="minorEastAsia" w:hAnsiTheme="minorEastAsia" w:eastAsiaTheme="minorEastAsia"/>
                <w:sz w:val="20"/>
                <w:szCs w:val="20"/>
                <w:lang w:val="en-US" w:eastAsia="zh-CN"/>
              </w:rPr>
              <w:t>景顺长城基金</w:t>
            </w:r>
            <w:r>
              <w:rPr>
                <w:rFonts w:hint="eastAsia" w:cs="宋体" w:asciiTheme="minorEastAsia" w:hAnsiTheme="minorEastAsia" w:eastAsiaTheme="minorEastAsia"/>
                <w:sz w:val="20"/>
                <w:szCs w:val="20"/>
                <w:lang w:val="en-US" w:eastAsia="zh-CN"/>
              </w:rPr>
              <w:t>：</w:t>
            </w:r>
            <w:r>
              <w:rPr>
                <w:rFonts w:hint="default" w:cs="宋体" w:asciiTheme="minorEastAsia" w:hAnsiTheme="minorEastAsia" w:eastAsiaTheme="minorEastAsia"/>
                <w:sz w:val="20"/>
                <w:szCs w:val="20"/>
                <w:lang w:val="en-US" w:eastAsia="zh-CN"/>
              </w:rPr>
              <w:t>蔡文臣、黄永琪</w:t>
            </w:r>
          </w:p>
        </w:tc>
      </w:tr>
      <w:tr w14:paraId="653F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5771894">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60F74570">
            <w:pPr>
              <w:spacing w:before="100" w:beforeAutospacing="1" w:line="360" w:lineRule="auto"/>
              <w:rPr>
                <w:sz w:val="20"/>
                <w:szCs w:val="20"/>
              </w:rPr>
            </w:pPr>
            <w:r>
              <w:rPr>
                <w:rFonts w:hint="eastAsia" w:asciiTheme="minorEastAsia" w:hAnsiTheme="minorEastAsia" w:eastAsiaTheme="minorEastAsia" w:cstheme="minorEastAsia"/>
                <w:sz w:val="20"/>
                <w:szCs w:val="20"/>
              </w:rPr>
              <w:t>2025年</w:t>
            </w:r>
            <w:r>
              <w:rPr>
                <w:rFonts w:hint="eastAsia" w:asciiTheme="minorEastAsia" w:hAnsiTheme="minorEastAsia" w:eastAsiaTheme="minorEastAsia" w:cstheme="minorEastAsia"/>
                <w:sz w:val="20"/>
                <w:szCs w:val="20"/>
                <w:lang w:val="en-US" w:eastAsia="zh-CN"/>
              </w:rPr>
              <w:t>9</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日15:00-1</w:t>
            </w:r>
            <w:r>
              <w:rPr>
                <w:rFonts w:hint="eastAsia" w:asciiTheme="minorEastAsia" w:hAnsiTheme="minorEastAsia" w:eastAsiaTheme="minorEastAsia" w:cstheme="minorEastAsia"/>
                <w:sz w:val="20"/>
                <w:szCs w:val="20"/>
                <w:lang w:val="en-US" w:eastAsia="zh-CN"/>
              </w:rPr>
              <w:t>6</w:t>
            </w:r>
            <w:r>
              <w:rPr>
                <w:rFonts w:hint="eastAsia" w:asciiTheme="minorEastAsia" w:hAnsiTheme="minorEastAsia" w:eastAsiaTheme="minorEastAsia" w:cstheme="minorEastAsia"/>
                <w:sz w:val="20"/>
                <w:szCs w:val="20"/>
              </w:rPr>
              <w:t>:00</w:t>
            </w:r>
          </w:p>
        </w:tc>
      </w:tr>
      <w:tr w14:paraId="6DD96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6ACE98F7">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16315540">
            <w:pPr>
              <w:pStyle w:val="12"/>
              <w:spacing w:before="100" w:beforeAutospacing="1" w:line="360" w:lineRule="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深圳柏悦酒店</w:t>
            </w:r>
          </w:p>
        </w:tc>
      </w:tr>
      <w:tr w14:paraId="33B9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04179C6">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2BD952DC">
            <w:pPr>
              <w:pStyle w:val="12"/>
              <w:spacing w:before="100" w:beforeAutospacing="1" w:line="360" w:lineRule="auto"/>
              <w:rPr>
                <w:rFonts w:ascii="宋体" w:hAnsi="宋体" w:eastAsia="宋体" w:cs="宋体"/>
                <w:sz w:val="20"/>
                <w:szCs w:val="20"/>
              </w:rPr>
            </w:pPr>
            <w:r>
              <w:rPr>
                <w:rFonts w:hint="eastAsia" w:ascii="宋体" w:hAnsi="宋体" w:eastAsia="宋体" w:cs="宋体"/>
                <w:sz w:val="20"/>
                <w:szCs w:val="20"/>
                <w:lang w:val="en-US" w:eastAsia="zh-CN"/>
              </w:rPr>
              <w:t>财务部副总经理 刘威彤</w:t>
            </w:r>
            <w:r>
              <w:rPr>
                <w:rFonts w:ascii="宋体" w:hAnsi="宋体" w:eastAsia="宋体" w:cs="宋体"/>
                <w:sz w:val="20"/>
                <w:szCs w:val="20"/>
              </w:rPr>
              <w:br w:type="textWrapping"/>
            </w:r>
            <w:r>
              <w:rPr>
                <w:rFonts w:hint="eastAsia" w:ascii="宋体" w:hAnsi="宋体" w:eastAsia="宋体" w:cs="宋体"/>
                <w:sz w:val="20"/>
                <w:szCs w:val="20"/>
              </w:rPr>
              <w:t>证券事务代表</w:t>
            </w:r>
            <w:r>
              <w:rPr>
                <w:rFonts w:ascii="宋体" w:hAnsi="宋体" w:eastAsia="宋体" w:cs="宋体"/>
                <w:sz w:val="20"/>
                <w:szCs w:val="20"/>
              </w:rPr>
              <w:t xml:space="preserve"> </w:t>
            </w:r>
            <w:r>
              <w:rPr>
                <w:rFonts w:hint="eastAsia" w:ascii="宋体" w:hAnsi="宋体" w:eastAsia="宋体" w:cs="宋体"/>
                <w:sz w:val="20"/>
                <w:szCs w:val="20"/>
              </w:rPr>
              <w:t>田雪源</w:t>
            </w:r>
          </w:p>
        </w:tc>
      </w:tr>
      <w:tr w14:paraId="01F7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277762E3">
            <w:pPr>
              <w:pStyle w:val="12"/>
              <w:rPr>
                <w:rFonts w:ascii="宋体" w:hAnsi="宋体" w:eastAsia="宋体" w:cs="宋体"/>
                <w:b/>
                <w:bCs/>
                <w:sz w:val="20"/>
                <w:szCs w:val="20"/>
              </w:rPr>
            </w:pPr>
          </w:p>
          <w:p w14:paraId="63512A59">
            <w:pPr>
              <w:pStyle w:val="12"/>
              <w:rPr>
                <w:rFonts w:ascii="宋体" w:hAnsi="宋体" w:eastAsia="宋体" w:cs="宋体"/>
                <w:b/>
                <w:bCs/>
                <w:sz w:val="20"/>
                <w:szCs w:val="20"/>
              </w:rPr>
            </w:pPr>
          </w:p>
          <w:p w14:paraId="6267E76C">
            <w:pPr>
              <w:pStyle w:val="12"/>
              <w:spacing w:before="5"/>
              <w:rPr>
                <w:rFonts w:ascii="宋体" w:hAnsi="宋体" w:eastAsia="宋体" w:cs="宋体"/>
                <w:b/>
                <w:bCs/>
                <w:sz w:val="20"/>
                <w:szCs w:val="20"/>
              </w:rPr>
            </w:pPr>
          </w:p>
          <w:p w14:paraId="6589D267">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772AACAA">
            <w:pPr>
              <w:pStyle w:val="12"/>
              <w:spacing w:before="100" w:beforeAutospacing="1" w:line="360" w:lineRule="auto"/>
              <w:ind w:firstLine="420"/>
              <w:contextualSpacing/>
              <w:rPr>
                <w:rFonts w:hint="eastAsia" w:ascii="宋体" w:hAnsi="宋体" w:eastAsia="宋体" w:cs="宋体"/>
                <w:b/>
                <w:sz w:val="20"/>
              </w:rPr>
            </w:pPr>
            <w:r>
              <w:rPr>
                <w:rFonts w:hint="eastAsia" w:ascii="宋体" w:hAnsi="宋体" w:eastAsia="宋体" w:cs="宋体"/>
                <w:b/>
                <w:sz w:val="20"/>
              </w:rPr>
              <w:t>1.请介绍公司的产品、产量情况及上半年亏损的原因，对公司经营和偿债能力是否有影响？</w:t>
            </w:r>
          </w:p>
          <w:p w14:paraId="5DE95B99">
            <w:pPr>
              <w:pStyle w:val="12"/>
              <w:spacing w:before="100" w:beforeAutospacing="1" w:line="360" w:lineRule="auto"/>
              <w:ind w:firstLine="420"/>
              <w:contextualSpacing/>
              <w:rPr>
                <w:rFonts w:hint="eastAsia" w:ascii="宋体" w:hAnsi="宋体" w:eastAsia="宋体" w:cs="宋体"/>
                <w:b w:val="0"/>
                <w:bCs/>
                <w:sz w:val="20"/>
              </w:rPr>
            </w:pPr>
            <w:r>
              <w:rPr>
                <w:rFonts w:hint="eastAsia" w:ascii="宋体" w:hAnsi="宋体" w:eastAsia="宋体" w:cs="宋体"/>
                <w:b/>
                <w:sz w:val="20"/>
              </w:rPr>
              <w:t>答：</w:t>
            </w:r>
            <w:r>
              <w:rPr>
                <w:rFonts w:hint="eastAsia" w:ascii="宋体" w:hAnsi="宋体" w:eastAsia="宋体" w:cs="宋体"/>
                <w:b w:val="0"/>
                <w:bCs/>
                <w:sz w:val="20"/>
              </w:rPr>
              <w:t>公司产品主要有优特圆钢、中宽热带、螺纹钢，根据国家产业政策调整，及建筑、机加工等下游行业情况，凌钢实施“两进一退”战略，减少螺纹钢产销量，增加优特圆钢和品种带产销量，同时围绕集约生产、降本提效、拓源降采、大小调品、审慎投资、费用压降、资金管控等方面系统布局。上半年，公司累计产钢224.90万吨，同比下降21.09%；生产铁211.00万吨，同比下降18.09%；商品材218.68万吨，同比下降21.97%；净利润-5.78亿元。上半年亏损主要是受钢铁行业供强需弱态势未有明显改变，钢材价格持续走低，大宗原料价格同步下跌，虽然公司通过多种措施降本增效，但受1-4#高炉产能置换项目投入运行</w:t>
            </w:r>
            <w:r>
              <w:rPr>
                <w:rFonts w:hint="eastAsia" w:ascii="宋体" w:hAnsi="宋体" w:eastAsia="宋体" w:cs="宋体"/>
                <w:b w:val="0"/>
                <w:bCs/>
                <w:sz w:val="20"/>
                <w:lang w:val="en-US" w:eastAsia="zh-CN"/>
              </w:rPr>
              <w:t>及年修</w:t>
            </w:r>
            <w:r>
              <w:rPr>
                <w:rFonts w:hint="eastAsia" w:ascii="宋体" w:hAnsi="宋体" w:eastAsia="宋体" w:cs="宋体"/>
                <w:b w:val="0"/>
                <w:bCs/>
                <w:sz w:val="20"/>
              </w:rPr>
              <w:t>等影响</w:t>
            </w:r>
            <w:r>
              <w:rPr>
                <w:rFonts w:hint="eastAsia" w:ascii="宋体" w:hAnsi="宋体" w:eastAsia="宋体" w:cs="宋体"/>
                <w:b w:val="0"/>
                <w:bCs/>
                <w:sz w:val="20"/>
                <w:lang w:val="en-US" w:eastAsia="zh-CN"/>
              </w:rPr>
              <w:t>产量</w:t>
            </w:r>
            <w:r>
              <w:rPr>
                <w:rFonts w:hint="eastAsia" w:ascii="宋体" w:hAnsi="宋体" w:eastAsia="宋体" w:cs="宋体"/>
                <w:b w:val="0"/>
                <w:bCs/>
                <w:sz w:val="20"/>
              </w:rPr>
              <w:t>，仍然未能扭转亏损局面。所得税费用与上年同期相比增加1.35亿元</w:t>
            </w:r>
            <w:r>
              <w:rPr>
                <w:rFonts w:hint="eastAsia" w:ascii="宋体" w:hAnsi="宋体" w:eastAsia="宋体" w:cs="宋体"/>
                <w:b w:val="0"/>
                <w:bCs/>
                <w:sz w:val="20"/>
                <w:lang w:eastAsia="zh-CN"/>
              </w:rPr>
              <w:t>，</w:t>
            </w:r>
            <w:r>
              <w:rPr>
                <w:rFonts w:hint="eastAsia" w:ascii="宋体" w:hAnsi="宋体" w:eastAsia="宋体" w:cs="宋体"/>
                <w:b w:val="0"/>
                <w:bCs/>
                <w:sz w:val="20"/>
              </w:rPr>
              <w:t>主要是公司母公司上年同期对亏损确认了递延所得税资产，本期未再确认递延所得税资产影响。受上述多重因素影响，导致公司报告期呈亏损状态。公司资金储备较为充足，在银行间拥有优良的信用记录，获得授信总额超过150亿元，融资渠道畅通，能够在必要时为公司提供资金支持。此外，公司严格执行“有款发货”的原则，有效保障资金回笼，对公司的生产经营和偿债能力无实质性影响。</w:t>
            </w:r>
          </w:p>
          <w:p w14:paraId="0FC0FBCA">
            <w:pPr>
              <w:pStyle w:val="12"/>
              <w:spacing w:before="100" w:beforeAutospacing="1" w:line="360" w:lineRule="auto"/>
              <w:ind w:firstLine="420"/>
              <w:contextualSpacing/>
              <w:rPr>
                <w:rFonts w:hint="eastAsia" w:ascii="宋体" w:hAnsi="宋体" w:eastAsia="宋体" w:cs="宋体"/>
                <w:b/>
                <w:sz w:val="20"/>
              </w:rPr>
            </w:pPr>
            <w:r>
              <w:rPr>
                <w:rFonts w:hint="eastAsia" w:ascii="宋体" w:hAnsi="宋体" w:eastAsia="宋体" w:cs="宋体"/>
                <w:b/>
                <w:sz w:val="20"/>
              </w:rPr>
              <w:t>2.请问公司与鞍钢财务公司业务都有哪些？</w:t>
            </w:r>
          </w:p>
          <w:p w14:paraId="60B885AC">
            <w:pPr>
              <w:pStyle w:val="12"/>
              <w:spacing w:before="100" w:beforeAutospacing="1" w:line="360" w:lineRule="auto"/>
              <w:ind w:firstLine="420"/>
              <w:contextualSpacing/>
              <w:rPr>
                <w:rFonts w:hint="eastAsia" w:ascii="宋体" w:hAnsi="宋体" w:eastAsia="宋体" w:cs="宋体"/>
                <w:b w:val="0"/>
                <w:bCs/>
                <w:sz w:val="20"/>
              </w:rPr>
            </w:pPr>
            <w:r>
              <w:rPr>
                <w:rFonts w:hint="eastAsia" w:ascii="宋体" w:hAnsi="宋体" w:eastAsia="宋体" w:cs="宋体"/>
                <w:b w:val="0"/>
                <w:bCs/>
                <w:sz w:val="20"/>
              </w:rPr>
              <w:t>答：</w:t>
            </w:r>
            <w:r>
              <w:rPr>
                <w:rFonts w:hint="eastAsia" w:ascii="宋体" w:hAnsi="宋体" w:eastAsia="宋体" w:cs="宋体"/>
                <w:b w:val="0"/>
                <w:bCs/>
                <w:sz w:val="20"/>
                <w:lang w:eastAsia="zh-CN"/>
              </w:rPr>
              <w:t>（</w:t>
            </w:r>
            <w:r>
              <w:rPr>
                <w:rFonts w:hint="eastAsia" w:ascii="宋体" w:hAnsi="宋体" w:eastAsia="宋体" w:cs="宋体"/>
                <w:b w:val="0"/>
                <w:bCs/>
                <w:sz w:val="20"/>
                <w:lang w:val="en-US" w:eastAsia="zh-CN"/>
              </w:rPr>
              <w:t>1</w:t>
            </w:r>
            <w:r>
              <w:rPr>
                <w:rFonts w:hint="eastAsia" w:ascii="宋体" w:hAnsi="宋体" w:eastAsia="宋体" w:cs="宋体"/>
                <w:b w:val="0"/>
                <w:bCs/>
                <w:sz w:val="20"/>
                <w:lang w:eastAsia="zh-CN"/>
              </w:rPr>
              <w:t>）</w:t>
            </w:r>
            <w:r>
              <w:rPr>
                <w:rFonts w:hint="eastAsia" w:ascii="宋体" w:hAnsi="宋体" w:eastAsia="宋体" w:cs="宋体"/>
                <w:b w:val="0"/>
                <w:bCs/>
                <w:sz w:val="20"/>
              </w:rPr>
              <w:t xml:space="preserve">结算业务 鞍钢财务公司为凌钢股份提供结算业务服务，包括凌钢股份与鞍钢集团及其成员单位之间的资金结算，协助凌钢股份与鞍钢集团及其成员单位之外的其他方的交易款项的收付服务，以及鞍钢财务公司营业范围内符合相关法律规定的其他结算业 务，同时免收凌钢股份结算业务费用。凌钢股份存入鞍钢财务公司用于结算的资金存款最高每日余额不超过人民币40亿元，且凌钢股份存于鞍钢财务公司的存款所产生的利息不超过人民币0.8亿元/年。 凌钢股份在鞍钢财务公司存放的结算资金以协定存款方式进行，利率根据中国人民银行统一颁布的同期同类存款利率厘定，不低于 国内主要商业银行同期同类存款的存款利率，也不低于鞍钢财务公司向鞍钢其它成员单位提供同期同类存款业务的利率水平。 </w:t>
            </w:r>
          </w:p>
          <w:p w14:paraId="76A2222A">
            <w:pPr>
              <w:pStyle w:val="12"/>
              <w:spacing w:before="100" w:beforeAutospacing="1" w:line="360" w:lineRule="auto"/>
              <w:ind w:firstLine="420"/>
              <w:contextualSpacing/>
              <w:rPr>
                <w:rFonts w:hint="eastAsia" w:ascii="宋体" w:hAnsi="宋体" w:eastAsia="宋体" w:cs="宋体"/>
                <w:b w:val="0"/>
                <w:bCs/>
                <w:sz w:val="20"/>
              </w:rPr>
            </w:pPr>
            <w:r>
              <w:rPr>
                <w:rFonts w:hint="eastAsia" w:ascii="宋体" w:hAnsi="宋体" w:eastAsia="宋体" w:cs="宋体"/>
                <w:b w:val="0"/>
                <w:bCs/>
                <w:sz w:val="20"/>
                <w:lang w:val="en-US" w:eastAsia="zh-CN"/>
              </w:rPr>
              <w:t>（2）</w:t>
            </w:r>
            <w:r>
              <w:rPr>
                <w:rFonts w:hint="eastAsia" w:ascii="宋体" w:hAnsi="宋体" w:eastAsia="宋体" w:cs="宋体"/>
                <w:b w:val="0"/>
                <w:bCs/>
                <w:sz w:val="20"/>
              </w:rPr>
              <w:t>信贷业务 凌钢股份可以使用鞍钢财务公司提供的综合授信办理贷款业务。鞍钢财务公司 向凌钢股份提供的贷款利率按市场化原则，且不高于凌钢股份在国内其他金融机构 取得的同期同类档次贷款利率，如有可能，将给予适当贷款利率优惠；鞍钢财务公 司为凌钢股份提供商业汇票的综合服务业务，费用水平由双方协商确定，但不高于 凌钢股份在一般商业银行取得的同期同档次价格标准。 鞍钢财务公司为凌钢股份提供前述贷款、票据及其他形式的授信总额不超过人民币40亿元，贷款利息不超过人民币2亿元/年。</w:t>
            </w:r>
          </w:p>
          <w:p w14:paraId="2677B586">
            <w:pPr>
              <w:pStyle w:val="12"/>
              <w:spacing w:before="100" w:beforeAutospacing="1" w:line="360" w:lineRule="auto"/>
              <w:ind w:firstLine="420"/>
              <w:contextualSpacing/>
              <w:rPr>
                <w:rFonts w:hint="eastAsia" w:ascii="宋体" w:hAnsi="宋体" w:eastAsia="宋体" w:cs="宋体"/>
                <w:b/>
                <w:sz w:val="20"/>
              </w:rPr>
            </w:pPr>
            <w:r>
              <w:rPr>
                <w:rFonts w:hint="eastAsia" w:ascii="宋体" w:hAnsi="宋体" w:eastAsia="宋体" w:cs="宋体"/>
                <w:b w:val="0"/>
                <w:bCs/>
                <w:sz w:val="20"/>
                <w:lang w:val="en-US" w:eastAsia="zh-CN"/>
              </w:rPr>
              <w:t>（3）</w:t>
            </w:r>
            <w:r>
              <w:rPr>
                <w:rFonts w:hint="eastAsia" w:ascii="宋体" w:hAnsi="宋体" w:eastAsia="宋体" w:cs="宋体"/>
                <w:b w:val="0"/>
                <w:bCs/>
                <w:sz w:val="20"/>
              </w:rPr>
              <w:t>委托贷款业务，鞍钢财务公司为凌钢股份提供委托贷款业务，委托贷款利率不高于凌钢股份在国内其他金融机构取得的同期同类档次贷款利率，如有可能，将给予适当贷款利率优惠。委托贷款金额不超过人民币25亿元，委托贷款利息不超过人民币1.25亿元/年</w:t>
            </w:r>
            <w:r>
              <w:rPr>
                <w:rFonts w:hint="eastAsia" w:ascii="宋体" w:hAnsi="宋体" w:eastAsia="宋体" w:cs="宋体"/>
                <w:b/>
                <w:sz w:val="20"/>
              </w:rPr>
              <w:t>。</w:t>
            </w:r>
          </w:p>
          <w:p w14:paraId="67EF5C85">
            <w:pPr>
              <w:pStyle w:val="12"/>
              <w:spacing w:before="100" w:beforeAutospacing="1" w:line="360" w:lineRule="auto"/>
              <w:ind w:firstLine="420"/>
              <w:contextualSpacing/>
              <w:rPr>
                <w:rFonts w:hint="eastAsia" w:ascii="宋体" w:hAnsi="宋体" w:eastAsia="宋体" w:cs="宋体"/>
                <w:b w:val="0"/>
                <w:bCs/>
                <w:sz w:val="20"/>
              </w:rPr>
            </w:pPr>
            <w:r>
              <w:rPr>
                <w:rFonts w:hint="eastAsia" w:ascii="宋体" w:hAnsi="宋体" w:eastAsia="宋体" w:cs="宋体"/>
                <w:b w:val="0"/>
                <w:bCs/>
                <w:sz w:val="20"/>
                <w:lang w:eastAsia="zh-CN"/>
              </w:rPr>
              <w:t>（</w:t>
            </w:r>
            <w:r>
              <w:rPr>
                <w:rFonts w:hint="eastAsia" w:ascii="宋体" w:hAnsi="宋体" w:eastAsia="宋体" w:cs="宋体"/>
                <w:b w:val="0"/>
                <w:bCs/>
                <w:sz w:val="20"/>
                <w:lang w:val="en-US" w:eastAsia="zh-CN"/>
              </w:rPr>
              <w:t>4</w:t>
            </w:r>
            <w:r>
              <w:rPr>
                <w:rFonts w:hint="eastAsia" w:ascii="宋体" w:hAnsi="宋体" w:eastAsia="宋体" w:cs="宋体"/>
                <w:b w:val="0"/>
                <w:bCs/>
                <w:sz w:val="20"/>
                <w:lang w:eastAsia="zh-CN"/>
              </w:rPr>
              <w:t>）</w:t>
            </w:r>
            <w:r>
              <w:rPr>
                <w:rFonts w:hint="eastAsia" w:ascii="宋体" w:hAnsi="宋体" w:eastAsia="宋体" w:cs="宋体"/>
                <w:b w:val="0"/>
                <w:bCs/>
                <w:sz w:val="20"/>
              </w:rPr>
              <w:t>鞍钢财务公司为凌钢股份免费提供经监管机构批准的其他金融服务业务。包括财务和融资顾问业务、外汇结售汇等其他金融服务。</w:t>
            </w:r>
          </w:p>
          <w:p w14:paraId="6C0F206B">
            <w:pPr>
              <w:pStyle w:val="12"/>
              <w:spacing w:before="100" w:beforeAutospacing="1" w:line="360" w:lineRule="auto"/>
              <w:ind w:firstLine="420"/>
              <w:contextualSpacing/>
              <w:rPr>
                <w:rFonts w:hint="eastAsia" w:ascii="宋体" w:hAnsi="宋体" w:eastAsia="宋体" w:cs="宋体"/>
                <w:b/>
                <w:sz w:val="20"/>
              </w:rPr>
            </w:pPr>
            <w:r>
              <w:rPr>
                <w:rFonts w:hint="eastAsia" w:ascii="宋体" w:hAnsi="宋体" w:eastAsia="宋体" w:cs="宋体"/>
                <w:b/>
                <w:sz w:val="20"/>
              </w:rPr>
              <w:t>3.请介绍公司矿石采购计划和采购结构是怎么样的？</w:t>
            </w:r>
          </w:p>
          <w:p w14:paraId="352CF675">
            <w:pPr>
              <w:pStyle w:val="12"/>
              <w:spacing w:before="100" w:beforeAutospacing="1" w:line="360" w:lineRule="auto"/>
              <w:ind w:firstLine="420"/>
              <w:contextualSpacing/>
              <w:jc w:val="both"/>
              <w:rPr>
                <w:rFonts w:hint="eastAsia" w:ascii="宋体" w:hAnsi="宋体" w:eastAsia="宋体" w:cs="宋体"/>
                <w:b/>
                <w:sz w:val="20"/>
              </w:rPr>
            </w:pPr>
            <w:r>
              <w:rPr>
                <w:rFonts w:hint="eastAsia" w:ascii="宋体" w:hAnsi="宋体" w:eastAsia="宋体" w:cs="宋体"/>
                <w:b/>
                <w:sz w:val="20"/>
              </w:rPr>
              <w:t>答：</w:t>
            </w:r>
            <w:r>
              <w:rPr>
                <w:rFonts w:hint="eastAsia" w:ascii="宋体" w:hAnsi="宋体" w:eastAsia="宋体" w:cs="宋体"/>
                <w:b w:val="0"/>
                <w:bCs/>
                <w:sz w:val="20"/>
              </w:rPr>
              <w:t>公司实施全面预算管理，年初</w:t>
            </w:r>
            <w:r>
              <w:rPr>
                <w:rFonts w:hint="eastAsia" w:ascii="宋体" w:hAnsi="宋体" w:eastAsia="宋体" w:cs="宋体"/>
                <w:b w:val="0"/>
                <w:bCs/>
                <w:sz w:val="20"/>
                <w:lang w:eastAsia="zh-CN"/>
              </w:rPr>
              <w:t>，</w:t>
            </w:r>
            <w:r>
              <w:rPr>
                <w:rFonts w:hint="eastAsia" w:ascii="宋体" w:hAnsi="宋体" w:eastAsia="宋体" w:cs="宋体"/>
                <w:b w:val="0"/>
                <w:bCs/>
                <w:sz w:val="20"/>
              </w:rPr>
              <w:t>根据铁产量计划设置矿石采购计划，2025年，公司计划生铁产量505万吨，计划需求</w:t>
            </w:r>
            <w:r>
              <w:rPr>
                <w:rFonts w:hint="eastAsia" w:ascii="宋体" w:hAnsi="宋体" w:eastAsia="宋体" w:cs="宋体"/>
                <w:b w:val="0"/>
                <w:bCs/>
                <w:sz w:val="20"/>
                <w:lang w:val="en-US" w:eastAsia="zh-CN"/>
              </w:rPr>
              <w:t>铁</w:t>
            </w:r>
            <w:r>
              <w:rPr>
                <w:rFonts w:hint="eastAsia" w:ascii="宋体" w:hAnsi="宋体" w:eastAsia="宋体" w:cs="宋体"/>
                <w:b w:val="0"/>
                <w:bCs/>
                <w:sz w:val="20"/>
              </w:rPr>
              <w:t>矿石741万吨，公司自有矿山占比</w:t>
            </w:r>
            <w:r>
              <w:rPr>
                <w:rFonts w:hint="eastAsia" w:ascii="宋体" w:hAnsi="宋体" w:eastAsia="宋体" w:cs="宋体"/>
                <w:b w:val="0"/>
                <w:bCs/>
                <w:sz w:val="20"/>
                <w:lang w:val="en-US" w:eastAsia="zh-CN"/>
              </w:rPr>
              <w:t>8</w:t>
            </w:r>
            <w:r>
              <w:rPr>
                <w:rFonts w:hint="eastAsia" w:ascii="宋体" w:hAnsi="宋体" w:eastAsia="宋体" w:cs="宋体"/>
                <w:b w:val="0"/>
                <w:bCs/>
                <w:sz w:val="20"/>
              </w:rPr>
              <w:t>%左右，进口矿占比约40%，其他均为国内地方矿。</w:t>
            </w:r>
          </w:p>
          <w:p w14:paraId="4FEABFCA">
            <w:pPr>
              <w:pStyle w:val="12"/>
              <w:spacing w:before="100" w:beforeAutospacing="1" w:line="360" w:lineRule="auto"/>
              <w:ind w:firstLine="420"/>
              <w:contextualSpacing/>
              <w:rPr>
                <w:rFonts w:hint="eastAsia" w:ascii="宋体" w:hAnsi="宋体" w:eastAsia="宋体" w:cs="宋体"/>
                <w:b/>
                <w:sz w:val="20"/>
              </w:rPr>
            </w:pPr>
            <w:r>
              <w:rPr>
                <w:rFonts w:hint="eastAsia" w:ascii="宋体" w:hAnsi="宋体" w:eastAsia="宋体" w:cs="宋体"/>
                <w:b/>
                <w:sz w:val="20"/>
              </w:rPr>
              <w:t>4.焦炭、喷吹煤长协比例是多少，主要来自哪里？</w:t>
            </w:r>
          </w:p>
          <w:p w14:paraId="559F55C6">
            <w:pPr>
              <w:pStyle w:val="12"/>
              <w:spacing w:before="100" w:beforeAutospacing="1" w:line="360" w:lineRule="auto"/>
              <w:ind w:firstLine="420"/>
              <w:contextualSpacing/>
              <w:rPr>
                <w:rFonts w:hint="eastAsia" w:ascii="宋体" w:hAnsi="宋体" w:eastAsia="宋体" w:cs="宋体"/>
                <w:b w:val="0"/>
                <w:bCs/>
                <w:sz w:val="20"/>
              </w:rPr>
            </w:pPr>
            <w:r>
              <w:rPr>
                <w:rFonts w:hint="eastAsia" w:ascii="宋体" w:hAnsi="宋体" w:eastAsia="宋体" w:cs="宋体"/>
                <w:b w:val="0"/>
                <w:bCs/>
                <w:sz w:val="20"/>
              </w:rPr>
              <w:t>答：公司目前焦炭</w:t>
            </w:r>
            <w:r>
              <w:rPr>
                <w:rFonts w:hint="eastAsia" w:ascii="宋体" w:hAnsi="宋体" w:eastAsia="宋体" w:cs="宋体"/>
                <w:b w:val="0"/>
                <w:bCs/>
                <w:sz w:val="20"/>
                <w:lang w:val="en-US" w:eastAsia="zh-CN"/>
              </w:rPr>
              <w:t>采购主要</w:t>
            </w:r>
            <w:r>
              <w:rPr>
                <w:rFonts w:hint="eastAsia" w:ascii="宋体" w:hAnsi="宋体" w:eastAsia="宋体" w:cs="宋体"/>
                <w:b w:val="0"/>
                <w:bCs/>
                <w:sz w:val="20"/>
              </w:rPr>
              <w:t>来自</w:t>
            </w:r>
            <w:r>
              <w:rPr>
                <w:rFonts w:hint="eastAsia" w:ascii="宋体" w:hAnsi="宋体" w:eastAsia="宋体" w:cs="宋体"/>
                <w:b w:val="0"/>
                <w:bCs/>
                <w:sz w:val="20"/>
                <w:lang w:val="en-US" w:eastAsia="zh-CN"/>
              </w:rPr>
              <w:t>于</w:t>
            </w:r>
            <w:r>
              <w:rPr>
                <w:rFonts w:hint="eastAsia" w:ascii="宋体" w:hAnsi="宋体" w:eastAsia="宋体" w:cs="宋体"/>
                <w:b w:val="0"/>
                <w:bCs/>
                <w:sz w:val="20"/>
              </w:rPr>
              <w:t>凌钢集团，凌钢集团</w:t>
            </w:r>
            <w:r>
              <w:rPr>
                <w:rFonts w:hint="eastAsia" w:ascii="宋体" w:hAnsi="宋体" w:eastAsia="宋体" w:cs="宋体"/>
                <w:b w:val="0"/>
                <w:bCs/>
                <w:sz w:val="20"/>
                <w:lang w:val="en-US" w:eastAsia="zh-CN"/>
              </w:rPr>
              <w:t>实施</w:t>
            </w:r>
            <w:r>
              <w:rPr>
                <w:rFonts w:hint="eastAsia" w:ascii="宋体" w:hAnsi="宋体" w:eastAsia="宋体" w:cs="宋体"/>
                <w:b w:val="0"/>
                <w:bCs/>
                <w:sz w:val="20"/>
              </w:rPr>
              <w:t>220万吨焦炉</w:t>
            </w:r>
            <w:r>
              <w:rPr>
                <w:rFonts w:hint="eastAsia" w:ascii="宋体" w:hAnsi="宋体" w:eastAsia="宋体" w:cs="宋体"/>
                <w:b w:val="0"/>
                <w:bCs/>
                <w:sz w:val="20"/>
                <w:lang w:val="en-US" w:eastAsia="zh-CN"/>
              </w:rPr>
              <w:t>项目</w:t>
            </w:r>
            <w:r>
              <w:rPr>
                <w:rFonts w:hint="eastAsia" w:ascii="宋体" w:hAnsi="宋体" w:eastAsia="宋体" w:cs="宋体"/>
                <w:b w:val="0"/>
                <w:bCs/>
                <w:sz w:val="20"/>
              </w:rPr>
              <w:t>，</w:t>
            </w:r>
            <w:r>
              <w:rPr>
                <w:rFonts w:hint="eastAsia" w:ascii="宋体" w:hAnsi="宋体" w:eastAsia="宋体" w:cs="宋体"/>
                <w:b w:val="0"/>
                <w:bCs/>
                <w:sz w:val="20"/>
                <w:lang w:val="en-US" w:eastAsia="zh-CN"/>
              </w:rPr>
              <w:t>可满足</w:t>
            </w:r>
            <w:r>
              <w:rPr>
                <w:rFonts w:hint="eastAsia" w:ascii="宋体" w:hAnsi="宋体" w:eastAsia="宋体" w:cs="宋体"/>
                <w:b w:val="0"/>
                <w:bCs/>
                <w:sz w:val="20"/>
              </w:rPr>
              <w:t>凌钢股份的焦炭需求，保证供货；喷吹煤长协占比40%左右，过程中根据生产实际进行调整，主要来自山西、内蒙等地。</w:t>
            </w:r>
          </w:p>
          <w:p w14:paraId="7372B1AC">
            <w:pPr>
              <w:pStyle w:val="12"/>
              <w:spacing w:before="100" w:beforeAutospacing="1" w:line="360" w:lineRule="auto"/>
              <w:ind w:firstLine="420"/>
              <w:contextualSpacing/>
              <w:rPr>
                <w:rFonts w:hint="eastAsia" w:ascii="宋体" w:hAnsi="宋体" w:eastAsia="宋体" w:cs="宋体"/>
                <w:b/>
                <w:sz w:val="20"/>
              </w:rPr>
            </w:pPr>
            <w:r>
              <w:rPr>
                <w:rFonts w:hint="eastAsia" w:ascii="宋体" w:hAnsi="宋体" w:eastAsia="宋体" w:cs="宋体"/>
                <w:b/>
                <w:sz w:val="20"/>
              </w:rPr>
              <w:t>5.公司对凌钢转债的计划是什么样的，还款是否有压力？</w:t>
            </w:r>
          </w:p>
          <w:p w14:paraId="082D0BE5">
            <w:pPr>
              <w:pStyle w:val="12"/>
              <w:spacing w:before="100" w:beforeAutospacing="1" w:line="360" w:lineRule="auto"/>
              <w:ind w:firstLine="420"/>
              <w:contextualSpacing/>
              <w:rPr>
                <w:rFonts w:hint="eastAsia" w:ascii="宋体" w:hAnsi="宋体" w:eastAsia="宋体" w:cs="宋体"/>
                <w:b w:val="0"/>
                <w:bCs/>
                <w:sz w:val="20"/>
              </w:rPr>
            </w:pPr>
            <w:r>
              <w:rPr>
                <w:rFonts w:hint="eastAsia" w:ascii="宋体" w:hAnsi="宋体" w:eastAsia="宋体" w:cs="宋体"/>
                <w:b w:val="0"/>
                <w:bCs/>
                <w:sz w:val="20"/>
              </w:rPr>
              <w:t>答：公司凌钢转债</w:t>
            </w:r>
            <w:r>
              <w:rPr>
                <w:rFonts w:hint="eastAsia" w:ascii="宋体" w:hAnsi="宋体" w:eastAsia="宋体" w:cs="宋体"/>
                <w:b w:val="0"/>
                <w:bCs/>
                <w:sz w:val="20"/>
                <w:lang w:val="en-US" w:eastAsia="zh-CN"/>
              </w:rPr>
              <w:t>余额为2.17亿元，相对于公司总资产151亿元和授信额度150亿元来说，</w:t>
            </w:r>
            <w:r>
              <w:rPr>
                <w:rFonts w:hint="eastAsia" w:ascii="宋体" w:hAnsi="宋体" w:eastAsia="宋体" w:cs="宋体"/>
                <w:b w:val="0"/>
                <w:bCs/>
                <w:sz w:val="20"/>
              </w:rPr>
              <w:t>无还款压力</w:t>
            </w:r>
            <w:r>
              <w:rPr>
                <w:rFonts w:hint="eastAsia" w:ascii="宋体" w:hAnsi="宋体" w:eastAsia="宋体" w:cs="宋体"/>
                <w:b w:val="0"/>
                <w:bCs/>
                <w:sz w:val="20"/>
                <w:lang w:eastAsia="zh-CN"/>
              </w:rPr>
              <w:t>，</w:t>
            </w:r>
            <w:r>
              <w:rPr>
                <w:rFonts w:hint="eastAsia" w:ascii="宋体" w:hAnsi="宋体" w:eastAsia="宋体" w:cs="宋体"/>
                <w:b w:val="0"/>
                <w:bCs/>
                <w:sz w:val="20"/>
              </w:rPr>
              <w:t>目前暂无具体的转债计划，</w:t>
            </w:r>
            <w:r>
              <w:rPr>
                <w:rFonts w:hint="eastAsia" w:ascii="宋体" w:hAnsi="宋体" w:eastAsia="宋体" w:cs="宋体"/>
                <w:b w:val="0"/>
                <w:bCs/>
                <w:sz w:val="20"/>
                <w:lang w:val="en-US" w:eastAsia="zh-CN"/>
              </w:rPr>
              <w:t>具体以公司发布的公告为准</w:t>
            </w:r>
            <w:r>
              <w:rPr>
                <w:rFonts w:hint="eastAsia" w:ascii="宋体" w:hAnsi="宋体" w:eastAsia="宋体" w:cs="宋体"/>
                <w:b w:val="0"/>
                <w:bCs/>
                <w:sz w:val="20"/>
              </w:rPr>
              <w:t>。</w:t>
            </w:r>
          </w:p>
          <w:p w14:paraId="53274D9F">
            <w:pPr>
              <w:pStyle w:val="12"/>
              <w:spacing w:before="100" w:beforeAutospacing="1" w:line="360" w:lineRule="auto"/>
              <w:ind w:firstLine="420"/>
              <w:contextualSpacing/>
              <w:rPr>
                <w:rFonts w:hint="eastAsia" w:ascii="宋体" w:hAnsi="宋体" w:eastAsia="宋体" w:cs="宋体"/>
                <w:b/>
                <w:sz w:val="20"/>
                <w:lang w:val="en-US" w:eastAsia="zh-CN"/>
              </w:rPr>
            </w:pPr>
            <w:r>
              <w:rPr>
                <w:rFonts w:hint="eastAsia" w:ascii="宋体" w:hAnsi="宋体" w:eastAsia="宋体" w:cs="宋体"/>
                <w:b/>
                <w:sz w:val="20"/>
                <w:lang w:val="en-US" w:eastAsia="zh-CN"/>
              </w:rPr>
              <w:t>6.公司发布了《估值提升计划》，这个是基于什么？</w:t>
            </w:r>
          </w:p>
          <w:p w14:paraId="4229E502">
            <w:pPr>
              <w:pStyle w:val="12"/>
              <w:numPr>
                <w:ilvl w:val="0"/>
                <w:numId w:val="0"/>
              </w:numPr>
              <w:spacing w:before="100" w:beforeAutospacing="1" w:line="360" w:lineRule="auto"/>
              <w:contextualSpacing/>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    答：自2024年1月1日至2024年12月31日，公司股票已连续12个月每个交易日收盘价均低于最近一个会计年度经审计的每股归属于上市公司股东的净资产，根据《上市公司监管指引第10号——市值管理》规定，属于应当制定估值提升计划的情形。公司制定了《凌源钢铁股份有限公司2025年度估值提升计划》，并于2025年2月28日对外进行披露。</w:t>
            </w:r>
          </w:p>
        </w:tc>
      </w:tr>
      <w:tr w14:paraId="645C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0EB9842F">
            <w:pPr>
              <w:pStyle w:val="12"/>
              <w:spacing w:before="1"/>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2E8650EB">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4B5BE936">
            <w:pPr>
              <w:pStyle w:val="12"/>
              <w:spacing w:before="100" w:beforeAutospacing="1" w:line="360" w:lineRule="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260E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1E55E92">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附件清单（如有）</w:t>
            </w:r>
          </w:p>
        </w:tc>
        <w:tc>
          <w:tcPr>
            <w:tcW w:w="5945" w:type="dxa"/>
            <w:vAlign w:val="center"/>
          </w:tcPr>
          <w:p w14:paraId="316D9D2D">
            <w:pPr>
              <w:pStyle w:val="12"/>
              <w:spacing w:before="100" w:beforeAutospacing="1" w:line="360" w:lineRule="auto"/>
              <w:rPr>
                <w:rFonts w:ascii="宋体" w:hAnsi="宋体" w:eastAsia="宋体" w:cs="宋体"/>
                <w:sz w:val="20"/>
                <w:szCs w:val="20"/>
              </w:rPr>
            </w:pPr>
          </w:p>
        </w:tc>
      </w:tr>
      <w:tr w14:paraId="71957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4F7D35D">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日期</w:t>
            </w:r>
          </w:p>
        </w:tc>
        <w:tc>
          <w:tcPr>
            <w:tcW w:w="5945" w:type="dxa"/>
            <w:vAlign w:val="center"/>
          </w:tcPr>
          <w:p w14:paraId="6BA6EADF">
            <w:pPr>
              <w:pStyle w:val="12"/>
              <w:spacing w:before="100" w:beforeAutospacing="1"/>
              <w:rPr>
                <w:rFonts w:ascii="宋体" w:hAnsi="宋体" w:eastAsia="宋体" w:cs="宋体"/>
                <w:sz w:val="20"/>
                <w:szCs w:val="20"/>
              </w:rPr>
            </w:pPr>
            <w:r>
              <w:rPr>
                <w:rFonts w:ascii="宋体" w:hAnsi="宋体" w:eastAsia="宋体" w:cs="宋体"/>
                <w:sz w:val="20"/>
                <w:szCs w:val="20"/>
              </w:rPr>
              <w:t>2025年</w:t>
            </w:r>
            <w:bookmarkStart w:id="0" w:name="_GoBack"/>
            <w:bookmarkEnd w:id="0"/>
            <w:r>
              <w:rPr>
                <w:rFonts w:hint="eastAsia" w:ascii="宋体" w:hAnsi="宋体" w:eastAsia="宋体" w:cs="宋体"/>
                <w:sz w:val="20"/>
                <w:szCs w:val="20"/>
                <w:lang w:val="en-US" w:eastAsia="zh-CN"/>
              </w:rPr>
              <w:t>9</w:t>
            </w:r>
            <w:r>
              <w:rPr>
                <w:rFonts w:ascii="宋体" w:hAnsi="宋体" w:eastAsia="宋体" w:cs="宋体"/>
                <w:sz w:val="20"/>
                <w:szCs w:val="20"/>
              </w:rPr>
              <w:t>月</w:t>
            </w:r>
            <w:r>
              <w:rPr>
                <w:rFonts w:hint="eastAsia" w:ascii="宋体" w:hAnsi="宋体" w:eastAsia="宋体" w:cs="宋体"/>
                <w:sz w:val="20"/>
                <w:szCs w:val="20"/>
                <w:lang w:val="en-US" w:eastAsia="zh-CN"/>
              </w:rPr>
              <w:t>3</w:t>
            </w:r>
            <w:r>
              <w:rPr>
                <w:rFonts w:ascii="宋体" w:hAnsi="宋体" w:eastAsia="宋体" w:cs="宋体"/>
                <w:sz w:val="20"/>
                <w:szCs w:val="20"/>
              </w:rPr>
              <w:t>日</w:t>
            </w:r>
          </w:p>
        </w:tc>
      </w:tr>
    </w:tbl>
    <w:p w14:paraId="7FE84034">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26B28"/>
    <w:rsid w:val="00172C24"/>
    <w:rsid w:val="001E59D1"/>
    <w:rsid w:val="001E5EA4"/>
    <w:rsid w:val="002042A7"/>
    <w:rsid w:val="00205911"/>
    <w:rsid w:val="002146AD"/>
    <w:rsid w:val="00275CB6"/>
    <w:rsid w:val="002800B5"/>
    <w:rsid w:val="00295B29"/>
    <w:rsid w:val="002D4073"/>
    <w:rsid w:val="002E7098"/>
    <w:rsid w:val="00301D32"/>
    <w:rsid w:val="00346661"/>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4FFB"/>
    <w:rsid w:val="00495B11"/>
    <w:rsid w:val="004F6FF3"/>
    <w:rsid w:val="00571B49"/>
    <w:rsid w:val="005743AE"/>
    <w:rsid w:val="005D64CA"/>
    <w:rsid w:val="005E5717"/>
    <w:rsid w:val="005E6DB2"/>
    <w:rsid w:val="00600D45"/>
    <w:rsid w:val="0061433E"/>
    <w:rsid w:val="0062751D"/>
    <w:rsid w:val="006354AA"/>
    <w:rsid w:val="00661AFA"/>
    <w:rsid w:val="006726BF"/>
    <w:rsid w:val="00677B77"/>
    <w:rsid w:val="0068718A"/>
    <w:rsid w:val="006A2739"/>
    <w:rsid w:val="006B5C95"/>
    <w:rsid w:val="006E14B0"/>
    <w:rsid w:val="006F0108"/>
    <w:rsid w:val="006F012A"/>
    <w:rsid w:val="00703BC4"/>
    <w:rsid w:val="00704AE6"/>
    <w:rsid w:val="007153A2"/>
    <w:rsid w:val="00724A68"/>
    <w:rsid w:val="007271BF"/>
    <w:rsid w:val="00730DD3"/>
    <w:rsid w:val="00733224"/>
    <w:rsid w:val="00764128"/>
    <w:rsid w:val="00773916"/>
    <w:rsid w:val="007824B8"/>
    <w:rsid w:val="007910DD"/>
    <w:rsid w:val="007A3EC1"/>
    <w:rsid w:val="007B3368"/>
    <w:rsid w:val="007D0A69"/>
    <w:rsid w:val="007D6DC4"/>
    <w:rsid w:val="00853463"/>
    <w:rsid w:val="00893F25"/>
    <w:rsid w:val="00895035"/>
    <w:rsid w:val="008953F8"/>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769DB"/>
    <w:rsid w:val="00DA5CE2"/>
    <w:rsid w:val="00DE10E8"/>
    <w:rsid w:val="00E16FDA"/>
    <w:rsid w:val="00E35F58"/>
    <w:rsid w:val="00E45BD9"/>
    <w:rsid w:val="00E66FFC"/>
    <w:rsid w:val="00E759D6"/>
    <w:rsid w:val="00E84A8C"/>
    <w:rsid w:val="00E92B81"/>
    <w:rsid w:val="00E976DE"/>
    <w:rsid w:val="00EC0F83"/>
    <w:rsid w:val="00EE3187"/>
    <w:rsid w:val="00EF499B"/>
    <w:rsid w:val="00F14977"/>
    <w:rsid w:val="00F44F67"/>
    <w:rsid w:val="00FB4A08"/>
    <w:rsid w:val="00FC0C2A"/>
    <w:rsid w:val="00FD7F8E"/>
    <w:rsid w:val="00FF11E4"/>
    <w:rsid w:val="014001AC"/>
    <w:rsid w:val="01A00C4B"/>
    <w:rsid w:val="02334725"/>
    <w:rsid w:val="04B072D4"/>
    <w:rsid w:val="05F575D4"/>
    <w:rsid w:val="064249C6"/>
    <w:rsid w:val="08641132"/>
    <w:rsid w:val="08C6368D"/>
    <w:rsid w:val="08DC4C5E"/>
    <w:rsid w:val="09186774"/>
    <w:rsid w:val="0945438F"/>
    <w:rsid w:val="0A71587A"/>
    <w:rsid w:val="0A7766A2"/>
    <w:rsid w:val="0AB3379D"/>
    <w:rsid w:val="0B792C38"/>
    <w:rsid w:val="0B7D3DAB"/>
    <w:rsid w:val="0C28640C"/>
    <w:rsid w:val="0D07573C"/>
    <w:rsid w:val="0D393097"/>
    <w:rsid w:val="0D597A12"/>
    <w:rsid w:val="0E90599A"/>
    <w:rsid w:val="0ED720CD"/>
    <w:rsid w:val="12070CAE"/>
    <w:rsid w:val="140137CB"/>
    <w:rsid w:val="145F688C"/>
    <w:rsid w:val="14BE790E"/>
    <w:rsid w:val="14D47131"/>
    <w:rsid w:val="1534372C"/>
    <w:rsid w:val="15680001"/>
    <w:rsid w:val="15DD2205"/>
    <w:rsid w:val="16493207"/>
    <w:rsid w:val="17072842"/>
    <w:rsid w:val="17A67110"/>
    <w:rsid w:val="1864189B"/>
    <w:rsid w:val="18BA3C1F"/>
    <w:rsid w:val="18D73A7D"/>
    <w:rsid w:val="190B0C48"/>
    <w:rsid w:val="19557370"/>
    <w:rsid w:val="1AD56F8D"/>
    <w:rsid w:val="1BD06B6A"/>
    <w:rsid w:val="1C730FDE"/>
    <w:rsid w:val="1DA84CB7"/>
    <w:rsid w:val="1F782BDE"/>
    <w:rsid w:val="204A6A53"/>
    <w:rsid w:val="22BD1205"/>
    <w:rsid w:val="232E5C5F"/>
    <w:rsid w:val="23317869"/>
    <w:rsid w:val="235F7563"/>
    <w:rsid w:val="25650CAE"/>
    <w:rsid w:val="25FE400E"/>
    <w:rsid w:val="26406598"/>
    <w:rsid w:val="28080056"/>
    <w:rsid w:val="28734C1A"/>
    <w:rsid w:val="28C72DDD"/>
    <w:rsid w:val="29EE0E64"/>
    <w:rsid w:val="2A2102CB"/>
    <w:rsid w:val="2A5C57A7"/>
    <w:rsid w:val="2AF92FF6"/>
    <w:rsid w:val="2B683CD8"/>
    <w:rsid w:val="2BC4020A"/>
    <w:rsid w:val="2C217860"/>
    <w:rsid w:val="2EF90F16"/>
    <w:rsid w:val="2F125C63"/>
    <w:rsid w:val="302C3D0A"/>
    <w:rsid w:val="3104598F"/>
    <w:rsid w:val="32CB5278"/>
    <w:rsid w:val="33CC574C"/>
    <w:rsid w:val="33DE31BB"/>
    <w:rsid w:val="35305866"/>
    <w:rsid w:val="35D408E8"/>
    <w:rsid w:val="378B147A"/>
    <w:rsid w:val="37C16C4A"/>
    <w:rsid w:val="389C49C0"/>
    <w:rsid w:val="38FE4CC2"/>
    <w:rsid w:val="39BC78F4"/>
    <w:rsid w:val="3AA52853"/>
    <w:rsid w:val="3AC34738"/>
    <w:rsid w:val="3B35486F"/>
    <w:rsid w:val="3D2739F3"/>
    <w:rsid w:val="3EC82FB3"/>
    <w:rsid w:val="3EF1250A"/>
    <w:rsid w:val="40567DB0"/>
    <w:rsid w:val="40FF5CD2"/>
    <w:rsid w:val="429F402B"/>
    <w:rsid w:val="42DB40B0"/>
    <w:rsid w:val="43B71B0A"/>
    <w:rsid w:val="43C81360"/>
    <w:rsid w:val="44FA0589"/>
    <w:rsid w:val="45A663E3"/>
    <w:rsid w:val="46790A87"/>
    <w:rsid w:val="469F09AF"/>
    <w:rsid w:val="47BF3954"/>
    <w:rsid w:val="495F62C2"/>
    <w:rsid w:val="4B756271"/>
    <w:rsid w:val="4BCA036B"/>
    <w:rsid w:val="4C026B35"/>
    <w:rsid w:val="4C8E1CA8"/>
    <w:rsid w:val="4D6D36A4"/>
    <w:rsid w:val="4D7F3EFB"/>
    <w:rsid w:val="4DDC6134"/>
    <w:rsid w:val="4FE15C83"/>
    <w:rsid w:val="4FF534DD"/>
    <w:rsid w:val="508807F5"/>
    <w:rsid w:val="510903EF"/>
    <w:rsid w:val="51FB565D"/>
    <w:rsid w:val="53F137F4"/>
    <w:rsid w:val="543A6906"/>
    <w:rsid w:val="544F3B03"/>
    <w:rsid w:val="55144405"/>
    <w:rsid w:val="56850CBB"/>
    <w:rsid w:val="56EB73E7"/>
    <w:rsid w:val="5728063B"/>
    <w:rsid w:val="59D8738A"/>
    <w:rsid w:val="5A666D76"/>
    <w:rsid w:val="5B2253C2"/>
    <w:rsid w:val="5CF02E0F"/>
    <w:rsid w:val="5D435270"/>
    <w:rsid w:val="5ED6097D"/>
    <w:rsid w:val="5FFF5CB2"/>
    <w:rsid w:val="603269D2"/>
    <w:rsid w:val="60593614"/>
    <w:rsid w:val="61A52BCA"/>
    <w:rsid w:val="660F30F2"/>
    <w:rsid w:val="668D2269"/>
    <w:rsid w:val="66CD4D5B"/>
    <w:rsid w:val="67095496"/>
    <w:rsid w:val="67103B55"/>
    <w:rsid w:val="67ED7463"/>
    <w:rsid w:val="681A546A"/>
    <w:rsid w:val="68507D37"/>
    <w:rsid w:val="69CB37D4"/>
    <w:rsid w:val="6A0D5B9B"/>
    <w:rsid w:val="6A266C5C"/>
    <w:rsid w:val="6A3B23B1"/>
    <w:rsid w:val="6AEA32DC"/>
    <w:rsid w:val="6C4B4758"/>
    <w:rsid w:val="6CC24AB5"/>
    <w:rsid w:val="6CCE7137"/>
    <w:rsid w:val="6D9271B2"/>
    <w:rsid w:val="6F134790"/>
    <w:rsid w:val="6F4B0F13"/>
    <w:rsid w:val="6FA36659"/>
    <w:rsid w:val="6FE81F5F"/>
    <w:rsid w:val="718129CA"/>
    <w:rsid w:val="71950224"/>
    <w:rsid w:val="72446028"/>
    <w:rsid w:val="73076EC0"/>
    <w:rsid w:val="74210CA6"/>
    <w:rsid w:val="746F4E76"/>
    <w:rsid w:val="76430096"/>
    <w:rsid w:val="768F5B89"/>
    <w:rsid w:val="788C25F5"/>
    <w:rsid w:val="79F006ED"/>
    <w:rsid w:val="79F72AA9"/>
    <w:rsid w:val="7A144529"/>
    <w:rsid w:val="7A4E3666"/>
    <w:rsid w:val="7A5E5F9F"/>
    <w:rsid w:val="7B9F061D"/>
    <w:rsid w:val="7DD37FAE"/>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Char"/>
    <w:basedOn w:val="10"/>
    <w:link w:val="7"/>
    <w:qFormat/>
    <w:uiPriority w:val="0"/>
    <w:rPr>
      <w:rFonts w:ascii="仿宋" w:hAnsi="仿宋" w:eastAsia="仿宋" w:cs="仿宋"/>
      <w:sz w:val="18"/>
      <w:szCs w:val="18"/>
      <w:lang w:val="zh-CN" w:bidi="zh-CN"/>
    </w:rPr>
  </w:style>
  <w:style w:type="character" w:customStyle="1" w:styleId="14">
    <w:name w:val="页脚 Char"/>
    <w:basedOn w:val="10"/>
    <w:link w:val="6"/>
    <w:qFormat/>
    <w:uiPriority w:val="0"/>
    <w:rPr>
      <w:rFonts w:ascii="仿宋" w:hAnsi="仿宋" w:eastAsia="仿宋" w:cs="仿宋"/>
      <w:sz w:val="18"/>
      <w:szCs w:val="18"/>
      <w:lang w:val="zh-CN" w:bidi="zh-CN"/>
    </w:rPr>
  </w:style>
  <w:style w:type="character" w:customStyle="1" w:styleId="15">
    <w:name w:val="批注文字 Char"/>
    <w:basedOn w:val="10"/>
    <w:link w:val="3"/>
    <w:qFormat/>
    <w:uiPriority w:val="0"/>
    <w:rPr>
      <w:rFonts w:ascii="仿宋" w:hAnsi="仿宋" w:eastAsia="仿宋" w:cs="仿宋"/>
      <w:sz w:val="22"/>
      <w:szCs w:val="22"/>
      <w:lang w:val="zh-CN" w:bidi="zh-CN"/>
    </w:rPr>
  </w:style>
  <w:style w:type="character" w:customStyle="1" w:styleId="16">
    <w:name w:val="批注主题 Char"/>
    <w:basedOn w:val="15"/>
    <w:link w:val="8"/>
    <w:qFormat/>
    <w:uiPriority w:val="0"/>
    <w:rPr>
      <w:rFonts w:ascii="仿宋" w:hAnsi="仿宋" w:eastAsia="仿宋" w:cs="仿宋"/>
      <w:b/>
      <w:bCs/>
      <w:sz w:val="22"/>
      <w:szCs w:val="22"/>
      <w:lang w:val="zh-CN" w:bidi="zh-CN"/>
    </w:rPr>
  </w:style>
  <w:style w:type="character" w:customStyle="1" w:styleId="17">
    <w:name w:val="批注框文本 Char"/>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92C4-4D96-4D90-83FE-8B8F70E006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2002</Words>
  <Characters>2129</Characters>
  <Lines>38</Lines>
  <Paragraphs>10</Paragraphs>
  <TotalTime>17</TotalTime>
  <ScaleCrop>false</ScaleCrop>
  <LinksUpToDate>false</LinksUpToDate>
  <CharactersWithSpaces>2240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2025-05-14T08:17:00Z</dcterms:created>
  <dc:creator>jie.huang</dc:creator>
  <cp:lastModifiedBy>田原</cp:lastModifiedBy>
  <dcterms:modified xsi:type="dcterms:W3CDTF">2025-09-04T09:53:11Z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eyJoZGlkIjoiMWIyZGZjODAyMmJhMWIyYWE0NjQzNWVhOTBhZTNiOGMiLCJ1c2VySWQiOiI3MzY5MzU2NzcifQ==</vt:lpwstr>
  </property>
</Properties>
</file>