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82798">
      <w:pPr>
        <w:jc w:val="center"/>
        <w:rPr>
          <w:rFonts w:ascii="华文中宋" w:hAnsi="华文中宋" w:eastAsia="华文中宋"/>
          <w:b/>
          <w:sz w:val="32"/>
          <w:szCs w:val="32"/>
        </w:rPr>
      </w:pPr>
      <w:r>
        <w:rPr>
          <w:rFonts w:hint="eastAsia" w:ascii="华文中宋" w:hAnsi="华文中宋" w:eastAsia="华文中宋"/>
          <w:b/>
          <w:sz w:val="32"/>
          <w:szCs w:val="32"/>
          <w:lang w:val="en-US" w:eastAsia="zh-CN"/>
        </w:rPr>
        <w:t>国机汽车</w:t>
      </w:r>
      <w:r>
        <w:rPr>
          <w:rFonts w:hint="eastAsia" w:ascii="华文中宋" w:hAnsi="华文中宋" w:eastAsia="华文中宋"/>
          <w:b/>
          <w:sz w:val="32"/>
          <w:szCs w:val="32"/>
        </w:rPr>
        <w:t>股份有限公司</w:t>
      </w:r>
    </w:p>
    <w:p w14:paraId="07D3EBC2">
      <w:pPr>
        <w:jc w:val="center"/>
        <w:rPr>
          <w:rFonts w:ascii="华文中宋" w:hAnsi="华文中宋" w:eastAsia="华文中宋"/>
          <w:b/>
          <w:sz w:val="32"/>
          <w:szCs w:val="32"/>
        </w:rPr>
      </w:pPr>
      <w:r>
        <w:rPr>
          <w:rFonts w:hint="eastAsia" w:ascii="华文中宋" w:hAnsi="华文中宋" w:eastAsia="华文中宋"/>
          <w:b/>
          <w:sz w:val="32"/>
          <w:szCs w:val="32"/>
        </w:rPr>
        <w:t>投资者关系活动记录表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4FAF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668" w:type="dxa"/>
            <w:vAlign w:val="center"/>
          </w:tcPr>
          <w:p w14:paraId="6808166A">
            <w:pPr>
              <w:jc w:val="center"/>
              <w:rPr>
                <w:rFonts w:asciiTheme="minorEastAsia" w:hAnsiTheme="minorEastAsia"/>
                <w:b/>
                <w:sz w:val="24"/>
                <w:szCs w:val="24"/>
              </w:rPr>
            </w:pPr>
            <w:r>
              <w:rPr>
                <w:rFonts w:hint="eastAsia" w:asciiTheme="minorEastAsia" w:hAnsiTheme="minorEastAsia"/>
                <w:b/>
                <w:sz w:val="24"/>
                <w:szCs w:val="24"/>
              </w:rPr>
              <w:t>投资者关系</w:t>
            </w:r>
          </w:p>
          <w:p w14:paraId="1950CF68">
            <w:pPr>
              <w:jc w:val="center"/>
              <w:rPr>
                <w:rFonts w:asciiTheme="minorEastAsia" w:hAnsiTheme="minorEastAsia"/>
                <w:b/>
                <w:sz w:val="24"/>
                <w:szCs w:val="24"/>
              </w:rPr>
            </w:pPr>
            <w:r>
              <w:rPr>
                <w:rFonts w:hint="eastAsia" w:asciiTheme="minorEastAsia" w:hAnsiTheme="minorEastAsia"/>
                <w:b/>
                <w:sz w:val="24"/>
                <w:szCs w:val="24"/>
              </w:rPr>
              <w:t>活动类别</w:t>
            </w:r>
          </w:p>
        </w:tc>
        <w:tc>
          <w:tcPr>
            <w:tcW w:w="6854" w:type="dxa"/>
          </w:tcPr>
          <w:p w14:paraId="4C3175AA">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□特定对象调研</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□分析师会议</w:t>
            </w:r>
          </w:p>
          <w:p w14:paraId="207BCD08">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□媒体采访</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□业绩说明会</w:t>
            </w:r>
          </w:p>
          <w:p w14:paraId="48757051">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□新闻发布会</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□路演活动</w:t>
            </w:r>
          </w:p>
          <w:p w14:paraId="21F26614">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□现场参观</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√其他</w:t>
            </w:r>
            <w:r>
              <w:rPr>
                <w:rFonts w:hint="eastAsia" w:cs="Arial" w:asciiTheme="minorEastAsia" w:hAnsiTheme="minorEastAsia"/>
                <w:sz w:val="24"/>
                <w:szCs w:val="24"/>
                <w:shd w:val="clear" w:color="auto" w:fill="FFFFFF"/>
              </w:rPr>
              <w:t xml:space="preserve"> </w:t>
            </w:r>
          </w:p>
          <w:p w14:paraId="5C62A70B">
            <w:pPr>
              <w:rPr>
                <w:rFonts w:cs="Arial" w:asciiTheme="minorEastAsia" w:hAnsiTheme="minorEastAsia"/>
                <w:sz w:val="24"/>
                <w:szCs w:val="24"/>
                <w:shd w:val="clear" w:color="auto" w:fill="FFFFFF"/>
              </w:rPr>
            </w:pPr>
            <w:r>
              <w:rPr>
                <w:rFonts w:hint="eastAsia" w:cs="Arial" w:asciiTheme="minorEastAsia" w:hAnsiTheme="minorEastAsia"/>
                <w:sz w:val="24"/>
                <w:szCs w:val="24"/>
                <w:u w:val="single"/>
                <w:shd w:val="clear" w:color="auto" w:fill="FFFFFF"/>
              </w:rPr>
              <w:t>国机集团2</w:t>
            </w:r>
            <w:r>
              <w:rPr>
                <w:rFonts w:cs="Arial" w:asciiTheme="minorEastAsia" w:hAnsiTheme="minorEastAsia"/>
                <w:sz w:val="24"/>
                <w:szCs w:val="24"/>
                <w:u w:val="single"/>
                <w:shd w:val="clear" w:color="auto" w:fill="FFFFFF"/>
              </w:rPr>
              <w:t>0</w:t>
            </w:r>
            <w:r>
              <w:rPr>
                <w:rFonts w:hint="eastAsia" w:cs="Arial" w:asciiTheme="minorEastAsia" w:hAnsiTheme="minorEastAsia"/>
                <w:sz w:val="24"/>
                <w:szCs w:val="24"/>
                <w:u w:val="single"/>
                <w:shd w:val="clear" w:color="auto" w:fill="FFFFFF"/>
                <w:lang w:val="en-US" w:eastAsia="zh-CN"/>
              </w:rPr>
              <w:t>25</w:t>
            </w:r>
            <w:r>
              <w:rPr>
                <w:rFonts w:hint="eastAsia" w:cs="Arial" w:asciiTheme="minorEastAsia" w:hAnsiTheme="minorEastAsia"/>
                <w:sz w:val="24"/>
                <w:szCs w:val="24"/>
                <w:u w:val="single"/>
                <w:shd w:val="clear" w:color="auto" w:fill="FFFFFF"/>
              </w:rPr>
              <w:t>年上市公司集体投资者交流活动</w:t>
            </w:r>
          </w:p>
        </w:tc>
      </w:tr>
      <w:tr w14:paraId="2662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668" w:type="dxa"/>
            <w:vAlign w:val="center"/>
          </w:tcPr>
          <w:p w14:paraId="12217658">
            <w:pPr>
              <w:jc w:val="center"/>
              <w:rPr>
                <w:rFonts w:asciiTheme="minorEastAsia" w:hAnsiTheme="minorEastAsia"/>
                <w:b/>
                <w:sz w:val="24"/>
                <w:szCs w:val="24"/>
              </w:rPr>
            </w:pPr>
            <w:r>
              <w:rPr>
                <w:rFonts w:hint="eastAsia" w:asciiTheme="minorEastAsia" w:hAnsiTheme="minorEastAsia"/>
                <w:b/>
                <w:sz w:val="24"/>
                <w:szCs w:val="24"/>
              </w:rPr>
              <w:t>参与单位名称及人员姓名</w:t>
            </w:r>
          </w:p>
        </w:tc>
        <w:tc>
          <w:tcPr>
            <w:tcW w:w="6854" w:type="dxa"/>
            <w:vAlign w:val="center"/>
          </w:tcPr>
          <w:p w14:paraId="5CD65AB6">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中信建投证券杨文瀚</w:t>
            </w:r>
          </w:p>
          <w:p w14:paraId="22FAF8A4">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华泰证券宋丽凌</w:t>
            </w:r>
          </w:p>
          <w:p w14:paraId="5148F13E">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西部证券张欢欢</w:t>
            </w:r>
          </w:p>
          <w:p w14:paraId="1AAA585B">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华创证券李昊岚</w:t>
            </w:r>
          </w:p>
          <w:p w14:paraId="603292BC">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国机产投张栋迪</w:t>
            </w:r>
          </w:p>
          <w:p w14:paraId="3CD87581">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国机产投潘澳</w:t>
            </w:r>
          </w:p>
          <w:p w14:paraId="591F0501">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关呈基金杨东</w:t>
            </w:r>
          </w:p>
          <w:p w14:paraId="4C31AD74">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华泰证券孟震茁</w:t>
            </w:r>
          </w:p>
          <w:p w14:paraId="744496C8">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太平洋证券程志峰</w:t>
            </w:r>
          </w:p>
          <w:p w14:paraId="68525939">
            <w:p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中信建投证券李双</w:t>
            </w:r>
          </w:p>
        </w:tc>
      </w:tr>
      <w:tr w14:paraId="39EF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38E6ACA0">
            <w:pPr>
              <w:jc w:val="center"/>
              <w:rPr>
                <w:rFonts w:asciiTheme="minorEastAsia" w:hAnsiTheme="minorEastAsia"/>
                <w:b/>
                <w:sz w:val="24"/>
                <w:szCs w:val="24"/>
              </w:rPr>
            </w:pPr>
            <w:r>
              <w:rPr>
                <w:rFonts w:hint="eastAsia" w:asciiTheme="minorEastAsia" w:hAnsiTheme="minorEastAsia"/>
                <w:b/>
                <w:sz w:val="24"/>
                <w:szCs w:val="24"/>
              </w:rPr>
              <w:t>时间</w:t>
            </w:r>
          </w:p>
        </w:tc>
        <w:tc>
          <w:tcPr>
            <w:tcW w:w="6854" w:type="dxa"/>
          </w:tcPr>
          <w:p w14:paraId="04793B96">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5</w:t>
            </w:r>
            <w:r>
              <w:rPr>
                <w:rFonts w:hint="eastAsia" w:asciiTheme="minorEastAsia" w:hAnsiTheme="minorEastAsia"/>
                <w:sz w:val="24"/>
                <w:szCs w:val="24"/>
              </w:rPr>
              <w:t>日</w:t>
            </w:r>
          </w:p>
        </w:tc>
      </w:tr>
      <w:tr w14:paraId="2E06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3A962E8C">
            <w:pPr>
              <w:jc w:val="center"/>
              <w:rPr>
                <w:rFonts w:asciiTheme="minorEastAsia" w:hAnsiTheme="minorEastAsia"/>
                <w:b/>
                <w:sz w:val="24"/>
                <w:szCs w:val="24"/>
              </w:rPr>
            </w:pPr>
            <w:r>
              <w:rPr>
                <w:rFonts w:cs="Arial" w:asciiTheme="minorEastAsia" w:hAnsiTheme="minorEastAsia"/>
                <w:b/>
                <w:sz w:val="24"/>
                <w:szCs w:val="24"/>
                <w:shd w:val="clear" w:color="auto" w:fill="FFFFFF"/>
              </w:rPr>
              <w:t>地点</w:t>
            </w:r>
          </w:p>
        </w:tc>
        <w:tc>
          <w:tcPr>
            <w:tcW w:w="6854" w:type="dxa"/>
          </w:tcPr>
          <w:p w14:paraId="2E848C46">
            <w:pP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广东省广州市</w:t>
            </w:r>
          </w:p>
        </w:tc>
      </w:tr>
      <w:tr w14:paraId="7169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3C9F4A1F">
            <w:pPr>
              <w:jc w:val="center"/>
              <w:rPr>
                <w:rFonts w:asciiTheme="minorEastAsia" w:hAnsiTheme="minorEastAsia"/>
                <w:b/>
                <w:sz w:val="24"/>
                <w:szCs w:val="24"/>
              </w:rPr>
            </w:pPr>
            <w:r>
              <w:rPr>
                <w:rFonts w:hint="eastAsia" w:asciiTheme="minorEastAsia" w:hAnsiTheme="minorEastAsia"/>
                <w:b/>
                <w:sz w:val="24"/>
                <w:szCs w:val="24"/>
              </w:rPr>
              <w:t>上市公司接待人员姓名</w:t>
            </w:r>
          </w:p>
        </w:tc>
        <w:tc>
          <w:tcPr>
            <w:tcW w:w="6854" w:type="dxa"/>
          </w:tcPr>
          <w:p w14:paraId="6E942D52">
            <w:pPr>
              <w:spacing w:line="360" w:lineRule="atLeast"/>
              <w:rPr>
                <w:rFonts w:hint="default" w:asciiTheme="minorEastAsia" w:hAnsiTheme="minorEastAsia" w:eastAsiaTheme="minorEastAsia"/>
                <w:sz w:val="24"/>
                <w:szCs w:val="24"/>
                <w:lang w:val="en-US" w:eastAsia="zh-CN"/>
              </w:rPr>
            </w:pPr>
            <w:r>
              <w:rPr>
                <w:rFonts w:asciiTheme="minorEastAsia" w:hAnsiTheme="minorEastAsia"/>
                <w:sz w:val="24"/>
                <w:szCs w:val="24"/>
              </w:rPr>
              <w:t>党委书记</w:t>
            </w:r>
            <w:r>
              <w:rPr>
                <w:rFonts w:hint="eastAsia" w:asciiTheme="minorEastAsia" w:hAnsiTheme="minorEastAsia"/>
                <w:sz w:val="24"/>
                <w:szCs w:val="24"/>
              </w:rPr>
              <w:t>、</w:t>
            </w:r>
            <w:r>
              <w:rPr>
                <w:rFonts w:asciiTheme="minorEastAsia" w:hAnsiTheme="minorEastAsia"/>
                <w:sz w:val="24"/>
                <w:szCs w:val="24"/>
              </w:rPr>
              <w:t>董事长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戴旻</w:t>
            </w:r>
          </w:p>
          <w:p w14:paraId="6B86C44E">
            <w:pPr>
              <w:spacing w:line="360" w:lineRule="atLeas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董事会办公室（战略投资部）主任</w:t>
            </w:r>
            <w:r>
              <w:rPr>
                <w:rFonts w:hint="eastAsia" w:asciiTheme="minorEastAsia" w:hAnsiTheme="minorEastAsia"/>
                <w:sz w:val="24"/>
                <w:szCs w:val="24"/>
              </w:rPr>
              <w:t>：</w:t>
            </w:r>
            <w:r>
              <w:rPr>
                <w:rFonts w:hint="eastAsia" w:asciiTheme="minorEastAsia" w:hAnsiTheme="minorEastAsia"/>
                <w:sz w:val="24"/>
                <w:szCs w:val="24"/>
                <w:lang w:val="en-US" w:eastAsia="zh-CN"/>
              </w:rPr>
              <w:t>聂秀欣</w:t>
            </w:r>
          </w:p>
          <w:p w14:paraId="62409615">
            <w:pPr>
              <w:spacing w:line="360" w:lineRule="atLeas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资产财务部部长</w:t>
            </w:r>
            <w:r>
              <w:rPr>
                <w:rFonts w:hint="eastAsia" w:asciiTheme="minorEastAsia" w:hAnsiTheme="minorEastAsia"/>
                <w:sz w:val="24"/>
                <w:szCs w:val="24"/>
              </w:rPr>
              <w:t>：</w:t>
            </w:r>
            <w:r>
              <w:rPr>
                <w:rFonts w:hint="eastAsia" w:asciiTheme="minorEastAsia" w:hAnsiTheme="minorEastAsia"/>
                <w:sz w:val="24"/>
                <w:szCs w:val="24"/>
                <w:lang w:val="en-US" w:eastAsia="zh-CN"/>
              </w:rPr>
              <w:t>郭天炜</w:t>
            </w:r>
          </w:p>
          <w:p w14:paraId="45EB5D5B">
            <w:pPr>
              <w:spacing w:line="360" w:lineRule="atLeas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证券事务代表：蒋舒</w:t>
            </w:r>
          </w:p>
          <w:p w14:paraId="5B6266D1">
            <w:pPr>
              <w:spacing w:line="360" w:lineRule="atLeas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董事会办公室（战略投资部）业务经理：王宇</w:t>
            </w:r>
          </w:p>
        </w:tc>
      </w:tr>
      <w:tr w14:paraId="0802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6CF94DC1">
            <w:pPr>
              <w:jc w:val="center"/>
              <w:rPr>
                <w:rFonts w:asciiTheme="minorEastAsia" w:hAnsiTheme="minorEastAsia"/>
                <w:b/>
                <w:sz w:val="24"/>
                <w:szCs w:val="24"/>
              </w:rPr>
            </w:pPr>
            <w:r>
              <w:rPr>
                <w:rFonts w:hint="eastAsia" w:asciiTheme="minorEastAsia" w:hAnsiTheme="minorEastAsia"/>
                <w:b/>
                <w:sz w:val="24"/>
                <w:szCs w:val="24"/>
              </w:rPr>
              <w:t>投资者关系活动主要内容介绍</w:t>
            </w:r>
          </w:p>
        </w:tc>
        <w:tc>
          <w:tcPr>
            <w:tcW w:w="6854" w:type="dxa"/>
          </w:tcPr>
          <w:p w14:paraId="735B2397">
            <w:pPr>
              <w:spacing w:line="360" w:lineRule="exact"/>
              <w:rPr>
                <w:rFonts w:asciiTheme="minorEastAsia" w:hAnsiTheme="minorEastAsia"/>
                <w:sz w:val="24"/>
                <w:szCs w:val="21"/>
              </w:rPr>
            </w:pPr>
            <w:r>
              <w:rPr>
                <w:rFonts w:hint="eastAsia" w:asciiTheme="minorEastAsia" w:hAnsiTheme="minorEastAsia"/>
                <w:b/>
                <w:sz w:val="24"/>
                <w:szCs w:val="21"/>
              </w:rPr>
              <w:t xml:space="preserve"> </w:t>
            </w:r>
            <w:r>
              <w:rPr>
                <w:rFonts w:asciiTheme="minorEastAsia" w:hAnsiTheme="minorEastAsia"/>
                <w:b/>
                <w:sz w:val="24"/>
                <w:szCs w:val="21"/>
              </w:rPr>
              <w:t xml:space="preserve">   </w:t>
            </w:r>
            <w:r>
              <w:rPr>
                <w:rFonts w:hint="eastAsia" w:asciiTheme="minorEastAsia" w:hAnsiTheme="minorEastAsia"/>
                <w:sz w:val="24"/>
                <w:szCs w:val="21"/>
              </w:rPr>
              <w:t>公司控股股东中国机械工业集团有限公司（以下简称国机集团）于202</w:t>
            </w:r>
            <w:r>
              <w:rPr>
                <w:rFonts w:hint="eastAsia" w:asciiTheme="minorEastAsia" w:hAnsiTheme="minorEastAsia"/>
                <w:sz w:val="24"/>
                <w:szCs w:val="21"/>
                <w:lang w:val="en-US" w:eastAsia="zh-CN"/>
              </w:rPr>
              <w:t>5</w:t>
            </w:r>
            <w:r>
              <w:rPr>
                <w:rFonts w:hint="eastAsia" w:asciiTheme="minorEastAsia" w:hAnsiTheme="minorEastAsia"/>
                <w:sz w:val="24"/>
                <w:szCs w:val="21"/>
              </w:rPr>
              <w:t>年</w:t>
            </w:r>
            <w:r>
              <w:rPr>
                <w:rFonts w:hint="eastAsia" w:asciiTheme="minorEastAsia" w:hAnsiTheme="minorEastAsia"/>
                <w:sz w:val="24"/>
                <w:szCs w:val="21"/>
                <w:lang w:val="en-US" w:eastAsia="zh-CN"/>
              </w:rPr>
              <w:t>9</w:t>
            </w:r>
            <w:r>
              <w:rPr>
                <w:rFonts w:hint="eastAsia" w:asciiTheme="minorEastAsia" w:hAnsiTheme="minorEastAsia"/>
                <w:sz w:val="24"/>
                <w:szCs w:val="21"/>
              </w:rPr>
              <w:t>月</w:t>
            </w:r>
            <w:r>
              <w:rPr>
                <w:rFonts w:hint="eastAsia" w:asciiTheme="minorEastAsia" w:hAnsiTheme="minorEastAsia"/>
                <w:sz w:val="24"/>
                <w:szCs w:val="21"/>
                <w:lang w:val="en-US" w:eastAsia="zh-CN"/>
              </w:rPr>
              <w:t>5</w:t>
            </w:r>
            <w:r>
              <w:rPr>
                <w:rFonts w:hint="eastAsia" w:asciiTheme="minorEastAsia" w:hAnsiTheme="minorEastAsia"/>
                <w:sz w:val="24"/>
                <w:szCs w:val="21"/>
              </w:rPr>
              <w:t>日举办国机集团202</w:t>
            </w:r>
            <w:r>
              <w:rPr>
                <w:rFonts w:hint="eastAsia" w:asciiTheme="minorEastAsia" w:hAnsiTheme="minorEastAsia"/>
                <w:sz w:val="24"/>
                <w:szCs w:val="21"/>
                <w:lang w:val="en-US" w:eastAsia="zh-CN"/>
              </w:rPr>
              <w:t>5</w:t>
            </w:r>
            <w:r>
              <w:rPr>
                <w:rFonts w:hint="eastAsia" w:asciiTheme="minorEastAsia" w:hAnsiTheme="minorEastAsia"/>
                <w:sz w:val="24"/>
                <w:szCs w:val="21"/>
              </w:rPr>
              <w:t>年上市公司集体投资者交流活动。</w:t>
            </w:r>
          </w:p>
          <w:p w14:paraId="1C9A56F9">
            <w:pPr>
              <w:spacing w:line="360" w:lineRule="exact"/>
              <w:rPr>
                <w:rFonts w:hint="default" w:asciiTheme="minorEastAsia" w:hAnsiTheme="minorEastAsia" w:eastAsiaTheme="minorEastAsia"/>
                <w:b/>
                <w:sz w:val="24"/>
                <w:szCs w:val="21"/>
                <w:lang w:val="en-US" w:eastAsia="zh-CN"/>
              </w:rPr>
            </w:pPr>
            <w:r>
              <w:rPr>
                <w:rFonts w:asciiTheme="minorEastAsia" w:hAnsiTheme="minorEastAsia"/>
                <w:b/>
                <w:sz w:val="24"/>
                <w:szCs w:val="21"/>
              </w:rPr>
              <w:t xml:space="preserve">    1.问</w:t>
            </w:r>
            <w:r>
              <w:rPr>
                <w:rFonts w:hint="eastAsia" w:asciiTheme="minorEastAsia" w:hAnsiTheme="minorEastAsia"/>
                <w:b/>
                <w:sz w:val="24"/>
                <w:szCs w:val="21"/>
              </w:rPr>
              <w:t>：</w:t>
            </w:r>
            <w:r>
              <w:rPr>
                <w:rFonts w:hint="eastAsia" w:asciiTheme="minorEastAsia" w:hAnsiTheme="minorEastAsia"/>
                <w:b/>
                <w:sz w:val="24"/>
                <w:szCs w:val="21"/>
                <w:lang w:val="en-US" w:eastAsia="zh-CN"/>
              </w:rPr>
              <w:t>公司目前主要核心竞争优势有哪些？</w:t>
            </w:r>
          </w:p>
          <w:p w14:paraId="4CEF38A8">
            <w:pPr>
              <w:spacing w:line="240" w:lineRule="auto"/>
              <w:ind w:firstLine="480" w:firstLineChars="200"/>
              <w:contextualSpacing/>
              <w:rPr>
                <w:rFonts w:hint="eastAsia" w:asciiTheme="minorEastAsia" w:hAnsiTheme="minorEastAsia"/>
                <w:sz w:val="24"/>
                <w:szCs w:val="21"/>
              </w:rPr>
            </w:pPr>
            <w:r>
              <w:rPr>
                <w:rFonts w:hint="eastAsia" w:asciiTheme="minorEastAsia" w:hAnsiTheme="minorEastAsia"/>
                <w:sz w:val="24"/>
                <w:szCs w:val="21"/>
              </w:rPr>
              <w:t>答：</w:t>
            </w:r>
            <w:r>
              <w:rPr>
                <w:rFonts w:hint="eastAsia" w:asciiTheme="minorEastAsia" w:hAnsiTheme="minorEastAsia"/>
                <w:sz w:val="24"/>
                <w:szCs w:val="21"/>
                <w:lang w:val="en-US" w:eastAsia="zh-CN"/>
              </w:rPr>
              <w:t>公司</w:t>
            </w:r>
            <w:r>
              <w:rPr>
                <w:rFonts w:hint="eastAsia" w:asciiTheme="minorEastAsia" w:hAnsiTheme="minorEastAsia"/>
                <w:sz w:val="24"/>
                <w:szCs w:val="21"/>
              </w:rPr>
              <w:t>的核心竞争力可以概括为六方面。</w:t>
            </w:r>
            <w:r>
              <w:rPr>
                <w:rFonts w:hint="eastAsia" w:asciiTheme="minorEastAsia" w:hAnsiTheme="minorEastAsia"/>
                <w:b/>
                <w:bCs/>
                <w:sz w:val="24"/>
                <w:szCs w:val="21"/>
              </w:rPr>
              <w:t>第一，行业地位优势</w:t>
            </w:r>
            <w:r>
              <w:rPr>
                <w:rFonts w:hint="eastAsia" w:asciiTheme="minorEastAsia" w:hAnsiTheme="minorEastAsia"/>
                <w:sz w:val="24"/>
                <w:szCs w:val="21"/>
              </w:rPr>
              <w:t>，</w:t>
            </w:r>
            <w:r>
              <w:rPr>
                <w:rFonts w:hint="eastAsia" w:asciiTheme="minorEastAsia" w:hAnsiTheme="minorEastAsia"/>
                <w:sz w:val="24"/>
                <w:szCs w:val="21"/>
                <w:lang w:val="en-US" w:eastAsia="zh-CN"/>
              </w:rPr>
              <w:t>公司</w:t>
            </w:r>
            <w:r>
              <w:rPr>
                <w:rFonts w:hint="eastAsia" w:asciiTheme="minorEastAsia" w:hAnsiTheme="minorEastAsia"/>
                <w:sz w:val="24"/>
                <w:szCs w:val="21"/>
              </w:rPr>
              <w:t>在汽车工程、汽车流通、汽车租赁等核心业务领域均位居细分市场前列；</w:t>
            </w:r>
            <w:r>
              <w:rPr>
                <w:rFonts w:hint="eastAsia" w:asciiTheme="minorEastAsia" w:hAnsiTheme="minorEastAsia"/>
                <w:b/>
                <w:bCs/>
                <w:sz w:val="24"/>
                <w:szCs w:val="21"/>
              </w:rPr>
              <w:t>第二，产业链布局优势</w:t>
            </w:r>
            <w:r>
              <w:rPr>
                <w:rFonts w:hint="eastAsia" w:asciiTheme="minorEastAsia" w:hAnsiTheme="minorEastAsia"/>
                <w:sz w:val="24"/>
                <w:szCs w:val="21"/>
              </w:rPr>
              <w:t>，</w:t>
            </w:r>
            <w:r>
              <w:rPr>
                <w:rFonts w:hint="eastAsia" w:asciiTheme="minorEastAsia" w:hAnsiTheme="minorEastAsia"/>
                <w:sz w:val="24"/>
                <w:szCs w:val="21"/>
                <w:lang w:val="en-US" w:eastAsia="zh-CN"/>
              </w:rPr>
              <w:t>公司</w:t>
            </w:r>
            <w:r>
              <w:rPr>
                <w:rFonts w:hint="eastAsia" w:asciiTheme="minorEastAsia" w:hAnsiTheme="minorEastAsia"/>
                <w:sz w:val="24"/>
                <w:szCs w:val="21"/>
              </w:rPr>
              <w:t>以汽车工程技术与装备为核心，涵盖汽车批售、零售、进口、出口</w:t>
            </w:r>
            <w:r>
              <w:rPr>
                <w:rFonts w:hint="eastAsia" w:asciiTheme="minorEastAsia" w:hAnsiTheme="minorEastAsia"/>
                <w:sz w:val="24"/>
                <w:szCs w:val="21"/>
                <w:lang w:eastAsia="zh-CN"/>
              </w:rPr>
              <w:t>、</w:t>
            </w:r>
            <w:r>
              <w:rPr>
                <w:rFonts w:hint="eastAsia" w:asciiTheme="minorEastAsia" w:hAnsiTheme="minorEastAsia"/>
                <w:sz w:val="24"/>
                <w:szCs w:val="21"/>
                <w:lang w:val="en-US" w:eastAsia="zh-CN"/>
              </w:rPr>
              <w:t>维修、物流、租赁、零部件、循环再生</w:t>
            </w:r>
            <w:r>
              <w:rPr>
                <w:rFonts w:hint="eastAsia" w:asciiTheme="minorEastAsia" w:hAnsiTheme="minorEastAsia"/>
                <w:sz w:val="24"/>
                <w:szCs w:val="21"/>
              </w:rPr>
              <w:t>等</w:t>
            </w:r>
            <w:r>
              <w:rPr>
                <w:rFonts w:hint="eastAsia" w:asciiTheme="minorEastAsia" w:hAnsiTheme="minorEastAsia"/>
                <w:sz w:val="24"/>
                <w:szCs w:val="21"/>
                <w:lang w:val="en-US" w:eastAsia="zh-CN"/>
              </w:rPr>
              <w:t>汽车</w:t>
            </w:r>
            <w:r>
              <w:rPr>
                <w:rFonts w:hint="eastAsia" w:asciiTheme="minorEastAsia" w:hAnsiTheme="minorEastAsia"/>
                <w:sz w:val="24"/>
                <w:szCs w:val="21"/>
              </w:rPr>
              <w:t>全产业链业务布局；</w:t>
            </w:r>
            <w:r>
              <w:rPr>
                <w:rFonts w:hint="eastAsia" w:asciiTheme="minorEastAsia" w:hAnsiTheme="minorEastAsia"/>
                <w:b/>
                <w:bCs/>
                <w:sz w:val="24"/>
                <w:szCs w:val="21"/>
              </w:rPr>
              <w:t>第三，央企平台优势</w:t>
            </w:r>
            <w:r>
              <w:rPr>
                <w:rFonts w:hint="eastAsia" w:asciiTheme="minorEastAsia" w:hAnsiTheme="minorEastAsia"/>
                <w:sz w:val="24"/>
                <w:szCs w:val="21"/>
              </w:rPr>
              <w:t>，公司是国机集团旗下工业化建设与供应链业务中汽车服务领域的唯一上市平台；</w:t>
            </w:r>
            <w:r>
              <w:rPr>
                <w:rFonts w:hint="eastAsia" w:asciiTheme="minorEastAsia" w:hAnsiTheme="minorEastAsia"/>
                <w:b/>
                <w:bCs/>
                <w:sz w:val="24"/>
                <w:szCs w:val="21"/>
              </w:rPr>
              <w:t>第四，产融结合优势</w:t>
            </w:r>
            <w:r>
              <w:rPr>
                <w:rFonts w:hint="eastAsia" w:asciiTheme="minorEastAsia" w:hAnsiTheme="minorEastAsia"/>
                <w:sz w:val="24"/>
                <w:szCs w:val="21"/>
              </w:rPr>
              <w:t>，自上市以来开展多轮资本运作，先后重组中汽进出口、中汽工程等优质资产，并在资本市场募集资金赋能业务发展；</w:t>
            </w:r>
            <w:r>
              <w:rPr>
                <w:rFonts w:hint="eastAsia" w:asciiTheme="minorEastAsia" w:hAnsiTheme="minorEastAsia"/>
                <w:b/>
                <w:bCs/>
                <w:sz w:val="24"/>
                <w:szCs w:val="21"/>
              </w:rPr>
              <w:t>第五，技术创新优势</w:t>
            </w:r>
            <w:r>
              <w:rPr>
                <w:rFonts w:hint="eastAsia" w:asciiTheme="minorEastAsia" w:hAnsiTheme="minorEastAsia"/>
                <w:sz w:val="24"/>
                <w:szCs w:val="21"/>
              </w:rPr>
              <w:t>，攻关多项“卡脖子”技术并填补国内空白；</w:t>
            </w:r>
            <w:r>
              <w:rPr>
                <w:rFonts w:hint="eastAsia" w:asciiTheme="minorEastAsia" w:hAnsiTheme="minorEastAsia"/>
                <w:b/>
                <w:bCs/>
                <w:sz w:val="24"/>
                <w:szCs w:val="21"/>
              </w:rPr>
              <w:t>第六，国际化经营优势</w:t>
            </w:r>
            <w:r>
              <w:rPr>
                <w:rFonts w:hint="eastAsia" w:asciiTheme="minorEastAsia" w:hAnsiTheme="minorEastAsia"/>
                <w:sz w:val="24"/>
                <w:szCs w:val="21"/>
              </w:rPr>
              <w:t>，融入全球汽车产业生态，汽车工程系统服务累计承接300余个海外项目，</w:t>
            </w:r>
            <w:r>
              <w:rPr>
                <w:rFonts w:hint="eastAsia" w:asciiTheme="minorEastAsia" w:hAnsiTheme="minorEastAsia"/>
                <w:sz w:val="24"/>
                <w:szCs w:val="21"/>
                <w:lang w:val="en-US" w:eastAsia="zh-CN"/>
              </w:rPr>
              <w:t>遍及40多个国家和地区，</w:t>
            </w:r>
            <w:r>
              <w:rPr>
                <w:rFonts w:hint="eastAsia" w:asciiTheme="minorEastAsia" w:hAnsiTheme="minorEastAsia"/>
                <w:sz w:val="24"/>
                <w:szCs w:val="21"/>
              </w:rPr>
              <w:t>汽车流通服务在欧洲形成整车出口分销综合服务体系。</w:t>
            </w:r>
          </w:p>
          <w:p w14:paraId="6344C814">
            <w:pPr>
              <w:numPr>
                <w:ilvl w:val="0"/>
                <w:numId w:val="0"/>
              </w:numPr>
              <w:spacing w:line="360" w:lineRule="exact"/>
              <w:ind w:firstLine="482" w:firstLineChars="200"/>
              <w:rPr>
                <w:rFonts w:hint="eastAsia" w:asciiTheme="minorEastAsia" w:hAnsiTheme="minorEastAsia"/>
                <w:b/>
                <w:sz w:val="24"/>
                <w:szCs w:val="21"/>
              </w:rPr>
            </w:pPr>
            <w:r>
              <w:rPr>
                <w:rFonts w:hint="eastAsia" w:asciiTheme="minorEastAsia" w:hAnsiTheme="minorEastAsia"/>
                <w:b/>
                <w:sz w:val="24"/>
                <w:szCs w:val="21"/>
                <w:lang w:val="en-US" w:eastAsia="zh-CN"/>
              </w:rPr>
              <w:t>2.</w:t>
            </w:r>
            <w:r>
              <w:rPr>
                <w:rFonts w:asciiTheme="minorEastAsia" w:hAnsiTheme="minorEastAsia"/>
                <w:b/>
                <w:sz w:val="24"/>
                <w:szCs w:val="21"/>
              </w:rPr>
              <w:t>问</w:t>
            </w:r>
            <w:r>
              <w:rPr>
                <w:rFonts w:hint="eastAsia" w:asciiTheme="minorEastAsia" w:hAnsiTheme="minorEastAsia"/>
                <w:b/>
                <w:sz w:val="24"/>
                <w:szCs w:val="21"/>
              </w:rPr>
              <w:t>：中汽工程相较同行的竞争优势有哪些？</w:t>
            </w:r>
          </w:p>
          <w:p w14:paraId="60BC92DC">
            <w:pPr>
              <w:numPr>
                <w:ilvl w:val="0"/>
                <w:numId w:val="0"/>
              </w:numPr>
              <w:spacing w:line="240" w:lineRule="auto"/>
              <w:rPr>
                <w:sz w:val="24"/>
              </w:rPr>
            </w:pPr>
            <w:r>
              <w:rPr>
                <w:rFonts w:hint="eastAsia" w:asciiTheme="minorEastAsia" w:hAnsiTheme="minorEastAsia"/>
                <w:b/>
                <w:sz w:val="24"/>
                <w:szCs w:val="21"/>
                <w:lang w:val="en-US" w:eastAsia="zh-CN"/>
              </w:rPr>
              <w:t xml:space="preserve">    </w:t>
            </w:r>
            <w:r>
              <w:rPr>
                <w:rFonts w:hint="eastAsia" w:asciiTheme="minorEastAsia" w:hAnsiTheme="minorEastAsia"/>
                <w:b w:val="0"/>
                <w:bCs/>
                <w:sz w:val="24"/>
                <w:szCs w:val="21"/>
                <w:lang w:val="en-US" w:eastAsia="zh-CN"/>
              </w:rPr>
              <w:t>答：</w:t>
            </w:r>
            <w:r>
              <w:rPr>
                <w:rFonts w:hint="eastAsia" w:asciiTheme="minorEastAsia" w:hAnsiTheme="minorEastAsia"/>
                <w:sz w:val="24"/>
                <w:szCs w:val="21"/>
              </w:rPr>
              <w:t>公司全资子公司中汽工程在天津、洛阳、济南拥有总建筑面积超3</w:t>
            </w:r>
            <w:r>
              <w:rPr>
                <w:rFonts w:asciiTheme="minorEastAsia" w:hAnsiTheme="minorEastAsia"/>
                <w:sz w:val="24"/>
                <w:szCs w:val="21"/>
              </w:rPr>
              <w:t>0</w:t>
            </w:r>
            <w:r>
              <w:rPr>
                <w:rFonts w:hint="eastAsia" w:asciiTheme="minorEastAsia" w:hAnsiTheme="minorEastAsia"/>
                <w:sz w:val="24"/>
                <w:szCs w:val="21"/>
              </w:rPr>
              <w:t>万m</w:t>
            </w:r>
            <w:r>
              <w:rPr>
                <w:rFonts w:asciiTheme="minorEastAsia" w:hAnsiTheme="minorEastAsia"/>
                <w:sz w:val="24"/>
                <w:szCs w:val="21"/>
              </w:rPr>
              <w:t>²</w:t>
            </w:r>
            <w:r>
              <w:rPr>
                <w:rFonts w:hint="eastAsia" w:asciiTheme="minorEastAsia" w:hAnsiTheme="minorEastAsia"/>
                <w:sz w:val="24"/>
                <w:szCs w:val="21"/>
              </w:rPr>
              <w:t>的四个装备研发、试验、制造一体化中心，涵盖汽车焊装、涂装、总装、铸锻、物流及数字化、智能化业务，形成“高质量、优成本、短周期、增值化”的全产业链、全周期工程技术服务能力，其中，涂装、总装装备产线系统解决方案处于全球领先地位，焊装装备产线系统解决方案等业务处于国内领先地位。</w:t>
            </w:r>
          </w:p>
          <w:p w14:paraId="3D5AFBD5">
            <w:pPr>
              <w:spacing w:line="360" w:lineRule="exact"/>
              <w:rPr>
                <w:rFonts w:hint="default" w:asciiTheme="minorEastAsia" w:hAnsiTheme="minorEastAsia" w:eastAsiaTheme="minorEastAsia"/>
                <w:b/>
                <w:sz w:val="24"/>
                <w:szCs w:val="21"/>
                <w:lang w:val="en-US" w:eastAsia="zh-CN"/>
              </w:rPr>
            </w:pPr>
            <w:r>
              <w:rPr>
                <w:rFonts w:asciiTheme="minorEastAsia" w:hAnsiTheme="minorEastAsia"/>
                <w:b/>
                <w:sz w:val="24"/>
                <w:szCs w:val="21"/>
              </w:rPr>
              <w:t xml:space="preserve">    3.问</w:t>
            </w:r>
            <w:r>
              <w:rPr>
                <w:rFonts w:hint="eastAsia" w:asciiTheme="minorEastAsia" w:hAnsiTheme="minorEastAsia"/>
                <w:b/>
                <w:sz w:val="24"/>
                <w:szCs w:val="21"/>
              </w:rPr>
              <w:t>：</w:t>
            </w:r>
            <w:r>
              <w:rPr>
                <w:rFonts w:hint="eastAsia" w:asciiTheme="minorEastAsia" w:hAnsiTheme="minorEastAsia"/>
                <w:b/>
                <w:sz w:val="24"/>
                <w:szCs w:val="21"/>
                <w:lang w:val="en-US" w:eastAsia="zh-CN"/>
              </w:rPr>
              <w:t>近年来，公司研发支出稳定在6亿元左右，主要用于哪些方面？</w:t>
            </w:r>
          </w:p>
          <w:p w14:paraId="4B33E45B">
            <w:pPr>
              <w:ind w:firstLine="480"/>
              <w:rPr>
                <w:rFonts w:ascii="宋体" w:hAnsi="宋体" w:eastAsia="宋体" w:cs="宋体"/>
                <w:sz w:val="24"/>
                <w:szCs w:val="24"/>
              </w:rPr>
            </w:pPr>
            <w:r>
              <w:rPr>
                <w:sz w:val="24"/>
              </w:rPr>
              <w:t>答</w:t>
            </w:r>
            <w:r>
              <w:rPr>
                <w:rFonts w:hint="eastAsia"/>
                <w:sz w:val="24"/>
              </w:rPr>
              <w:t>：</w:t>
            </w:r>
            <w:r>
              <w:rPr>
                <w:rFonts w:hint="eastAsia"/>
                <w:sz w:val="24"/>
                <w:lang w:val="en-US" w:eastAsia="zh-CN"/>
              </w:rPr>
              <w:t>公司坚持以科技创新为引领，近三年汽车工程业务的平均研发投入强度达4.64%，研发费用主要用于公司全资子公司中汽工程。中汽工程</w:t>
            </w:r>
            <w:r>
              <w:rPr>
                <w:rFonts w:ascii="宋体" w:hAnsi="宋体" w:eastAsia="宋体" w:cs="宋体"/>
                <w:sz w:val="24"/>
                <w:szCs w:val="24"/>
              </w:rPr>
              <w:t>聚焦“柔性、精益、智能、绿色”，持续推动技术迭代。研发的涂装车间低碳解决方案，包含干式喷房系统、电加热烘干系统、电加热废气处理系统，整体方案高度智能化与节能化，有效提高能源利用效率，降低涂装工艺整体能耗，通过技术赋能推动产业绿色转型</w:t>
            </w:r>
            <w:r>
              <w:rPr>
                <w:rFonts w:hint="eastAsia" w:ascii="宋体" w:hAnsi="宋体" w:eastAsia="宋体" w:cs="宋体"/>
                <w:sz w:val="24"/>
                <w:szCs w:val="24"/>
                <w:lang w:eastAsia="zh-CN"/>
              </w:rPr>
              <w:t>。</w:t>
            </w:r>
            <w:r>
              <w:rPr>
                <w:rFonts w:ascii="宋体" w:hAnsi="宋体" w:eastAsia="宋体" w:cs="宋体"/>
                <w:sz w:val="24"/>
                <w:szCs w:val="24"/>
              </w:rPr>
              <w:t>研发的AE-SolutionX互联智造平台，实现生产过程监控、支撑生产运营决策、厂内物流协同、 基于大语言模型的平台助手四大功能，为客户数智化转型提供坚实助力，相关功能已在比亚迪、宝骏、奇瑞等项目应用。</w:t>
            </w:r>
          </w:p>
          <w:p w14:paraId="00171327">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4.问：公司汽车工程出海业务，未来计划做哪些方面拓展？</w:t>
            </w:r>
          </w:p>
          <w:p w14:paraId="5B4843ED">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答：一方面，公司</w:t>
            </w:r>
            <w:r>
              <w:rPr>
                <w:rFonts w:ascii="宋体" w:hAnsi="宋体" w:eastAsia="宋体" w:cs="宋体"/>
                <w:sz w:val="24"/>
                <w:szCs w:val="24"/>
              </w:rPr>
              <w:t>深化全球品牌车企合作，加快推进国际技术标准体系建设，优化全球资源配置布局，承接沃尔沃瑞典、斯洛伐克等项目；</w:t>
            </w:r>
            <w:r>
              <w:rPr>
                <w:rFonts w:hint="eastAsia" w:ascii="宋体" w:hAnsi="宋体" w:eastAsia="宋体" w:cs="宋体"/>
                <w:sz w:val="24"/>
                <w:szCs w:val="24"/>
                <w:lang w:val="en-US" w:eastAsia="zh-CN"/>
              </w:rPr>
              <w:t>另一方面，公司</w:t>
            </w:r>
            <w:r>
              <w:rPr>
                <w:rFonts w:ascii="宋体" w:hAnsi="宋体" w:eastAsia="宋体" w:cs="宋体"/>
                <w:sz w:val="24"/>
                <w:szCs w:val="24"/>
              </w:rPr>
              <w:t>赋能中国汽车品牌出海，新签比亚迪泰国、匈牙利、印尼及上汽通用五菱印尼等项目。</w:t>
            </w:r>
          </w:p>
          <w:p w14:paraId="02C69938">
            <w:pPr>
              <w:numPr>
                <w:ilvl w:val="0"/>
                <w:numId w:val="0"/>
              </w:numPr>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5.问：汽车进口及国内流通业务公司如何打算？</w:t>
            </w:r>
          </w:p>
          <w:p w14:paraId="4E5998C5">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汽车进口和国内流通业务作为公司的主营业务之一，凭借深厚的历史积累和稳健高效的经营，与多家跨国车企建立了长期、稳定、良好的合作关系。公司在确保进口汽车业务持续性和稳定性的基础上，积极拓展国内市场业务，进口国产双轮驱动发展战略见成效。</w:t>
            </w:r>
          </w:p>
          <w:p w14:paraId="782AED05">
            <w:pPr>
              <w:numPr>
                <w:ilvl w:val="0"/>
                <w:numId w:val="0"/>
              </w:numPr>
              <w:ind w:firstLine="482" w:firstLineChars="200"/>
              <w:rPr>
                <w:rFonts w:hint="eastAsia" w:asciiTheme="minorEastAsia" w:hAnsiTheme="minorEastAsia"/>
                <w:b/>
                <w:sz w:val="24"/>
                <w:szCs w:val="21"/>
                <w:lang w:val="en-US" w:eastAsia="zh-CN"/>
              </w:rPr>
            </w:pPr>
            <w:r>
              <w:rPr>
                <w:rFonts w:hint="eastAsia" w:asciiTheme="minorEastAsia" w:hAnsiTheme="minorEastAsia"/>
                <w:b/>
                <w:sz w:val="24"/>
                <w:szCs w:val="21"/>
                <w:lang w:val="en-US" w:eastAsia="zh-CN"/>
              </w:rPr>
              <w:t>6.问：公司如何看待国内汽车行业未来的发展？</w:t>
            </w:r>
          </w:p>
          <w:p w14:paraId="1C88688A">
            <w:pPr>
              <w:numPr>
                <w:ilvl w:val="0"/>
                <w:numId w:val="0"/>
              </w:numPr>
              <w:rPr>
                <w:rFonts w:hint="default" w:asciiTheme="minorEastAsia" w:hAnsiTheme="minorEastAsia"/>
                <w:b w:val="0"/>
                <w:bCs/>
                <w:sz w:val="24"/>
                <w:szCs w:val="21"/>
                <w:lang w:val="en-US" w:eastAsia="zh-CN"/>
              </w:rPr>
            </w:pPr>
            <w:r>
              <w:rPr>
                <w:rFonts w:hint="eastAsia" w:asciiTheme="minorEastAsia" w:hAnsiTheme="minorEastAsia"/>
                <w:b/>
                <w:sz w:val="24"/>
                <w:szCs w:val="21"/>
                <w:lang w:val="en-US" w:eastAsia="zh-CN"/>
              </w:rPr>
              <w:t xml:space="preserve">    </w:t>
            </w:r>
            <w:r>
              <w:rPr>
                <w:rFonts w:hint="eastAsia" w:asciiTheme="minorEastAsia" w:hAnsiTheme="minorEastAsia"/>
                <w:b w:val="0"/>
                <w:bCs/>
                <w:sz w:val="24"/>
                <w:szCs w:val="21"/>
                <w:lang w:val="en-US" w:eastAsia="zh-CN"/>
              </w:rPr>
              <w:t>答：国内汽车行业的未来，趋向全球化、智能化、电动化和生态化，过程中挑战依然存在，激烈的内卷、技术迭代的风险、出海的地缘政治等。国内新能源产业的快速发展，是我国从汽车大国迈向汽车强国的必由之路。</w:t>
            </w:r>
          </w:p>
          <w:p w14:paraId="39A0192F">
            <w:pPr>
              <w:ind w:firstLine="480"/>
              <w:rPr>
                <w:rFonts w:hint="eastAsia" w:asciiTheme="minorEastAsia" w:hAnsiTheme="minorEastAsia"/>
                <w:b/>
                <w:sz w:val="24"/>
                <w:szCs w:val="21"/>
                <w:lang w:val="en-US" w:eastAsia="zh-CN"/>
              </w:rPr>
            </w:pPr>
            <w:r>
              <w:rPr>
                <w:rFonts w:hint="eastAsia" w:asciiTheme="minorEastAsia" w:hAnsiTheme="minorEastAsia"/>
                <w:b/>
                <w:sz w:val="24"/>
                <w:szCs w:val="21"/>
                <w:lang w:val="en-US" w:eastAsia="zh-CN"/>
              </w:rPr>
              <w:t>7.</w:t>
            </w:r>
            <w:r>
              <w:rPr>
                <w:rFonts w:asciiTheme="minorEastAsia" w:hAnsiTheme="minorEastAsia"/>
                <w:b/>
                <w:sz w:val="24"/>
                <w:szCs w:val="21"/>
              </w:rPr>
              <w:t>问</w:t>
            </w:r>
            <w:r>
              <w:rPr>
                <w:rFonts w:hint="eastAsia" w:asciiTheme="minorEastAsia" w:hAnsiTheme="minorEastAsia"/>
                <w:b/>
                <w:sz w:val="24"/>
                <w:szCs w:val="21"/>
              </w:rPr>
              <w:t>：</w:t>
            </w:r>
            <w:r>
              <w:rPr>
                <w:rFonts w:hint="eastAsia" w:asciiTheme="minorEastAsia" w:hAnsiTheme="minorEastAsia"/>
                <w:b/>
                <w:sz w:val="24"/>
                <w:szCs w:val="21"/>
                <w:lang w:val="en-US" w:eastAsia="zh-CN"/>
              </w:rPr>
              <w:t>在市值管理方面，今年公司做了哪些工作？</w:t>
            </w:r>
          </w:p>
          <w:p w14:paraId="4DF2F531">
            <w:pPr>
              <w:rPr>
                <w:sz w:val="24"/>
              </w:rPr>
            </w:pPr>
            <w:r>
              <w:rPr>
                <w:rFonts w:hint="eastAsia"/>
                <w:sz w:val="24"/>
              </w:rPr>
              <w:t xml:space="preserve"> </w:t>
            </w:r>
            <w:r>
              <w:rPr>
                <w:sz w:val="24"/>
              </w:rPr>
              <w:t xml:space="preserve">   答</w:t>
            </w:r>
            <w:r>
              <w:rPr>
                <w:rFonts w:hint="eastAsia"/>
                <w:sz w:val="24"/>
              </w:rPr>
              <w:t>：</w:t>
            </w:r>
            <w:r>
              <w:rPr>
                <w:rFonts w:hint="eastAsia" w:ascii="Times New Roman" w:hAnsi="宋体" w:eastAsia="宋体" w:cs="Times New Roman"/>
                <w:sz w:val="24"/>
                <w:szCs w:val="24"/>
                <w:lang w:val="en-US" w:eastAsia="zh-CN"/>
              </w:rPr>
              <w:t>2025年以来</w:t>
            </w:r>
            <w:r>
              <w:rPr>
                <w:rFonts w:hint="eastAsia" w:ascii="Times New Roman" w:hAnsi="宋体" w:eastAsia="宋体" w:cs="Times New Roman"/>
                <w:sz w:val="24"/>
                <w:szCs w:val="24"/>
              </w:rPr>
              <w:t>，</w:t>
            </w:r>
            <w:r>
              <w:rPr>
                <w:rFonts w:ascii="Times New Roman" w:hAnsi="宋体" w:eastAsia="宋体" w:cs="Times New Roman"/>
                <w:sz w:val="24"/>
                <w:szCs w:val="24"/>
              </w:rPr>
              <w:t>公司</w:t>
            </w:r>
            <w:r>
              <w:rPr>
                <w:rFonts w:hint="eastAsia" w:ascii="Times New Roman" w:hAnsi="宋体" w:eastAsia="宋体" w:cs="Times New Roman"/>
                <w:sz w:val="24"/>
                <w:szCs w:val="24"/>
              </w:rPr>
              <w:t>在市值管理方面实施了一</w:t>
            </w:r>
            <w:r>
              <w:rPr>
                <w:rFonts w:hint="eastAsia" w:ascii="Times New Roman" w:hAnsi="宋体" w:eastAsia="宋体" w:cs="Times New Roman"/>
                <w:sz w:val="24"/>
                <w:szCs w:val="24"/>
                <w:lang w:val="en-US" w:eastAsia="zh-CN"/>
              </w:rPr>
              <w:t>系列</w:t>
            </w:r>
            <w:r>
              <w:rPr>
                <w:rFonts w:ascii="Times New Roman" w:hAnsi="宋体" w:eastAsia="宋体" w:cs="Times New Roman"/>
                <w:sz w:val="24"/>
                <w:szCs w:val="24"/>
              </w:rPr>
              <w:t>措施</w:t>
            </w:r>
            <w:r>
              <w:rPr>
                <w:rFonts w:hint="eastAsia" w:ascii="Times New Roman" w:hAnsi="宋体" w:eastAsia="宋体" w:cs="Times New Roman"/>
                <w:sz w:val="24"/>
                <w:szCs w:val="24"/>
              </w:rPr>
              <w:t>：制定《市值管理制度》，明确市值管理工作的组织领导机制和责任落实机制；</w:t>
            </w:r>
            <w:r>
              <w:rPr>
                <w:rFonts w:ascii="Times New Roman" w:hAnsi="宋体" w:eastAsia="宋体" w:cs="Times New Roman"/>
                <w:sz w:val="24"/>
                <w:szCs w:val="24"/>
              </w:rPr>
              <w:t>发布《估值提升计划》</w:t>
            </w:r>
            <w:r>
              <w:rPr>
                <w:rFonts w:hint="eastAsia" w:ascii="Times New Roman" w:hAnsi="宋体" w:eastAsia="宋体" w:cs="Times New Roman"/>
                <w:sz w:val="24"/>
                <w:szCs w:val="24"/>
              </w:rPr>
              <w:t>、</w:t>
            </w:r>
            <w:r>
              <w:rPr>
                <w:rFonts w:ascii="Times New Roman" w:hAnsi="宋体" w:eastAsia="宋体" w:cs="Times New Roman"/>
                <w:sz w:val="24"/>
                <w:szCs w:val="24"/>
              </w:rPr>
              <w:t>《未来三年（</w:t>
            </w:r>
            <w:r>
              <w:rPr>
                <w:rFonts w:ascii="宋体" w:hAnsi="宋体" w:eastAsia="宋体" w:cs="Times New Roman"/>
                <w:sz w:val="24"/>
                <w:szCs w:val="24"/>
              </w:rPr>
              <w:t>2025-2027年</w:t>
            </w:r>
            <w:r>
              <w:rPr>
                <w:rFonts w:ascii="Times New Roman" w:hAnsi="宋体" w:eastAsia="宋体" w:cs="Times New Roman"/>
                <w:sz w:val="24"/>
                <w:szCs w:val="24"/>
              </w:rPr>
              <w:t>）股东分红回报规划》、</w:t>
            </w:r>
            <w:r>
              <w:rPr>
                <w:rFonts w:hint="eastAsia" w:ascii="Times New Roman" w:hAnsi="宋体" w:eastAsia="宋体" w:cs="Times New Roman"/>
                <w:sz w:val="24"/>
                <w:szCs w:val="24"/>
              </w:rPr>
              <w:t>股份</w:t>
            </w:r>
            <w:r>
              <w:rPr>
                <w:rFonts w:ascii="Times New Roman" w:hAnsi="宋体" w:eastAsia="宋体" w:cs="Times New Roman"/>
                <w:sz w:val="24"/>
                <w:szCs w:val="24"/>
              </w:rPr>
              <w:t>回购方案</w:t>
            </w:r>
            <w:r>
              <w:rPr>
                <w:rFonts w:hint="eastAsia" w:ascii="Times New Roman" w:hAnsi="宋体" w:eastAsia="宋体" w:cs="Times New Roman"/>
                <w:sz w:val="24"/>
                <w:szCs w:val="24"/>
              </w:rPr>
              <w:t>。</w:t>
            </w:r>
          </w:p>
          <w:p w14:paraId="2DE4D831">
            <w:pPr>
              <w:spacing w:line="360" w:lineRule="exact"/>
              <w:rPr>
                <w:rFonts w:hint="default" w:asciiTheme="minorEastAsia" w:hAnsiTheme="minorEastAsia" w:eastAsiaTheme="minorEastAsia"/>
                <w:b/>
                <w:sz w:val="24"/>
                <w:szCs w:val="21"/>
                <w:lang w:val="en-US" w:eastAsia="zh-CN"/>
              </w:rPr>
            </w:pPr>
            <w:r>
              <w:rPr>
                <w:rFonts w:hint="eastAsia" w:asciiTheme="minorEastAsia" w:hAnsiTheme="minorEastAsia"/>
                <w:b/>
                <w:sz w:val="24"/>
                <w:szCs w:val="21"/>
                <w:lang w:val="en-US" w:eastAsia="zh-CN"/>
              </w:rPr>
              <w:t xml:space="preserve">    8.问：</w:t>
            </w:r>
            <w:r>
              <w:rPr>
                <w:rFonts w:hint="eastAsia" w:ascii="宋体" w:hAnsi="宋体" w:eastAsia="宋体"/>
                <w:b/>
                <w:sz w:val="24"/>
                <w:szCs w:val="24"/>
              </w:rPr>
              <w:t>过去几年，</w:t>
            </w:r>
            <w:r>
              <w:rPr>
                <w:rFonts w:hint="eastAsia" w:ascii="宋体" w:hAnsi="宋体" w:eastAsia="宋体"/>
                <w:b/>
                <w:sz w:val="24"/>
                <w:szCs w:val="24"/>
                <w:lang w:val="en-US" w:eastAsia="zh-CN"/>
              </w:rPr>
              <w:t>观察到公司计提较多</w:t>
            </w:r>
            <w:r>
              <w:rPr>
                <w:rFonts w:hint="eastAsia" w:ascii="宋体" w:hAnsi="宋体" w:eastAsia="宋体"/>
                <w:b/>
                <w:sz w:val="24"/>
                <w:szCs w:val="24"/>
              </w:rPr>
              <w:t>减值</w:t>
            </w:r>
            <w:r>
              <w:rPr>
                <w:rFonts w:hint="eastAsia" w:ascii="宋体" w:hAnsi="宋体" w:eastAsia="宋体"/>
                <w:b/>
                <w:sz w:val="24"/>
                <w:szCs w:val="24"/>
                <w:lang w:eastAsia="zh-CN"/>
              </w:rPr>
              <w:t>，</w:t>
            </w:r>
            <w:r>
              <w:rPr>
                <w:rFonts w:hint="eastAsia" w:ascii="宋体" w:hAnsi="宋体" w:eastAsia="宋体"/>
                <w:b/>
                <w:sz w:val="24"/>
                <w:szCs w:val="24"/>
                <w:lang w:val="en-US" w:eastAsia="zh-CN"/>
              </w:rPr>
              <w:t>未来会如何</w:t>
            </w:r>
            <w:r>
              <w:rPr>
                <w:rFonts w:hint="eastAsia" w:ascii="宋体" w:hAnsi="宋体" w:eastAsia="宋体"/>
                <w:b/>
                <w:sz w:val="24"/>
                <w:szCs w:val="24"/>
              </w:rPr>
              <w:t>？</w:t>
            </w:r>
          </w:p>
          <w:p w14:paraId="0236B674">
            <w:pPr>
              <w:spacing w:line="24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1"/>
                <w:lang w:val="en-US" w:eastAsia="zh-CN"/>
              </w:rPr>
              <w:t xml:space="preserve">    </w:t>
            </w:r>
            <w:r>
              <w:rPr>
                <w:rFonts w:hint="eastAsia" w:asciiTheme="minorEastAsia" w:hAnsiTheme="minorEastAsia"/>
                <w:b w:val="0"/>
                <w:bCs/>
                <w:sz w:val="24"/>
                <w:szCs w:val="21"/>
                <w:lang w:val="en-US" w:eastAsia="zh-CN"/>
              </w:rPr>
              <w:t>答：“十四五”</w:t>
            </w:r>
            <w:r>
              <w:rPr>
                <w:rFonts w:hint="eastAsia" w:ascii="宋体" w:hAnsi="宋体" w:eastAsia="宋体"/>
                <w:sz w:val="24"/>
                <w:szCs w:val="24"/>
              </w:rPr>
              <w:t>以来，公司积极开展全系统重大风险事件的动态跟踪、识别和管理，关停风险业务，规范坏账计提，夯实资产质量</w:t>
            </w:r>
            <w:r>
              <w:rPr>
                <w:rFonts w:hint="eastAsia" w:ascii="宋体" w:hAnsi="宋体" w:eastAsia="宋体"/>
                <w:sz w:val="24"/>
                <w:szCs w:val="24"/>
                <w:lang w:eastAsia="zh-CN"/>
              </w:rPr>
              <w:t>。</w:t>
            </w:r>
            <w:r>
              <w:rPr>
                <w:rFonts w:hint="eastAsia" w:ascii="宋体" w:hAnsi="宋体" w:eastAsia="宋体"/>
                <w:sz w:val="24"/>
                <w:szCs w:val="24"/>
              </w:rPr>
              <w:t>未来，公司</w:t>
            </w:r>
            <w:r>
              <w:rPr>
                <w:rFonts w:hint="eastAsia" w:ascii="宋体" w:hAnsi="宋体" w:eastAsia="宋体"/>
                <w:sz w:val="24"/>
                <w:szCs w:val="24"/>
                <w:lang w:val="en-US" w:eastAsia="zh-CN"/>
              </w:rPr>
              <w:t>将按照会计准则的规定</w:t>
            </w:r>
            <w:bookmarkStart w:id="0" w:name="_GoBack"/>
            <w:bookmarkEnd w:id="0"/>
            <w:r>
              <w:rPr>
                <w:rFonts w:hint="eastAsia" w:ascii="宋体" w:hAnsi="宋体" w:eastAsia="宋体"/>
                <w:sz w:val="24"/>
                <w:szCs w:val="24"/>
              </w:rPr>
              <w:t>，结合</w:t>
            </w:r>
            <w:r>
              <w:rPr>
                <w:rFonts w:hint="eastAsia" w:ascii="宋体" w:hAnsi="宋体" w:eastAsia="宋体"/>
                <w:sz w:val="24"/>
                <w:szCs w:val="24"/>
                <w:lang w:val="en-US" w:eastAsia="zh-CN"/>
              </w:rPr>
              <w:t>实际</w:t>
            </w:r>
            <w:r>
              <w:rPr>
                <w:rFonts w:hint="eastAsia" w:ascii="宋体" w:hAnsi="宋体" w:eastAsia="宋体"/>
                <w:sz w:val="24"/>
                <w:szCs w:val="24"/>
              </w:rPr>
              <w:t>状况进行评估计提相应的减值。</w:t>
            </w:r>
          </w:p>
        </w:tc>
      </w:tr>
      <w:tr w14:paraId="26EF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689BD854">
            <w:pPr>
              <w:jc w:val="center"/>
              <w:rPr>
                <w:rFonts w:asciiTheme="minorEastAsia" w:hAnsiTheme="minorEastAsia"/>
                <w:b/>
                <w:sz w:val="24"/>
                <w:szCs w:val="24"/>
              </w:rPr>
            </w:pPr>
            <w:r>
              <w:rPr>
                <w:rFonts w:hint="eastAsia" w:asciiTheme="minorEastAsia" w:hAnsiTheme="minorEastAsia"/>
                <w:b/>
                <w:sz w:val="24"/>
                <w:szCs w:val="24"/>
              </w:rPr>
              <w:t>附件清单</w:t>
            </w:r>
          </w:p>
          <w:p w14:paraId="4AD76CAF">
            <w:pPr>
              <w:jc w:val="center"/>
              <w:rPr>
                <w:rFonts w:asciiTheme="minorEastAsia" w:hAnsiTheme="minorEastAsia"/>
                <w:b/>
                <w:sz w:val="24"/>
                <w:szCs w:val="24"/>
              </w:rPr>
            </w:pPr>
            <w:r>
              <w:rPr>
                <w:rFonts w:hint="eastAsia" w:asciiTheme="minorEastAsia" w:hAnsiTheme="minorEastAsia"/>
                <w:b/>
                <w:sz w:val="24"/>
                <w:szCs w:val="24"/>
              </w:rPr>
              <w:t>（如有）</w:t>
            </w:r>
          </w:p>
        </w:tc>
        <w:tc>
          <w:tcPr>
            <w:tcW w:w="6854" w:type="dxa"/>
          </w:tcPr>
          <w:p w14:paraId="45714EF7">
            <w:pPr>
              <w:pStyle w:val="13"/>
              <w:spacing w:line="360" w:lineRule="exact"/>
              <w:ind w:firstLine="0" w:firstLineChars="0"/>
              <w:rPr>
                <w:rFonts w:asciiTheme="minorEastAsia" w:hAnsiTheme="minorEastAsia"/>
                <w:b/>
                <w:sz w:val="24"/>
                <w:szCs w:val="21"/>
              </w:rPr>
            </w:pPr>
            <w:r>
              <w:rPr>
                <w:rFonts w:hint="eastAsia" w:asciiTheme="minorEastAsia" w:hAnsiTheme="minorEastAsia"/>
                <w:b/>
                <w:sz w:val="24"/>
                <w:szCs w:val="21"/>
              </w:rPr>
              <w:t>无</w:t>
            </w:r>
          </w:p>
        </w:tc>
      </w:tr>
      <w:tr w14:paraId="5BFF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344BE06">
            <w:pPr>
              <w:jc w:val="center"/>
              <w:rPr>
                <w:rFonts w:asciiTheme="minorEastAsia" w:hAnsiTheme="minorEastAsia"/>
                <w:b/>
                <w:sz w:val="24"/>
                <w:szCs w:val="24"/>
              </w:rPr>
            </w:pPr>
            <w:r>
              <w:rPr>
                <w:rFonts w:hint="eastAsia" w:asciiTheme="minorEastAsia" w:hAnsiTheme="minorEastAsia"/>
                <w:b/>
                <w:sz w:val="24"/>
                <w:szCs w:val="24"/>
              </w:rPr>
              <w:t>日期</w:t>
            </w:r>
          </w:p>
        </w:tc>
        <w:tc>
          <w:tcPr>
            <w:tcW w:w="6854" w:type="dxa"/>
          </w:tcPr>
          <w:p w14:paraId="0F3AC0B4">
            <w:pPr>
              <w:rPr>
                <w:rFonts w:asciiTheme="minorEastAsia" w:hAnsiTheme="minorEastAsia"/>
                <w:b/>
                <w:sz w:val="24"/>
                <w:szCs w:val="21"/>
              </w:rPr>
            </w:pPr>
            <w:r>
              <w:rPr>
                <w:rFonts w:hint="eastAsia" w:asciiTheme="minorEastAsia" w:hAnsiTheme="minorEastAsia"/>
                <w:b/>
                <w:sz w:val="24"/>
                <w:szCs w:val="21"/>
              </w:rPr>
              <w:t>2</w:t>
            </w:r>
            <w:r>
              <w:rPr>
                <w:rFonts w:asciiTheme="minorEastAsia" w:hAnsiTheme="minorEastAsia"/>
                <w:b/>
                <w:sz w:val="24"/>
                <w:szCs w:val="21"/>
              </w:rPr>
              <w:t>02</w:t>
            </w:r>
            <w:r>
              <w:rPr>
                <w:rFonts w:hint="eastAsia" w:asciiTheme="minorEastAsia" w:hAnsiTheme="minorEastAsia"/>
                <w:b/>
                <w:sz w:val="24"/>
                <w:szCs w:val="21"/>
                <w:lang w:val="en-US" w:eastAsia="zh-CN"/>
              </w:rPr>
              <w:t>5</w:t>
            </w:r>
            <w:r>
              <w:rPr>
                <w:rFonts w:hint="eastAsia" w:asciiTheme="minorEastAsia" w:hAnsiTheme="minorEastAsia"/>
                <w:b/>
                <w:sz w:val="24"/>
                <w:szCs w:val="21"/>
              </w:rPr>
              <w:t>年</w:t>
            </w:r>
            <w:r>
              <w:rPr>
                <w:rFonts w:hint="eastAsia" w:asciiTheme="minorEastAsia" w:hAnsiTheme="minorEastAsia"/>
                <w:b/>
                <w:sz w:val="24"/>
                <w:szCs w:val="21"/>
                <w:lang w:val="en-US" w:eastAsia="zh-CN"/>
              </w:rPr>
              <w:t>9</w:t>
            </w:r>
            <w:r>
              <w:rPr>
                <w:rFonts w:hint="eastAsia" w:asciiTheme="minorEastAsia" w:hAnsiTheme="minorEastAsia"/>
                <w:b/>
                <w:sz w:val="24"/>
                <w:szCs w:val="21"/>
              </w:rPr>
              <w:t>月</w:t>
            </w:r>
            <w:r>
              <w:rPr>
                <w:rFonts w:hint="eastAsia" w:asciiTheme="minorEastAsia" w:hAnsiTheme="minorEastAsia"/>
                <w:b/>
                <w:sz w:val="24"/>
                <w:szCs w:val="21"/>
                <w:lang w:val="en-US" w:eastAsia="zh-CN"/>
              </w:rPr>
              <w:t>5</w:t>
            </w:r>
            <w:r>
              <w:rPr>
                <w:rFonts w:hint="eastAsia" w:asciiTheme="minorEastAsia" w:hAnsiTheme="minorEastAsia"/>
                <w:b/>
                <w:sz w:val="24"/>
                <w:szCs w:val="21"/>
              </w:rPr>
              <w:t>日</w:t>
            </w:r>
          </w:p>
        </w:tc>
      </w:tr>
    </w:tbl>
    <w:p w14:paraId="56E7CD0E">
      <w:pPr>
        <w:rPr>
          <w:highlight w:val="yellow"/>
        </w:rPr>
      </w:pPr>
    </w:p>
    <w:p w14:paraId="15B27AD4"/>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F519">
    <w:pPr>
      <w:pStyle w:val="5"/>
      <w:jc w:val="left"/>
    </w:pPr>
    <w:r>
      <w:rPr>
        <w:rFonts w:hint="eastAsia"/>
      </w:rPr>
      <w:t xml:space="preserve">证券代码： </w:t>
    </w:r>
    <w:r>
      <w:t xml:space="preserve">                                                               </w:t>
    </w:r>
    <w:r>
      <w:rPr>
        <w:rFonts w:hint="eastAsia"/>
      </w:rPr>
      <w:t>证券简称：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OWU4YmU5Y2JjODBkNTE5N2EyZmZiOWZiYjVjODMifQ=="/>
  </w:docVars>
  <w:rsids>
    <w:rsidRoot w:val="00847310"/>
    <w:rsid w:val="00002FE6"/>
    <w:rsid w:val="00004A2F"/>
    <w:rsid w:val="00011FEB"/>
    <w:rsid w:val="000132DE"/>
    <w:rsid w:val="000149BD"/>
    <w:rsid w:val="00016FA6"/>
    <w:rsid w:val="0001798C"/>
    <w:rsid w:val="000221F3"/>
    <w:rsid w:val="00030B2D"/>
    <w:rsid w:val="000356A4"/>
    <w:rsid w:val="00044D4D"/>
    <w:rsid w:val="00051055"/>
    <w:rsid w:val="00054114"/>
    <w:rsid w:val="000631D4"/>
    <w:rsid w:val="00063582"/>
    <w:rsid w:val="000635BF"/>
    <w:rsid w:val="00063773"/>
    <w:rsid w:val="0006483A"/>
    <w:rsid w:val="000668CC"/>
    <w:rsid w:val="00071E83"/>
    <w:rsid w:val="0007490D"/>
    <w:rsid w:val="000866E5"/>
    <w:rsid w:val="00092159"/>
    <w:rsid w:val="00095FF1"/>
    <w:rsid w:val="00097CA6"/>
    <w:rsid w:val="000A3C5D"/>
    <w:rsid w:val="000B15AD"/>
    <w:rsid w:val="000B2511"/>
    <w:rsid w:val="000B3253"/>
    <w:rsid w:val="000B558B"/>
    <w:rsid w:val="000C7159"/>
    <w:rsid w:val="000E47AB"/>
    <w:rsid w:val="000E634C"/>
    <w:rsid w:val="000F5ACB"/>
    <w:rsid w:val="00100F44"/>
    <w:rsid w:val="00114DE5"/>
    <w:rsid w:val="00116DD7"/>
    <w:rsid w:val="00120CC5"/>
    <w:rsid w:val="00123673"/>
    <w:rsid w:val="00126FBE"/>
    <w:rsid w:val="0014753D"/>
    <w:rsid w:val="00147C4F"/>
    <w:rsid w:val="001530C2"/>
    <w:rsid w:val="001603CD"/>
    <w:rsid w:val="00160DBC"/>
    <w:rsid w:val="001618BA"/>
    <w:rsid w:val="0016348D"/>
    <w:rsid w:val="00171788"/>
    <w:rsid w:val="00175BCF"/>
    <w:rsid w:val="00175F5C"/>
    <w:rsid w:val="0017752B"/>
    <w:rsid w:val="00177D6C"/>
    <w:rsid w:val="00180C23"/>
    <w:rsid w:val="001833BA"/>
    <w:rsid w:val="00183C7C"/>
    <w:rsid w:val="00186E00"/>
    <w:rsid w:val="00194600"/>
    <w:rsid w:val="00196CEC"/>
    <w:rsid w:val="001A03E5"/>
    <w:rsid w:val="001A18BF"/>
    <w:rsid w:val="001A31AE"/>
    <w:rsid w:val="001A487A"/>
    <w:rsid w:val="001A5535"/>
    <w:rsid w:val="001A6893"/>
    <w:rsid w:val="001B21A5"/>
    <w:rsid w:val="001B4016"/>
    <w:rsid w:val="001B75D4"/>
    <w:rsid w:val="001C1FFA"/>
    <w:rsid w:val="001C70B8"/>
    <w:rsid w:val="001D7E7F"/>
    <w:rsid w:val="001E33BA"/>
    <w:rsid w:val="001E511A"/>
    <w:rsid w:val="001F03E9"/>
    <w:rsid w:val="001F6A7A"/>
    <w:rsid w:val="00200CA5"/>
    <w:rsid w:val="00201459"/>
    <w:rsid w:val="0020473A"/>
    <w:rsid w:val="00205E7B"/>
    <w:rsid w:val="0021001D"/>
    <w:rsid w:val="00216C5F"/>
    <w:rsid w:val="00224836"/>
    <w:rsid w:val="00225E22"/>
    <w:rsid w:val="00230488"/>
    <w:rsid w:val="00231929"/>
    <w:rsid w:val="00235FDD"/>
    <w:rsid w:val="00245A3A"/>
    <w:rsid w:val="00245E78"/>
    <w:rsid w:val="0024685C"/>
    <w:rsid w:val="002468E6"/>
    <w:rsid w:val="00246FB3"/>
    <w:rsid w:val="0025254F"/>
    <w:rsid w:val="00254CB5"/>
    <w:rsid w:val="00257651"/>
    <w:rsid w:val="002624B3"/>
    <w:rsid w:val="00267005"/>
    <w:rsid w:val="0027082F"/>
    <w:rsid w:val="00273E64"/>
    <w:rsid w:val="00274CAB"/>
    <w:rsid w:val="00284E80"/>
    <w:rsid w:val="00285231"/>
    <w:rsid w:val="002879DD"/>
    <w:rsid w:val="002940FE"/>
    <w:rsid w:val="002A74C7"/>
    <w:rsid w:val="002C2C42"/>
    <w:rsid w:val="002C3BAA"/>
    <w:rsid w:val="002D28A0"/>
    <w:rsid w:val="002E2B8F"/>
    <w:rsid w:val="002F20A9"/>
    <w:rsid w:val="002F6EF9"/>
    <w:rsid w:val="00302430"/>
    <w:rsid w:val="003045AC"/>
    <w:rsid w:val="00305B7F"/>
    <w:rsid w:val="00317955"/>
    <w:rsid w:val="00321574"/>
    <w:rsid w:val="0032487F"/>
    <w:rsid w:val="003258C7"/>
    <w:rsid w:val="00327DF8"/>
    <w:rsid w:val="00332430"/>
    <w:rsid w:val="0033370F"/>
    <w:rsid w:val="003402CF"/>
    <w:rsid w:val="0034235C"/>
    <w:rsid w:val="00354ED6"/>
    <w:rsid w:val="003645C8"/>
    <w:rsid w:val="00365F0B"/>
    <w:rsid w:val="00371A49"/>
    <w:rsid w:val="0037333E"/>
    <w:rsid w:val="003763A7"/>
    <w:rsid w:val="00380B6D"/>
    <w:rsid w:val="003965F3"/>
    <w:rsid w:val="00397164"/>
    <w:rsid w:val="003A1577"/>
    <w:rsid w:val="003A202A"/>
    <w:rsid w:val="003A4C4B"/>
    <w:rsid w:val="003B20B9"/>
    <w:rsid w:val="003B63C0"/>
    <w:rsid w:val="003C11AA"/>
    <w:rsid w:val="003C7B62"/>
    <w:rsid w:val="003D13EA"/>
    <w:rsid w:val="003D166E"/>
    <w:rsid w:val="003D1B9B"/>
    <w:rsid w:val="003E55A0"/>
    <w:rsid w:val="003E6B0D"/>
    <w:rsid w:val="003E7CC7"/>
    <w:rsid w:val="003F026F"/>
    <w:rsid w:val="003F31A8"/>
    <w:rsid w:val="003F4929"/>
    <w:rsid w:val="003F60DB"/>
    <w:rsid w:val="003F6F66"/>
    <w:rsid w:val="00400238"/>
    <w:rsid w:val="004033FC"/>
    <w:rsid w:val="004066BC"/>
    <w:rsid w:val="00407202"/>
    <w:rsid w:val="00407CBC"/>
    <w:rsid w:val="00407F35"/>
    <w:rsid w:val="004101BE"/>
    <w:rsid w:val="0041101C"/>
    <w:rsid w:val="004110EB"/>
    <w:rsid w:val="0041249B"/>
    <w:rsid w:val="00414080"/>
    <w:rsid w:val="004171D5"/>
    <w:rsid w:val="00423717"/>
    <w:rsid w:val="004244CC"/>
    <w:rsid w:val="004252E9"/>
    <w:rsid w:val="00427FD9"/>
    <w:rsid w:val="00430012"/>
    <w:rsid w:val="004301BF"/>
    <w:rsid w:val="00434FE4"/>
    <w:rsid w:val="00435ED3"/>
    <w:rsid w:val="0045020E"/>
    <w:rsid w:val="004578D3"/>
    <w:rsid w:val="00460345"/>
    <w:rsid w:val="00465EFA"/>
    <w:rsid w:val="0046668B"/>
    <w:rsid w:val="00466CA7"/>
    <w:rsid w:val="00467C31"/>
    <w:rsid w:val="00470EA6"/>
    <w:rsid w:val="004778AD"/>
    <w:rsid w:val="0049008C"/>
    <w:rsid w:val="00491FB3"/>
    <w:rsid w:val="00493B3F"/>
    <w:rsid w:val="00497C3E"/>
    <w:rsid w:val="004A0C59"/>
    <w:rsid w:val="004A4F02"/>
    <w:rsid w:val="004A5378"/>
    <w:rsid w:val="004A5A35"/>
    <w:rsid w:val="004A60BE"/>
    <w:rsid w:val="004A748E"/>
    <w:rsid w:val="004B4737"/>
    <w:rsid w:val="004D1021"/>
    <w:rsid w:val="004D7DA5"/>
    <w:rsid w:val="004E09D2"/>
    <w:rsid w:val="004E54FC"/>
    <w:rsid w:val="004E694D"/>
    <w:rsid w:val="004E70D8"/>
    <w:rsid w:val="004E7496"/>
    <w:rsid w:val="004F0375"/>
    <w:rsid w:val="004F09D5"/>
    <w:rsid w:val="004F29A7"/>
    <w:rsid w:val="005000DD"/>
    <w:rsid w:val="005078F1"/>
    <w:rsid w:val="00510102"/>
    <w:rsid w:val="00522345"/>
    <w:rsid w:val="005256B6"/>
    <w:rsid w:val="005268D3"/>
    <w:rsid w:val="005324EE"/>
    <w:rsid w:val="00532CFD"/>
    <w:rsid w:val="005336FA"/>
    <w:rsid w:val="0053401B"/>
    <w:rsid w:val="00534D86"/>
    <w:rsid w:val="00536BC4"/>
    <w:rsid w:val="005377BF"/>
    <w:rsid w:val="00550B33"/>
    <w:rsid w:val="005522C1"/>
    <w:rsid w:val="0055355E"/>
    <w:rsid w:val="00553D41"/>
    <w:rsid w:val="005547C8"/>
    <w:rsid w:val="00556677"/>
    <w:rsid w:val="00562268"/>
    <w:rsid w:val="005722D1"/>
    <w:rsid w:val="005735E2"/>
    <w:rsid w:val="00582F37"/>
    <w:rsid w:val="00585DCD"/>
    <w:rsid w:val="0059203A"/>
    <w:rsid w:val="00592B92"/>
    <w:rsid w:val="00597D77"/>
    <w:rsid w:val="005A0C7A"/>
    <w:rsid w:val="005A14FA"/>
    <w:rsid w:val="005A1628"/>
    <w:rsid w:val="005A28B7"/>
    <w:rsid w:val="005A7471"/>
    <w:rsid w:val="005B10D0"/>
    <w:rsid w:val="005B1CA1"/>
    <w:rsid w:val="005B2C0D"/>
    <w:rsid w:val="005B4529"/>
    <w:rsid w:val="005B777D"/>
    <w:rsid w:val="005C41E5"/>
    <w:rsid w:val="005D0C20"/>
    <w:rsid w:val="005D6656"/>
    <w:rsid w:val="005D7CFA"/>
    <w:rsid w:val="005E3BA2"/>
    <w:rsid w:val="005E4130"/>
    <w:rsid w:val="005E71AD"/>
    <w:rsid w:val="005F13D4"/>
    <w:rsid w:val="005F6375"/>
    <w:rsid w:val="005F7F0F"/>
    <w:rsid w:val="006017D6"/>
    <w:rsid w:val="00606C9E"/>
    <w:rsid w:val="00607D0A"/>
    <w:rsid w:val="006151FA"/>
    <w:rsid w:val="00616BBB"/>
    <w:rsid w:val="0061710F"/>
    <w:rsid w:val="00624948"/>
    <w:rsid w:val="00626243"/>
    <w:rsid w:val="00634524"/>
    <w:rsid w:val="00641F61"/>
    <w:rsid w:val="00642CBA"/>
    <w:rsid w:val="00643F32"/>
    <w:rsid w:val="00644B96"/>
    <w:rsid w:val="006464C4"/>
    <w:rsid w:val="0065074C"/>
    <w:rsid w:val="00650B2A"/>
    <w:rsid w:val="00653321"/>
    <w:rsid w:val="006575A7"/>
    <w:rsid w:val="006640D8"/>
    <w:rsid w:val="006659A8"/>
    <w:rsid w:val="0066696D"/>
    <w:rsid w:val="006705A3"/>
    <w:rsid w:val="00673734"/>
    <w:rsid w:val="00680090"/>
    <w:rsid w:val="006854FC"/>
    <w:rsid w:val="00685774"/>
    <w:rsid w:val="00687F7A"/>
    <w:rsid w:val="00690867"/>
    <w:rsid w:val="00694C74"/>
    <w:rsid w:val="006963B7"/>
    <w:rsid w:val="006A051F"/>
    <w:rsid w:val="006A654C"/>
    <w:rsid w:val="006B7787"/>
    <w:rsid w:val="006C0438"/>
    <w:rsid w:val="006C1ABF"/>
    <w:rsid w:val="006C2F9C"/>
    <w:rsid w:val="006E25C7"/>
    <w:rsid w:val="006E3AAA"/>
    <w:rsid w:val="006E764E"/>
    <w:rsid w:val="006F1611"/>
    <w:rsid w:val="006F57A6"/>
    <w:rsid w:val="006F59D6"/>
    <w:rsid w:val="006F6603"/>
    <w:rsid w:val="006F6B7F"/>
    <w:rsid w:val="00703FF0"/>
    <w:rsid w:val="00704C4D"/>
    <w:rsid w:val="007107F4"/>
    <w:rsid w:val="00711F65"/>
    <w:rsid w:val="00712630"/>
    <w:rsid w:val="00713035"/>
    <w:rsid w:val="007148E8"/>
    <w:rsid w:val="00720A6E"/>
    <w:rsid w:val="007316C3"/>
    <w:rsid w:val="0073306C"/>
    <w:rsid w:val="007379A8"/>
    <w:rsid w:val="00742727"/>
    <w:rsid w:val="0074314B"/>
    <w:rsid w:val="007465F1"/>
    <w:rsid w:val="0075501B"/>
    <w:rsid w:val="00763133"/>
    <w:rsid w:val="00770A33"/>
    <w:rsid w:val="00774260"/>
    <w:rsid w:val="00776199"/>
    <w:rsid w:val="00783367"/>
    <w:rsid w:val="00787E50"/>
    <w:rsid w:val="007905F1"/>
    <w:rsid w:val="007911D9"/>
    <w:rsid w:val="007A13E2"/>
    <w:rsid w:val="007A2E12"/>
    <w:rsid w:val="007A2E76"/>
    <w:rsid w:val="007A3947"/>
    <w:rsid w:val="007B02B9"/>
    <w:rsid w:val="007B043A"/>
    <w:rsid w:val="007B2C11"/>
    <w:rsid w:val="007C36F7"/>
    <w:rsid w:val="007C37F1"/>
    <w:rsid w:val="007C5B1E"/>
    <w:rsid w:val="007C5EDA"/>
    <w:rsid w:val="007C7ECE"/>
    <w:rsid w:val="007D274C"/>
    <w:rsid w:val="007D6842"/>
    <w:rsid w:val="007E4157"/>
    <w:rsid w:val="007F176B"/>
    <w:rsid w:val="007F1D6D"/>
    <w:rsid w:val="007F1DB7"/>
    <w:rsid w:val="007F2AA8"/>
    <w:rsid w:val="007F3C28"/>
    <w:rsid w:val="007F5A59"/>
    <w:rsid w:val="007F6F02"/>
    <w:rsid w:val="007F7292"/>
    <w:rsid w:val="00800A58"/>
    <w:rsid w:val="008052BD"/>
    <w:rsid w:val="00810A43"/>
    <w:rsid w:val="008335E9"/>
    <w:rsid w:val="00847310"/>
    <w:rsid w:val="008547FE"/>
    <w:rsid w:val="00867379"/>
    <w:rsid w:val="00867D64"/>
    <w:rsid w:val="00870CB1"/>
    <w:rsid w:val="008711A4"/>
    <w:rsid w:val="0087592C"/>
    <w:rsid w:val="0087599E"/>
    <w:rsid w:val="00887B46"/>
    <w:rsid w:val="00892621"/>
    <w:rsid w:val="00893905"/>
    <w:rsid w:val="0089656C"/>
    <w:rsid w:val="008A13E4"/>
    <w:rsid w:val="008A2AD5"/>
    <w:rsid w:val="008A6843"/>
    <w:rsid w:val="008B1271"/>
    <w:rsid w:val="008B3157"/>
    <w:rsid w:val="008C5224"/>
    <w:rsid w:val="008C5D01"/>
    <w:rsid w:val="008D2972"/>
    <w:rsid w:val="008D3043"/>
    <w:rsid w:val="008D6623"/>
    <w:rsid w:val="008E0228"/>
    <w:rsid w:val="008E3306"/>
    <w:rsid w:val="008E4E42"/>
    <w:rsid w:val="008F0A13"/>
    <w:rsid w:val="008F1665"/>
    <w:rsid w:val="008F23AC"/>
    <w:rsid w:val="008F4B6B"/>
    <w:rsid w:val="008F6A1C"/>
    <w:rsid w:val="0090034F"/>
    <w:rsid w:val="0090124C"/>
    <w:rsid w:val="00905771"/>
    <w:rsid w:val="00916CE7"/>
    <w:rsid w:val="00923859"/>
    <w:rsid w:val="00927234"/>
    <w:rsid w:val="00931741"/>
    <w:rsid w:val="009336F6"/>
    <w:rsid w:val="009370D6"/>
    <w:rsid w:val="009453D3"/>
    <w:rsid w:val="009466DA"/>
    <w:rsid w:val="00952EF8"/>
    <w:rsid w:val="00953C9A"/>
    <w:rsid w:val="00954E35"/>
    <w:rsid w:val="009619BF"/>
    <w:rsid w:val="00961BB4"/>
    <w:rsid w:val="00965795"/>
    <w:rsid w:val="00970648"/>
    <w:rsid w:val="009778A2"/>
    <w:rsid w:val="00986471"/>
    <w:rsid w:val="0098763F"/>
    <w:rsid w:val="0099049D"/>
    <w:rsid w:val="0099094C"/>
    <w:rsid w:val="00992664"/>
    <w:rsid w:val="009956FD"/>
    <w:rsid w:val="00997F92"/>
    <w:rsid w:val="009A6CE4"/>
    <w:rsid w:val="009A7AA8"/>
    <w:rsid w:val="009B2F59"/>
    <w:rsid w:val="009B35B6"/>
    <w:rsid w:val="009C0101"/>
    <w:rsid w:val="009C1691"/>
    <w:rsid w:val="009C3FE3"/>
    <w:rsid w:val="009E066A"/>
    <w:rsid w:val="009F32F2"/>
    <w:rsid w:val="00A03572"/>
    <w:rsid w:val="00A04BA1"/>
    <w:rsid w:val="00A07CB7"/>
    <w:rsid w:val="00A14F62"/>
    <w:rsid w:val="00A20634"/>
    <w:rsid w:val="00A23A11"/>
    <w:rsid w:val="00A23B08"/>
    <w:rsid w:val="00A30613"/>
    <w:rsid w:val="00A330B0"/>
    <w:rsid w:val="00A33671"/>
    <w:rsid w:val="00A346AB"/>
    <w:rsid w:val="00A35CDD"/>
    <w:rsid w:val="00A43B12"/>
    <w:rsid w:val="00A44B0B"/>
    <w:rsid w:val="00A52364"/>
    <w:rsid w:val="00A56FC2"/>
    <w:rsid w:val="00A57599"/>
    <w:rsid w:val="00A57C60"/>
    <w:rsid w:val="00A64D24"/>
    <w:rsid w:val="00A65D66"/>
    <w:rsid w:val="00A735C4"/>
    <w:rsid w:val="00A74007"/>
    <w:rsid w:val="00A77D52"/>
    <w:rsid w:val="00A811B1"/>
    <w:rsid w:val="00A8728D"/>
    <w:rsid w:val="00A91B2D"/>
    <w:rsid w:val="00AA064E"/>
    <w:rsid w:val="00AA4A61"/>
    <w:rsid w:val="00AB3B1B"/>
    <w:rsid w:val="00AB4B72"/>
    <w:rsid w:val="00AB783F"/>
    <w:rsid w:val="00AD2613"/>
    <w:rsid w:val="00AD4BC9"/>
    <w:rsid w:val="00AE3280"/>
    <w:rsid w:val="00AE4A9C"/>
    <w:rsid w:val="00AF26E3"/>
    <w:rsid w:val="00AF6BD5"/>
    <w:rsid w:val="00B024B5"/>
    <w:rsid w:val="00B0399E"/>
    <w:rsid w:val="00B046BC"/>
    <w:rsid w:val="00B04941"/>
    <w:rsid w:val="00B052BC"/>
    <w:rsid w:val="00B05691"/>
    <w:rsid w:val="00B10DED"/>
    <w:rsid w:val="00B13932"/>
    <w:rsid w:val="00B1697B"/>
    <w:rsid w:val="00B23DD6"/>
    <w:rsid w:val="00B407CC"/>
    <w:rsid w:val="00B41286"/>
    <w:rsid w:val="00B44B6E"/>
    <w:rsid w:val="00B45759"/>
    <w:rsid w:val="00B4628F"/>
    <w:rsid w:val="00B53285"/>
    <w:rsid w:val="00B628D9"/>
    <w:rsid w:val="00B64101"/>
    <w:rsid w:val="00B64D9D"/>
    <w:rsid w:val="00B66799"/>
    <w:rsid w:val="00B76E42"/>
    <w:rsid w:val="00B829EE"/>
    <w:rsid w:val="00B84803"/>
    <w:rsid w:val="00B868CD"/>
    <w:rsid w:val="00B9272C"/>
    <w:rsid w:val="00B97134"/>
    <w:rsid w:val="00BA07C6"/>
    <w:rsid w:val="00BA24A3"/>
    <w:rsid w:val="00BA3CF1"/>
    <w:rsid w:val="00BA4490"/>
    <w:rsid w:val="00BA5213"/>
    <w:rsid w:val="00BA559B"/>
    <w:rsid w:val="00BB05F8"/>
    <w:rsid w:val="00BB4F2D"/>
    <w:rsid w:val="00BB5DA7"/>
    <w:rsid w:val="00BB6B15"/>
    <w:rsid w:val="00BC0343"/>
    <w:rsid w:val="00BC1DE3"/>
    <w:rsid w:val="00BC4C2E"/>
    <w:rsid w:val="00BC521C"/>
    <w:rsid w:val="00BE08A0"/>
    <w:rsid w:val="00BE1656"/>
    <w:rsid w:val="00BE75D7"/>
    <w:rsid w:val="00BF5D37"/>
    <w:rsid w:val="00C02029"/>
    <w:rsid w:val="00C079A4"/>
    <w:rsid w:val="00C12193"/>
    <w:rsid w:val="00C2022A"/>
    <w:rsid w:val="00C24308"/>
    <w:rsid w:val="00C26417"/>
    <w:rsid w:val="00C26492"/>
    <w:rsid w:val="00C300FE"/>
    <w:rsid w:val="00C31FAA"/>
    <w:rsid w:val="00C34388"/>
    <w:rsid w:val="00C36218"/>
    <w:rsid w:val="00C36EC2"/>
    <w:rsid w:val="00C456B0"/>
    <w:rsid w:val="00C46C64"/>
    <w:rsid w:val="00C47148"/>
    <w:rsid w:val="00C529DA"/>
    <w:rsid w:val="00C5705B"/>
    <w:rsid w:val="00C61F54"/>
    <w:rsid w:val="00C63D9B"/>
    <w:rsid w:val="00C6454A"/>
    <w:rsid w:val="00C6773D"/>
    <w:rsid w:val="00C71F60"/>
    <w:rsid w:val="00C82178"/>
    <w:rsid w:val="00C8518E"/>
    <w:rsid w:val="00C92C20"/>
    <w:rsid w:val="00C93FF0"/>
    <w:rsid w:val="00C97491"/>
    <w:rsid w:val="00C979B5"/>
    <w:rsid w:val="00CA2F26"/>
    <w:rsid w:val="00CA3AC9"/>
    <w:rsid w:val="00CA69C7"/>
    <w:rsid w:val="00CB16E5"/>
    <w:rsid w:val="00CB490E"/>
    <w:rsid w:val="00CC4F73"/>
    <w:rsid w:val="00CC53FE"/>
    <w:rsid w:val="00CC6E2E"/>
    <w:rsid w:val="00CC6F3D"/>
    <w:rsid w:val="00CD2537"/>
    <w:rsid w:val="00CD7524"/>
    <w:rsid w:val="00CF02D8"/>
    <w:rsid w:val="00CF193A"/>
    <w:rsid w:val="00CF310C"/>
    <w:rsid w:val="00CF52E5"/>
    <w:rsid w:val="00D0029D"/>
    <w:rsid w:val="00D00A2A"/>
    <w:rsid w:val="00D03694"/>
    <w:rsid w:val="00D05C70"/>
    <w:rsid w:val="00D05DC3"/>
    <w:rsid w:val="00D11889"/>
    <w:rsid w:val="00D15DA9"/>
    <w:rsid w:val="00D1754F"/>
    <w:rsid w:val="00D22882"/>
    <w:rsid w:val="00D22B13"/>
    <w:rsid w:val="00D24837"/>
    <w:rsid w:val="00D25503"/>
    <w:rsid w:val="00D33B80"/>
    <w:rsid w:val="00D34294"/>
    <w:rsid w:val="00D4584C"/>
    <w:rsid w:val="00D464C3"/>
    <w:rsid w:val="00D509E2"/>
    <w:rsid w:val="00D50D03"/>
    <w:rsid w:val="00D51D79"/>
    <w:rsid w:val="00D67864"/>
    <w:rsid w:val="00D73C91"/>
    <w:rsid w:val="00D85AE6"/>
    <w:rsid w:val="00D86B92"/>
    <w:rsid w:val="00D915F7"/>
    <w:rsid w:val="00D92535"/>
    <w:rsid w:val="00DA003E"/>
    <w:rsid w:val="00DA18D0"/>
    <w:rsid w:val="00DA29F1"/>
    <w:rsid w:val="00DB5286"/>
    <w:rsid w:val="00DB65F2"/>
    <w:rsid w:val="00DC3045"/>
    <w:rsid w:val="00DC698F"/>
    <w:rsid w:val="00DD05BD"/>
    <w:rsid w:val="00DD1166"/>
    <w:rsid w:val="00DE007F"/>
    <w:rsid w:val="00DE2711"/>
    <w:rsid w:val="00DE2828"/>
    <w:rsid w:val="00DE702D"/>
    <w:rsid w:val="00E04956"/>
    <w:rsid w:val="00E0793F"/>
    <w:rsid w:val="00E21549"/>
    <w:rsid w:val="00E24DA6"/>
    <w:rsid w:val="00E2766F"/>
    <w:rsid w:val="00E35CC4"/>
    <w:rsid w:val="00E36A00"/>
    <w:rsid w:val="00E42E68"/>
    <w:rsid w:val="00E44DD4"/>
    <w:rsid w:val="00E479EF"/>
    <w:rsid w:val="00E47B85"/>
    <w:rsid w:val="00E53097"/>
    <w:rsid w:val="00E536E7"/>
    <w:rsid w:val="00E54142"/>
    <w:rsid w:val="00E5494E"/>
    <w:rsid w:val="00E5716E"/>
    <w:rsid w:val="00E61B7F"/>
    <w:rsid w:val="00E66243"/>
    <w:rsid w:val="00E67744"/>
    <w:rsid w:val="00E71360"/>
    <w:rsid w:val="00E72039"/>
    <w:rsid w:val="00E7468E"/>
    <w:rsid w:val="00E76CE0"/>
    <w:rsid w:val="00E77E0B"/>
    <w:rsid w:val="00E81D17"/>
    <w:rsid w:val="00E90303"/>
    <w:rsid w:val="00E93A3C"/>
    <w:rsid w:val="00E94534"/>
    <w:rsid w:val="00E97F39"/>
    <w:rsid w:val="00EB2D31"/>
    <w:rsid w:val="00EB4A15"/>
    <w:rsid w:val="00EC1A0C"/>
    <w:rsid w:val="00EC26A5"/>
    <w:rsid w:val="00EC4251"/>
    <w:rsid w:val="00ED2B62"/>
    <w:rsid w:val="00ED3574"/>
    <w:rsid w:val="00EE04E9"/>
    <w:rsid w:val="00EE0A0D"/>
    <w:rsid w:val="00EE14C2"/>
    <w:rsid w:val="00EE56AD"/>
    <w:rsid w:val="00EE5E00"/>
    <w:rsid w:val="00EE7869"/>
    <w:rsid w:val="00F01973"/>
    <w:rsid w:val="00F056E2"/>
    <w:rsid w:val="00F07A35"/>
    <w:rsid w:val="00F10F18"/>
    <w:rsid w:val="00F14540"/>
    <w:rsid w:val="00F2165E"/>
    <w:rsid w:val="00F23C39"/>
    <w:rsid w:val="00F257A2"/>
    <w:rsid w:val="00F27018"/>
    <w:rsid w:val="00F3113D"/>
    <w:rsid w:val="00F44110"/>
    <w:rsid w:val="00F53808"/>
    <w:rsid w:val="00F546F3"/>
    <w:rsid w:val="00F67357"/>
    <w:rsid w:val="00F7359B"/>
    <w:rsid w:val="00F74582"/>
    <w:rsid w:val="00F768C4"/>
    <w:rsid w:val="00F82CFA"/>
    <w:rsid w:val="00F83425"/>
    <w:rsid w:val="00F8732A"/>
    <w:rsid w:val="00F95483"/>
    <w:rsid w:val="00F9560A"/>
    <w:rsid w:val="00F9742A"/>
    <w:rsid w:val="00FA3046"/>
    <w:rsid w:val="00FA726B"/>
    <w:rsid w:val="00FB0344"/>
    <w:rsid w:val="00FB1E9F"/>
    <w:rsid w:val="00FB2E18"/>
    <w:rsid w:val="00FB4CEB"/>
    <w:rsid w:val="00FB70B8"/>
    <w:rsid w:val="00FC05CC"/>
    <w:rsid w:val="00FC30C7"/>
    <w:rsid w:val="00FC3A58"/>
    <w:rsid w:val="00FD2A06"/>
    <w:rsid w:val="00FD2A33"/>
    <w:rsid w:val="00FD5384"/>
    <w:rsid w:val="00FE090F"/>
    <w:rsid w:val="00FF4CEE"/>
    <w:rsid w:val="00FF524E"/>
    <w:rsid w:val="00FF668C"/>
    <w:rsid w:val="00FF67CE"/>
    <w:rsid w:val="0585704C"/>
    <w:rsid w:val="08311E60"/>
    <w:rsid w:val="143040B0"/>
    <w:rsid w:val="1B770817"/>
    <w:rsid w:val="1CBA04A5"/>
    <w:rsid w:val="1D133C2A"/>
    <w:rsid w:val="23F0603B"/>
    <w:rsid w:val="33EC2E63"/>
    <w:rsid w:val="384635F3"/>
    <w:rsid w:val="3885411B"/>
    <w:rsid w:val="394159CA"/>
    <w:rsid w:val="44755918"/>
    <w:rsid w:val="4734568A"/>
    <w:rsid w:val="4AA921AA"/>
    <w:rsid w:val="4CEC10F7"/>
    <w:rsid w:val="5AFF37D6"/>
    <w:rsid w:val="5EF552A7"/>
    <w:rsid w:val="68865E47"/>
    <w:rsid w:val="6AB0719E"/>
    <w:rsid w:val="6B6FFB50"/>
    <w:rsid w:val="6EAC6718"/>
    <w:rsid w:val="73010267"/>
    <w:rsid w:val="775A5700"/>
    <w:rsid w:val="77B1D7F5"/>
    <w:rsid w:val="78E2258B"/>
    <w:rsid w:val="792A1B99"/>
    <w:rsid w:val="79AE4579"/>
    <w:rsid w:val="7A8737C2"/>
    <w:rsid w:val="7E6F3626"/>
    <w:rsid w:val="7FF99102"/>
    <w:rsid w:val="FD9B02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fontstyle01"/>
    <w:basedOn w:val="9"/>
    <w:qFormat/>
    <w:uiPriority w:val="0"/>
    <w:rPr>
      <w:rFonts w:hint="eastAsia" w:ascii="宋体" w:hAnsi="宋体" w:eastAsia="宋体"/>
      <w:color w:val="000000"/>
      <w:sz w:val="20"/>
      <w:szCs w:val="20"/>
    </w:rPr>
  </w:style>
  <w:style w:type="character" w:customStyle="1" w:styleId="16">
    <w:name w:val="批注框文本 Char"/>
    <w:basedOn w:val="9"/>
    <w:link w:val="3"/>
    <w:semiHidden/>
    <w:qFormat/>
    <w:uiPriority w:val="99"/>
    <w:rPr>
      <w:kern w:val="2"/>
      <w:sz w:val="18"/>
      <w:szCs w:val="18"/>
    </w:rPr>
  </w:style>
  <w:style w:type="character" w:customStyle="1" w:styleId="17">
    <w:name w:val="批注文字 Char"/>
    <w:basedOn w:val="9"/>
    <w:link w:val="2"/>
    <w:semiHidden/>
    <w:qFormat/>
    <w:uiPriority w:val="99"/>
    <w:rPr>
      <w:kern w:val="2"/>
      <w:sz w:val="21"/>
      <w:szCs w:val="22"/>
    </w:rPr>
  </w:style>
  <w:style w:type="character" w:customStyle="1" w:styleId="18">
    <w:name w:val="批注主题 Char"/>
    <w:basedOn w:val="17"/>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1840</Words>
  <Characters>1894</Characters>
  <Lines>3</Lines>
  <Paragraphs>1</Paragraphs>
  <TotalTime>25</TotalTime>
  <ScaleCrop>false</ScaleCrop>
  <LinksUpToDate>false</LinksUpToDate>
  <CharactersWithSpaces>1958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2023-06-09T11:16:00Z</dcterms:created>
  <dc:creator>郭枫</dc:creator>
  <cp:lastModifiedBy>Administrator</cp:lastModifiedBy>
  <dcterms:modified xsi:type="dcterms:W3CDTF">2025-09-05T08:01:59Z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DC124F7F393F4794AE21D1248B55614D_13</vt:lpwstr>
  </property>
  <property fmtid="{D5CDD505-2E9C-101B-9397-08002B2CF9AE}" pid="4" name="KSOTemplateDocerSaveRecord">
    <vt:lpwstr>eyJoZGlkIjoiYzE2ZGVmZjA3MGU2OGRjNjY3NWM0ZmY4MzhmY2I4N2YifQ==</vt:lpwstr>
  </property>
</Properties>
</file>