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DE33D">
      <w:pPr>
        <w:widowControl/>
        <w:jc w:val="center"/>
        <w:rPr>
          <w:rFonts w:hint="eastAsia" w:ascii="宋体" w:hAnsi="宋体"/>
          <w:bCs/>
          <w:iCs/>
          <w:color w:val="000000"/>
          <w:sz w:val="24"/>
        </w:rPr>
      </w:pPr>
      <w:bookmarkStart w:id="0" w:name="_Toc515462335"/>
      <w:r>
        <w:rPr>
          <w:rFonts w:hint="eastAsia" w:ascii="宋体" w:hAnsi="宋体"/>
          <w:bCs/>
          <w:iCs/>
          <w:color w:val="000000"/>
          <w:sz w:val="24"/>
        </w:rPr>
        <w:t xml:space="preserve">证券代码：600392  </w:t>
      </w:r>
      <w:r>
        <w:rPr>
          <w:rFonts w:ascii="宋体" w:hAnsi="宋体"/>
          <w:bCs/>
          <w:iCs/>
          <w:color w:val="000000"/>
          <w:sz w:val="24"/>
        </w:rPr>
        <w:t xml:space="preserve">         </w:t>
      </w:r>
      <w:r>
        <w:rPr>
          <w:rFonts w:hint="eastAsia" w:ascii="宋体" w:hAnsi="宋体"/>
          <w:bCs/>
          <w:iCs/>
          <w:color w:val="000000"/>
          <w:sz w:val="24"/>
        </w:rPr>
        <w:t xml:space="preserve">           证券简称：盛和资源</w:t>
      </w:r>
    </w:p>
    <w:p w14:paraId="28F34A71">
      <w:pPr>
        <w:widowControl/>
        <w:jc w:val="center"/>
        <w:rPr>
          <w:rFonts w:hint="eastAsia" w:ascii="宋体" w:hAnsi="宋体"/>
          <w:bCs/>
          <w:iCs/>
          <w:color w:val="000000"/>
          <w:sz w:val="24"/>
        </w:rPr>
      </w:pPr>
    </w:p>
    <w:p w14:paraId="187B9C22">
      <w:pPr>
        <w:widowControl/>
        <w:spacing w:before="312" w:beforeLines="100"/>
        <w:jc w:val="center"/>
        <w:rPr>
          <w:rFonts w:hint="eastAsia" w:ascii="宋体" w:hAnsi="宋体"/>
          <w:bCs/>
          <w:iCs/>
          <w:color w:val="000000"/>
          <w:sz w:val="36"/>
          <w:szCs w:val="36"/>
        </w:rPr>
      </w:pPr>
      <w:r>
        <w:rPr>
          <w:rFonts w:hint="eastAsia" w:ascii="宋体" w:hAnsi="宋体"/>
          <w:bCs/>
          <w:iCs/>
          <w:color w:val="000000"/>
          <w:sz w:val="36"/>
          <w:szCs w:val="36"/>
        </w:rPr>
        <w:t>盛和资源控股股份有限公司</w:t>
      </w:r>
    </w:p>
    <w:p w14:paraId="592177FA">
      <w:pPr>
        <w:widowControl/>
        <w:spacing w:after="312" w:afterLines="100"/>
        <w:jc w:val="center"/>
        <w:rPr>
          <w:rFonts w:hint="eastAsia" w:ascii="宋体" w:hAnsi="宋体"/>
          <w:color w:val="000000"/>
          <w:sz w:val="36"/>
          <w:szCs w:val="36"/>
        </w:rPr>
      </w:pPr>
      <w:r>
        <w:rPr>
          <w:rFonts w:hint="eastAsia" w:ascii="宋体" w:hAnsi="宋体"/>
          <w:bCs/>
          <w:iCs/>
          <w:color w:val="000000"/>
          <w:sz w:val="36"/>
          <w:szCs w:val="36"/>
        </w:rPr>
        <w:t>投资者关系活动记录表</w:t>
      </w:r>
    </w:p>
    <w:p w14:paraId="7404916D">
      <w:pPr>
        <w:spacing w:line="360" w:lineRule="auto"/>
        <w:rPr>
          <w:rFonts w:hint="default" w:ascii="宋体" w:hAnsi="宋体" w:eastAsia="宋体"/>
          <w:bCs/>
          <w:iCs/>
          <w:color w:val="000000"/>
          <w:szCs w:val="21"/>
          <w:highlight w:val="yellow"/>
          <w:lang w:val="en-US" w:eastAsia="zh-CN"/>
        </w:rPr>
      </w:pPr>
      <w:r>
        <w:rPr>
          <w:rFonts w:ascii="宋体" w:hAnsi="宋体"/>
          <w:bCs/>
          <w:iCs/>
          <w:color w:val="000000"/>
          <w:szCs w:val="21"/>
        </w:rPr>
        <w:t xml:space="preserve">                                                     </w:t>
      </w:r>
      <w:r>
        <w:rPr>
          <w:rFonts w:hint="eastAsia" w:ascii="宋体" w:hAnsi="宋体"/>
          <w:bCs/>
          <w:iCs/>
          <w:color w:val="000000"/>
          <w:szCs w:val="21"/>
        </w:rPr>
        <w:t xml:space="preserve">            </w:t>
      </w:r>
      <w:r>
        <w:rPr>
          <w:rFonts w:ascii="宋体" w:hAnsi="宋体"/>
          <w:bCs/>
          <w:iCs/>
          <w:color w:val="000000"/>
          <w:szCs w:val="21"/>
        </w:rPr>
        <w:t>编号：</w:t>
      </w:r>
      <w:r>
        <w:rPr>
          <w:rFonts w:hint="eastAsia" w:ascii="宋体" w:hAnsi="宋体"/>
          <w:bCs/>
          <w:iCs/>
          <w:color w:val="000000"/>
          <w:szCs w:val="21"/>
        </w:rPr>
        <w:t>2</w:t>
      </w:r>
      <w:r>
        <w:rPr>
          <w:rFonts w:ascii="宋体" w:hAnsi="宋体"/>
          <w:bCs/>
          <w:iCs/>
          <w:color w:val="000000"/>
          <w:szCs w:val="21"/>
        </w:rPr>
        <w:t>02</w:t>
      </w:r>
      <w:r>
        <w:rPr>
          <w:rFonts w:hint="eastAsia" w:ascii="宋体" w:hAnsi="宋体"/>
          <w:bCs/>
          <w:iCs/>
          <w:color w:val="000000"/>
          <w:szCs w:val="21"/>
        </w:rPr>
        <w:t>5</w:t>
      </w:r>
      <w:r>
        <w:rPr>
          <w:rFonts w:ascii="宋体" w:hAnsi="宋体"/>
          <w:bCs/>
          <w:iCs/>
          <w:color w:val="000000"/>
          <w:szCs w:val="21"/>
        </w:rPr>
        <w:t>-</w:t>
      </w:r>
      <w:r>
        <w:rPr>
          <w:rFonts w:hint="eastAsia" w:ascii="宋体" w:hAnsi="宋体"/>
          <w:bCs/>
          <w:iCs/>
          <w:color w:val="000000"/>
          <w:szCs w:val="21"/>
          <w:highlight w:val="none"/>
          <w:lang w:val="en-US" w:eastAsia="zh-CN"/>
        </w:rPr>
        <w:t>07</w:t>
      </w:r>
    </w:p>
    <w:tbl>
      <w:tblPr>
        <w:tblStyle w:val="10"/>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7088"/>
      </w:tblGrid>
      <w:tr w14:paraId="2DA1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6E4BFA1B">
            <w:pPr>
              <w:spacing w:line="360" w:lineRule="auto"/>
              <w:rPr>
                <w:rFonts w:hint="eastAsia" w:ascii="宋体" w:hAnsi="宋体"/>
                <w:b/>
                <w:bCs/>
                <w:iCs/>
                <w:color w:val="000000"/>
                <w:szCs w:val="21"/>
              </w:rPr>
            </w:pPr>
            <w:r>
              <w:rPr>
                <w:rFonts w:ascii="宋体" w:hAnsi="宋体"/>
                <w:b/>
                <w:bCs/>
                <w:iCs/>
                <w:color w:val="000000"/>
                <w:szCs w:val="21"/>
              </w:rPr>
              <w:t>投资者关系活动类别</w:t>
            </w:r>
            <w:r>
              <w:rPr>
                <w:rFonts w:hint="eastAsia" w:ascii="宋体" w:hAnsi="宋体"/>
                <w:b/>
                <w:bCs/>
                <w:iCs/>
                <w:color w:val="000000"/>
                <w:szCs w:val="21"/>
              </w:rPr>
              <w:t>“选中项请打√”</w:t>
            </w:r>
          </w:p>
        </w:tc>
        <w:tc>
          <w:tcPr>
            <w:tcW w:w="7088" w:type="dxa"/>
          </w:tcPr>
          <w:p w14:paraId="73C6D338">
            <w:pPr>
              <w:spacing w:line="360" w:lineRule="auto"/>
              <w:jc w:val="left"/>
              <w:rPr>
                <w:rFonts w:hint="eastAsia" w:ascii="宋体" w:hAnsi="宋体"/>
                <w:bCs/>
                <w:iCs/>
                <w:color w:val="000000"/>
                <w:szCs w:val="21"/>
              </w:rPr>
            </w:pPr>
            <w:r>
              <w:rPr>
                <w:rFonts w:hint="eastAsia" w:ascii="宋体" w:hAnsi="宋体"/>
                <w:bCs/>
                <w:iCs/>
                <w:color w:val="000000"/>
                <w:szCs w:val="21"/>
                <w:lang w:eastAsia="zh-CN"/>
              </w:rPr>
              <w:t>☑</w:t>
            </w:r>
            <w:r>
              <w:rPr>
                <w:rFonts w:ascii="宋体" w:hAnsi="宋体"/>
                <w:color w:val="000000"/>
                <w:szCs w:val="21"/>
              </w:rPr>
              <w:t xml:space="preserve">特定对象调研   </w:t>
            </w:r>
            <w:r>
              <w:rPr>
                <w:rFonts w:ascii="宋体" w:hAnsi="宋体"/>
                <w:bCs/>
                <w:iCs/>
                <w:color w:val="000000"/>
                <w:szCs w:val="21"/>
              </w:rPr>
              <w:sym w:font="Wingdings 2" w:char="00A3"/>
            </w:r>
            <w:r>
              <w:rPr>
                <w:rFonts w:ascii="宋体" w:hAnsi="宋体"/>
                <w:color w:val="000000"/>
                <w:szCs w:val="21"/>
              </w:rPr>
              <w:t>分析师会议</w:t>
            </w:r>
            <w:r>
              <w:rPr>
                <w:rFonts w:hint="eastAsia" w:ascii="宋体" w:hAnsi="宋体"/>
                <w:bCs/>
                <w:iCs/>
                <w:color w:val="000000"/>
                <w:szCs w:val="21"/>
              </w:rPr>
              <w:t xml:space="preserve">    </w:t>
            </w:r>
            <w:bookmarkStart w:id="1" w:name="OLE_LINK1"/>
            <w:r>
              <w:rPr>
                <w:rFonts w:ascii="宋体" w:hAnsi="宋体"/>
                <w:bCs/>
                <w:iCs/>
                <w:color w:val="000000"/>
                <w:szCs w:val="21"/>
              </w:rPr>
              <w:t>□</w:t>
            </w:r>
            <w:bookmarkEnd w:id="1"/>
            <w:r>
              <w:rPr>
                <w:rFonts w:ascii="宋体" w:hAnsi="宋体"/>
                <w:color w:val="000000"/>
                <w:szCs w:val="21"/>
              </w:rPr>
              <w:t xml:space="preserve">媒体采访   </w:t>
            </w:r>
            <w:r>
              <w:rPr>
                <w:rFonts w:hint="eastAsia" w:ascii="宋体" w:hAnsi="宋体"/>
                <w:color w:val="000000"/>
                <w:szCs w:val="21"/>
              </w:rPr>
              <w:t xml:space="preserve"> □</w:t>
            </w:r>
            <w:r>
              <w:rPr>
                <w:rFonts w:ascii="宋体" w:hAnsi="宋体"/>
                <w:color w:val="000000"/>
                <w:szCs w:val="21"/>
              </w:rPr>
              <w:t>业绩说明会</w:t>
            </w:r>
            <w:r>
              <w:rPr>
                <w:rFonts w:hint="eastAsia" w:ascii="宋体" w:hAnsi="宋体"/>
                <w:bCs/>
                <w:iCs/>
                <w:color w:val="000000"/>
                <w:szCs w:val="21"/>
              </w:rPr>
              <w:t xml:space="preserve">          </w:t>
            </w:r>
            <w:r>
              <w:rPr>
                <w:rFonts w:ascii="宋体" w:hAnsi="宋体"/>
                <w:bCs/>
                <w:iCs/>
                <w:color w:val="000000"/>
                <w:szCs w:val="21"/>
              </w:rPr>
              <w:t>□</w:t>
            </w:r>
            <w:r>
              <w:rPr>
                <w:rFonts w:ascii="宋体" w:hAnsi="宋体"/>
                <w:color w:val="000000"/>
                <w:szCs w:val="21"/>
              </w:rPr>
              <w:t xml:space="preserve">新闻发布会     </w:t>
            </w:r>
            <w:r>
              <w:rPr>
                <w:rFonts w:ascii="宋体" w:hAnsi="宋体"/>
                <w:bCs/>
                <w:iCs/>
                <w:color w:val="000000"/>
                <w:szCs w:val="21"/>
              </w:rPr>
              <w:t>□</w:t>
            </w:r>
            <w:r>
              <w:rPr>
                <w:rFonts w:ascii="宋体" w:hAnsi="宋体"/>
                <w:color w:val="000000"/>
                <w:szCs w:val="21"/>
              </w:rPr>
              <w:t>路演活动</w:t>
            </w:r>
            <w:r>
              <w:rPr>
                <w:rFonts w:hint="eastAsia" w:ascii="宋体" w:hAnsi="宋体"/>
                <w:bCs/>
                <w:iCs/>
                <w:color w:val="000000"/>
                <w:szCs w:val="21"/>
              </w:rPr>
              <w:t xml:space="preserve">      </w:t>
            </w:r>
            <w:r>
              <w:rPr>
                <w:rFonts w:ascii="宋体" w:hAnsi="宋体"/>
                <w:bCs/>
                <w:iCs/>
                <w:color w:val="000000"/>
                <w:szCs w:val="21"/>
              </w:rPr>
              <w:t>□</w:t>
            </w:r>
            <w:r>
              <w:rPr>
                <w:rFonts w:ascii="宋体" w:hAnsi="宋体"/>
                <w:color w:val="000000"/>
                <w:szCs w:val="21"/>
              </w:rPr>
              <w:t>现场参观</w:t>
            </w:r>
            <w:r>
              <w:rPr>
                <w:rFonts w:ascii="宋体" w:hAnsi="宋体"/>
                <w:bCs/>
                <w:iCs/>
                <w:color w:val="000000"/>
                <w:szCs w:val="21"/>
              </w:rPr>
              <w:tab/>
            </w:r>
            <w:r>
              <w:rPr>
                <w:rFonts w:hint="eastAsia" w:ascii="宋体" w:hAnsi="宋体"/>
                <w:bCs/>
                <w:iCs/>
                <w:color w:val="000000"/>
                <w:szCs w:val="21"/>
              </w:rPr>
              <w:t xml:space="preserve">   </w:t>
            </w:r>
            <w:r>
              <w:rPr>
                <w:rFonts w:ascii="宋体" w:hAnsi="宋体"/>
                <w:bCs/>
                <w:iCs/>
                <w:color w:val="000000"/>
                <w:szCs w:val="21"/>
              </w:rPr>
              <w:sym w:font="Wingdings 2" w:char="0052"/>
            </w:r>
            <w:r>
              <w:rPr>
                <w:rFonts w:ascii="宋体" w:hAnsi="宋体"/>
                <w:color w:val="000000"/>
                <w:szCs w:val="21"/>
              </w:rPr>
              <w:t>其他</w:t>
            </w:r>
            <w:r>
              <w:rPr>
                <w:rFonts w:hint="eastAsia" w:ascii="宋体" w:hAnsi="宋体"/>
                <w:color w:val="000000"/>
                <w:szCs w:val="21"/>
              </w:rPr>
              <w:t>（电话</w:t>
            </w:r>
            <w:r>
              <w:rPr>
                <w:rFonts w:ascii="宋体" w:hAnsi="宋体"/>
                <w:color w:val="000000"/>
                <w:szCs w:val="21"/>
              </w:rPr>
              <w:t>会议</w:t>
            </w:r>
            <w:r>
              <w:rPr>
                <w:rFonts w:hint="eastAsia" w:ascii="宋体" w:hAnsi="宋体"/>
                <w:color w:val="000000"/>
                <w:szCs w:val="21"/>
              </w:rPr>
              <w:t>）</w:t>
            </w:r>
          </w:p>
        </w:tc>
      </w:tr>
      <w:tr w14:paraId="69FC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547" w:type="dxa"/>
            <w:vAlign w:val="center"/>
          </w:tcPr>
          <w:p w14:paraId="3A8563EC">
            <w:pPr>
              <w:spacing w:line="360" w:lineRule="auto"/>
              <w:jc w:val="center"/>
              <w:rPr>
                <w:rFonts w:hint="eastAsia" w:ascii="宋体" w:hAnsi="宋体"/>
                <w:b/>
                <w:bCs/>
                <w:iCs/>
                <w:color w:val="000000"/>
                <w:szCs w:val="21"/>
              </w:rPr>
            </w:pPr>
            <w:r>
              <w:rPr>
                <w:rFonts w:ascii="宋体" w:hAnsi="宋体"/>
                <w:b/>
                <w:bCs/>
                <w:iCs/>
                <w:color w:val="000000"/>
                <w:szCs w:val="21"/>
              </w:rPr>
              <w:t>参与单位名称</w:t>
            </w:r>
          </w:p>
        </w:tc>
        <w:tc>
          <w:tcPr>
            <w:tcW w:w="7088" w:type="dxa"/>
            <w:vAlign w:val="center"/>
          </w:tcPr>
          <w:p w14:paraId="2A571639">
            <w:pPr>
              <w:spacing w:before="156" w:beforeLines="50"/>
              <w:rPr>
                <w:rFonts w:hint="eastAsia" w:ascii="等线" w:hAnsi="等线" w:eastAsia="等线"/>
                <w:color w:val="000000"/>
                <w:kern w:val="0"/>
                <w:sz w:val="22"/>
                <w:szCs w:val="22"/>
              </w:rPr>
            </w:pPr>
            <w:r>
              <w:rPr>
                <w:rFonts w:hint="eastAsia"/>
              </w:rPr>
              <w:t>长城基金管理有限公司</w:t>
            </w:r>
            <w:r>
              <w:rPr>
                <w:rFonts w:hint="eastAsia"/>
                <w:lang w:eastAsia="zh-CN"/>
              </w:rPr>
              <w:t>、</w:t>
            </w:r>
            <w:r>
              <w:rPr>
                <w:rFonts w:hint="eastAsia"/>
              </w:rPr>
              <w:t>群益证券投资信托股份有限公司</w:t>
            </w:r>
            <w:r>
              <w:rPr>
                <w:rFonts w:hint="eastAsia"/>
                <w:lang w:eastAsia="zh-CN"/>
              </w:rPr>
              <w:t>、</w:t>
            </w:r>
            <w:r>
              <w:rPr>
                <w:rFonts w:hint="eastAsia"/>
              </w:rPr>
              <w:t>上海嘉世私募基金管理有限公司</w:t>
            </w:r>
            <w:r>
              <w:rPr>
                <w:rFonts w:hint="eastAsia"/>
                <w:lang w:eastAsia="zh-CN"/>
              </w:rPr>
              <w:t>、</w:t>
            </w:r>
            <w:r>
              <w:rPr>
                <w:rFonts w:hint="eastAsia"/>
              </w:rPr>
              <w:t>深圳华夏复利私募证券基金管理有限公司</w:t>
            </w:r>
            <w:r>
              <w:rPr>
                <w:rFonts w:hint="eastAsia"/>
                <w:lang w:eastAsia="zh-CN"/>
              </w:rPr>
              <w:t>、</w:t>
            </w:r>
            <w:r>
              <w:rPr>
                <w:rFonts w:hint="eastAsia"/>
              </w:rPr>
              <w:t>浙江圣熙资产管理有限公司</w:t>
            </w:r>
            <w:r>
              <w:rPr>
                <w:rFonts w:hint="eastAsia"/>
                <w:lang w:eastAsia="zh-CN"/>
              </w:rPr>
              <w:t>、</w:t>
            </w:r>
            <w:r>
              <w:rPr>
                <w:rFonts w:hint="eastAsia"/>
              </w:rPr>
              <w:t>北京橡果资产管理有限公司</w:t>
            </w:r>
            <w:r>
              <w:rPr>
                <w:rFonts w:hint="eastAsia"/>
                <w:lang w:eastAsia="zh-CN"/>
              </w:rPr>
              <w:t>、</w:t>
            </w:r>
            <w:r>
              <w:rPr>
                <w:rFonts w:hint="eastAsia"/>
              </w:rPr>
              <w:t>乐盈（珠海）私募证券投资管理有限公司</w:t>
            </w:r>
            <w:r>
              <w:rPr>
                <w:rFonts w:hint="eastAsia"/>
                <w:lang w:eastAsia="zh-CN"/>
              </w:rPr>
              <w:t>、</w:t>
            </w:r>
            <w:r>
              <w:rPr>
                <w:rFonts w:hint="eastAsia"/>
              </w:rPr>
              <w:t>上海张江科技创业投资有限公司</w:t>
            </w:r>
            <w:r>
              <w:rPr>
                <w:rFonts w:hint="eastAsia"/>
                <w:lang w:eastAsia="zh-CN"/>
              </w:rPr>
              <w:t>、</w:t>
            </w:r>
            <w:r>
              <w:rPr>
                <w:rFonts w:hint="eastAsia"/>
              </w:rPr>
              <w:t>耕霁(上海)投资管理有限公司</w:t>
            </w:r>
            <w:r>
              <w:rPr>
                <w:rFonts w:hint="eastAsia"/>
                <w:lang w:eastAsia="zh-CN"/>
              </w:rPr>
              <w:t>、</w:t>
            </w:r>
            <w:r>
              <w:rPr>
                <w:rFonts w:hint="eastAsia"/>
              </w:rPr>
              <w:t>上海普行资产管理有限公司</w:t>
            </w:r>
            <w:r>
              <w:rPr>
                <w:rFonts w:hint="eastAsia"/>
                <w:lang w:eastAsia="zh-CN"/>
              </w:rPr>
              <w:t>、</w:t>
            </w:r>
            <w:r>
              <w:rPr>
                <w:rFonts w:hint="eastAsia"/>
              </w:rPr>
              <w:t>蚌埠明道资产管理合伙企业（有限合伙）</w:t>
            </w:r>
            <w:r>
              <w:rPr>
                <w:rFonts w:hint="eastAsia"/>
                <w:lang w:eastAsia="zh-CN"/>
              </w:rPr>
              <w:t>、</w:t>
            </w:r>
            <w:r>
              <w:rPr>
                <w:rFonts w:hint="eastAsia"/>
              </w:rPr>
              <w:t>上海山合私募基金管理中心(有限合伙)</w:t>
            </w:r>
            <w:r>
              <w:rPr>
                <w:rFonts w:hint="eastAsia"/>
                <w:lang w:eastAsia="zh-CN"/>
              </w:rPr>
              <w:t>、</w:t>
            </w:r>
            <w:r>
              <w:rPr>
                <w:rFonts w:hint="eastAsia"/>
              </w:rPr>
              <w:t>深圳前海佰德纳资本管理有限公司</w:t>
            </w:r>
            <w:r>
              <w:rPr>
                <w:rFonts w:hint="eastAsia"/>
                <w:lang w:eastAsia="zh-CN"/>
              </w:rPr>
              <w:t>、</w:t>
            </w:r>
            <w:r>
              <w:rPr>
                <w:rFonts w:hint="eastAsia"/>
              </w:rPr>
              <w:t>上海弘尚资产管理中心(有限合伙)</w:t>
            </w:r>
            <w:r>
              <w:rPr>
                <w:rFonts w:hint="eastAsia"/>
                <w:lang w:eastAsia="zh-CN"/>
              </w:rPr>
              <w:t>、</w:t>
            </w:r>
            <w:r>
              <w:rPr>
                <w:rFonts w:hint="eastAsia"/>
              </w:rPr>
              <w:t>北京硅谷先锋投资基金管理有限公司</w:t>
            </w:r>
            <w:r>
              <w:rPr>
                <w:rFonts w:hint="eastAsia"/>
                <w:lang w:eastAsia="zh-CN"/>
              </w:rPr>
              <w:t>、</w:t>
            </w:r>
            <w:r>
              <w:rPr>
                <w:rFonts w:hint="eastAsia"/>
              </w:rPr>
              <w:t>上海乘是资产管理有限公司</w:t>
            </w:r>
            <w:r>
              <w:rPr>
                <w:rFonts w:hint="eastAsia"/>
                <w:lang w:eastAsia="zh-CN"/>
              </w:rPr>
              <w:t>、</w:t>
            </w:r>
            <w:r>
              <w:rPr>
                <w:rFonts w:hint="eastAsia"/>
              </w:rPr>
              <w:t>上海胤胜资产管理有限公司</w:t>
            </w:r>
            <w:r>
              <w:rPr>
                <w:rFonts w:hint="eastAsia"/>
                <w:lang w:eastAsia="zh-CN"/>
              </w:rPr>
              <w:t>、</w:t>
            </w:r>
            <w:r>
              <w:rPr>
                <w:rFonts w:hint="eastAsia"/>
              </w:rPr>
              <w:t>东吴证券股份有限公司</w:t>
            </w:r>
            <w:r>
              <w:rPr>
                <w:rFonts w:hint="eastAsia"/>
                <w:lang w:eastAsia="zh-CN"/>
              </w:rPr>
              <w:t>、</w:t>
            </w:r>
            <w:r>
              <w:rPr>
                <w:rFonts w:hint="eastAsia"/>
              </w:rPr>
              <w:t>中国国际金融股份有限公司</w:t>
            </w:r>
            <w:r>
              <w:rPr>
                <w:rFonts w:hint="eastAsia"/>
                <w:lang w:eastAsia="zh-CN"/>
              </w:rPr>
              <w:t>、</w:t>
            </w:r>
            <w:r>
              <w:rPr>
                <w:rFonts w:hint="eastAsia"/>
              </w:rPr>
              <w:t>方正证券股份有限公司</w:t>
            </w:r>
            <w:r>
              <w:rPr>
                <w:rFonts w:hint="eastAsia"/>
                <w:lang w:eastAsia="zh-CN"/>
              </w:rPr>
              <w:t>、</w:t>
            </w:r>
            <w:r>
              <w:rPr>
                <w:rFonts w:hint="eastAsia"/>
              </w:rPr>
              <w:t>中银国际证券股份有限公司</w:t>
            </w:r>
            <w:r>
              <w:rPr>
                <w:rFonts w:hint="eastAsia"/>
                <w:lang w:eastAsia="zh-CN"/>
              </w:rPr>
              <w:t>、</w:t>
            </w:r>
            <w:r>
              <w:rPr>
                <w:rFonts w:hint="eastAsia"/>
              </w:rPr>
              <w:t>国信证券股份有限公司</w:t>
            </w:r>
            <w:r>
              <w:rPr>
                <w:rFonts w:hint="eastAsia"/>
                <w:lang w:eastAsia="zh-CN"/>
              </w:rPr>
              <w:t>、</w:t>
            </w:r>
            <w:r>
              <w:rPr>
                <w:rFonts w:hint="eastAsia"/>
              </w:rPr>
              <w:t>中航证券有限公司</w:t>
            </w:r>
            <w:r>
              <w:rPr>
                <w:rFonts w:hint="eastAsia"/>
                <w:lang w:eastAsia="zh-CN"/>
              </w:rPr>
              <w:t>、</w:t>
            </w:r>
            <w:r>
              <w:rPr>
                <w:rFonts w:hint="eastAsia"/>
              </w:rPr>
              <w:t>开源证券股份有限公司</w:t>
            </w:r>
            <w:r>
              <w:rPr>
                <w:rFonts w:hint="eastAsia"/>
                <w:lang w:eastAsia="zh-CN"/>
              </w:rPr>
              <w:t>、</w:t>
            </w:r>
            <w:r>
              <w:rPr>
                <w:rFonts w:hint="eastAsia"/>
              </w:rPr>
              <w:t>中国银河证券股份有限公司</w:t>
            </w:r>
            <w:r>
              <w:rPr>
                <w:rFonts w:hint="eastAsia"/>
                <w:lang w:eastAsia="zh-CN"/>
              </w:rPr>
              <w:t>、</w:t>
            </w:r>
            <w:r>
              <w:rPr>
                <w:rFonts w:hint="eastAsia"/>
              </w:rPr>
              <w:t>华福证券有限责任公司</w:t>
            </w:r>
            <w:r>
              <w:rPr>
                <w:rFonts w:hint="eastAsia"/>
                <w:lang w:eastAsia="zh-CN"/>
              </w:rPr>
              <w:t>、</w:t>
            </w:r>
            <w:r>
              <w:rPr>
                <w:rFonts w:hint="eastAsia"/>
              </w:rPr>
              <w:t>甬兴证券有限公司</w:t>
            </w:r>
            <w:r>
              <w:rPr>
                <w:rFonts w:hint="eastAsia"/>
                <w:lang w:eastAsia="zh-CN"/>
              </w:rPr>
              <w:t>、</w:t>
            </w:r>
            <w:r>
              <w:rPr>
                <w:rFonts w:hint="eastAsia"/>
              </w:rPr>
              <w:t>国金证券股份有限公司</w:t>
            </w:r>
            <w:r>
              <w:rPr>
                <w:rFonts w:hint="eastAsia"/>
                <w:lang w:eastAsia="zh-CN"/>
              </w:rPr>
              <w:t>、</w:t>
            </w:r>
            <w:r>
              <w:rPr>
                <w:rFonts w:hint="eastAsia"/>
              </w:rPr>
              <w:t>长江证券股份有限公司</w:t>
            </w:r>
            <w:r>
              <w:rPr>
                <w:rFonts w:hint="eastAsia"/>
                <w:lang w:eastAsia="zh-CN"/>
              </w:rPr>
              <w:t>、</w:t>
            </w:r>
            <w:r>
              <w:rPr>
                <w:rFonts w:hint="eastAsia"/>
              </w:rPr>
              <w:t>上海申银万国证券研究所有限公司</w:t>
            </w:r>
            <w:r>
              <w:rPr>
                <w:rFonts w:hint="eastAsia"/>
                <w:lang w:eastAsia="zh-CN"/>
              </w:rPr>
              <w:t>、</w:t>
            </w:r>
            <w:r>
              <w:rPr>
                <w:rFonts w:hint="eastAsia"/>
              </w:rPr>
              <w:t>华西证券股份有限公司</w:t>
            </w:r>
            <w:r>
              <w:rPr>
                <w:rFonts w:hint="eastAsia"/>
                <w:lang w:eastAsia="zh-CN"/>
              </w:rPr>
              <w:t>、</w:t>
            </w:r>
            <w:r>
              <w:rPr>
                <w:rFonts w:hint="eastAsia"/>
              </w:rPr>
              <w:t>中信证券股份有限公司</w:t>
            </w:r>
            <w:r>
              <w:rPr>
                <w:rFonts w:hint="eastAsia"/>
                <w:lang w:eastAsia="zh-CN"/>
              </w:rPr>
              <w:t>、</w:t>
            </w:r>
            <w:r>
              <w:rPr>
                <w:rFonts w:hint="eastAsia"/>
              </w:rPr>
              <w:t>财通证券股份有限公司</w:t>
            </w:r>
            <w:r>
              <w:rPr>
                <w:rFonts w:hint="eastAsia"/>
                <w:lang w:eastAsia="zh-CN"/>
              </w:rPr>
              <w:t>、</w:t>
            </w:r>
            <w:r>
              <w:rPr>
                <w:rFonts w:hint="eastAsia"/>
              </w:rPr>
              <w:t>光大证券股份有限公司</w:t>
            </w:r>
            <w:r>
              <w:rPr>
                <w:rFonts w:hint="eastAsia"/>
                <w:lang w:eastAsia="zh-CN"/>
              </w:rPr>
              <w:t>、</w:t>
            </w:r>
            <w:r>
              <w:rPr>
                <w:rFonts w:hint="eastAsia"/>
              </w:rPr>
              <w:t>昆仑健康保险股份有限公司</w:t>
            </w:r>
            <w:r>
              <w:rPr>
                <w:rFonts w:hint="eastAsia"/>
                <w:lang w:eastAsia="zh-CN"/>
              </w:rPr>
              <w:t>、</w:t>
            </w:r>
            <w:r>
              <w:rPr>
                <w:rFonts w:hint="eastAsia"/>
              </w:rPr>
              <w:t>苏银理财有限责任公司</w:t>
            </w:r>
            <w:r>
              <w:rPr>
                <w:rFonts w:hint="eastAsia"/>
                <w:lang w:eastAsia="zh-CN"/>
              </w:rPr>
              <w:t>、</w:t>
            </w:r>
            <w:r>
              <w:rPr>
                <w:rFonts w:hint="eastAsia"/>
              </w:rPr>
              <w:t>东北证券股份有限公司</w:t>
            </w:r>
            <w:r>
              <w:rPr>
                <w:rFonts w:hint="eastAsia"/>
                <w:lang w:eastAsia="zh-CN"/>
              </w:rPr>
              <w:t>、</w:t>
            </w:r>
            <w:r>
              <w:rPr>
                <w:rFonts w:hint="eastAsia"/>
              </w:rPr>
              <w:t>統一證券投資信託股份有限公司</w:t>
            </w:r>
            <w:r>
              <w:rPr>
                <w:rFonts w:hint="eastAsia"/>
                <w:lang w:eastAsia="zh-CN"/>
              </w:rPr>
              <w:t>、</w:t>
            </w:r>
            <w:r>
              <w:rPr>
                <w:rFonts w:hint="eastAsia"/>
              </w:rPr>
              <w:t>国元证券股份有限公司</w:t>
            </w:r>
            <w:r>
              <w:rPr>
                <w:rFonts w:hint="eastAsia"/>
                <w:lang w:eastAsia="zh-CN"/>
              </w:rPr>
              <w:t>、</w:t>
            </w:r>
            <w:r>
              <w:rPr>
                <w:rFonts w:hint="eastAsia"/>
              </w:rPr>
              <w:t>恩泽基金</w:t>
            </w:r>
            <w:r>
              <w:rPr>
                <w:rFonts w:hint="eastAsia"/>
                <w:lang w:eastAsia="zh-CN"/>
              </w:rPr>
              <w:t>、</w:t>
            </w:r>
            <w:r>
              <w:rPr>
                <w:rFonts w:hint="eastAsia"/>
              </w:rPr>
              <w:t>宁波明盛资产管理有限公司</w:t>
            </w:r>
            <w:r>
              <w:rPr>
                <w:rFonts w:hint="eastAsia"/>
                <w:lang w:eastAsia="zh-CN"/>
              </w:rPr>
              <w:t>、</w:t>
            </w:r>
            <w:r>
              <w:rPr>
                <w:rFonts w:hint="eastAsia"/>
              </w:rPr>
              <w:t>驼铃资产</w:t>
            </w:r>
            <w:r>
              <w:rPr>
                <w:rFonts w:hint="eastAsia"/>
                <w:lang w:eastAsia="zh-CN"/>
              </w:rPr>
              <w:t>、</w:t>
            </w:r>
            <w:r>
              <w:rPr>
                <w:rFonts w:hint="eastAsia"/>
              </w:rPr>
              <w:t>金信基金</w:t>
            </w:r>
            <w:r>
              <w:rPr>
                <w:rFonts w:hint="eastAsia"/>
                <w:lang w:eastAsia="zh-CN"/>
              </w:rPr>
              <w:t>、</w:t>
            </w:r>
            <w:r>
              <w:rPr>
                <w:rFonts w:hint="eastAsia"/>
              </w:rPr>
              <w:t>花旗银行</w:t>
            </w:r>
            <w:r>
              <w:rPr>
                <w:rFonts w:hint="eastAsia"/>
                <w:lang w:eastAsia="zh-CN"/>
              </w:rPr>
              <w:t>、</w:t>
            </w:r>
            <w:r>
              <w:rPr>
                <w:rFonts w:hint="eastAsia"/>
              </w:rPr>
              <w:t>大和資本市場香港有限公司</w:t>
            </w:r>
            <w:r>
              <w:rPr>
                <w:rFonts w:hint="eastAsia"/>
                <w:lang w:eastAsia="zh-CN"/>
              </w:rPr>
              <w:t>、</w:t>
            </w:r>
            <w:r>
              <w:rPr>
                <w:rFonts w:hint="eastAsia"/>
              </w:rPr>
              <w:t>农银人寿保险股份有限公司</w:t>
            </w:r>
            <w:r>
              <w:rPr>
                <w:rFonts w:hint="eastAsia"/>
                <w:lang w:eastAsia="zh-CN"/>
              </w:rPr>
              <w:t>、</w:t>
            </w:r>
            <w:r>
              <w:rPr>
                <w:rFonts w:hint="eastAsia"/>
              </w:rPr>
              <w:t>上海厚磊投资管理有限公司</w:t>
            </w:r>
            <w:r>
              <w:rPr>
                <w:rFonts w:hint="eastAsia"/>
                <w:lang w:eastAsia="zh-CN"/>
              </w:rPr>
              <w:t>、</w:t>
            </w:r>
            <w:r>
              <w:rPr>
                <w:rFonts w:hint="eastAsia"/>
              </w:rPr>
              <w:t>深圳市辰禾投资有限公司</w:t>
            </w:r>
            <w:r>
              <w:rPr>
                <w:rFonts w:hint="eastAsia"/>
                <w:lang w:eastAsia="zh-CN"/>
              </w:rPr>
              <w:t>、</w:t>
            </w:r>
            <w:r>
              <w:rPr>
                <w:rFonts w:hint="eastAsia"/>
              </w:rPr>
              <w:t>招商证券股份有限公司</w:t>
            </w:r>
            <w:r>
              <w:rPr>
                <w:rFonts w:hint="eastAsia"/>
                <w:lang w:eastAsia="zh-CN"/>
              </w:rPr>
              <w:t>、</w:t>
            </w:r>
            <w:r>
              <w:rPr>
                <w:rFonts w:hint="eastAsia"/>
                <w:lang w:val="en-US" w:eastAsia="zh-CN"/>
              </w:rPr>
              <w:t>景顺长城基金、国联民生证券、浙商基金、鹏扬基金、巴富罗投资、长江资管、紫金上海投资、银华基金、工银瑞信基金、乔戈里资本、招商信诺资产管理有限公司、创金合信基金、前海开源基金、摩根士丹利、博时基金</w:t>
            </w:r>
          </w:p>
        </w:tc>
      </w:tr>
      <w:tr w14:paraId="3EED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10F336D4">
            <w:pPr>
              <w:spacing w:line="360" w:lineRule="auto"/>
              <w:jc w:val="center"/>
              <w:rPr>
                <w:rFonts w:hint="eastAsia" w:ascii="宋体" w:hAnsi="宋体"/>
                <w:b/>
                <w:bCs/>
                <w:iCs/>
                <w:color w:val="000000"/>
                <w:szCs w:val="21"/>
              </w:rPr>
            </w:pPr>
            <w:r>
              <w:rPr>
                <w:rFonts w:ascii="宋体" w:hAnsi="宋体"/>
                <w:b/>
                <w:bCs/>
                <w:iCs/>
                <w:color w:val="000000"/>
                <w:szCs w:val="21"/>
              </w:rPr>
              <w:t>时间</w:t>
            </w:r>
          </w:p>
        </w:tc>
        <w:tc>
          <w:tcPr>
            <w:tcW w:w="7088" w:type="dxa"/>
            <w:vAlign w:val="center"/>
          </w:tcPr>
          <w:p w14:paraId="5D8B2A92">
            <w:pPr>
              <w:spacing w:line="276" w:lineRule="auto"/>
              <w:rPr>
                <w:rFonts w:hint="default" w:ascii="宋体" w:hAnsi="宋体" w:eastAsia="宋体"/>
                <w:bCs/>
                <w:iCs/>
                <w:color w:val="000000"/>
                <w:szCs w:val="21"/>
                <w:lang w:val="en-US" w:eastAsia="zh-CN"/>
              </w:rPr>
            </w:pPr>
            <w:r>
              <w:rPr>
                <w:rFonts w:ascii="宋体" w:hAnsi="宋体"/>
                <w:bCs/>
                <w:iCs/>
                <w:color w:val="000000"/>
                <w:szCs w:val="21"/>
              </w:rPr>
              <w:t>202</w:t>
            </w:r>
            <w:r>
              <w:rPr>
                <w:rFonts w:hint="eastAsia" w:ascii="宋体" w:hAnsi="宋体"/>
                <w:bCs/>
                <w:iCs/>
                <w:color w:val="000000"/>
                <w:szCs w:val="21"/>
              </w:rPr>
              <w:t>5年</w:t>
            </w:r>
            <w:r>
              <w:rPr>
                <w:rFonts w:hint="eastAsia" w:ascii="宋体" w:hAnsi="宋体"/>
                <w:bCs/>
                <w:iCs/>
                <w:color w:val="000000"/>
                <w:szCs w:val="21"/>
                <w:lang w:val="en-US" w:eastAsia="zh-CN"/>
              </w:rPr>
              <w:t>9月1日、2025年9月3日、2025年9月4日</w:t>
            </w:r>
          </w:p>
        </w:tc>
      </w:tr>
      <w:tr w14:paraId="440F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275D1681">
            <w:pPr>
              <w:spacing w:line="360" w:lineRule="auto"/>
              <w:jc w:val="center"/>
              <w:rPr>
                <w:rFonts w:hint="eastAsia" w:ascii="宋体" w:hAnsi="宋体"/>
                <w:b/>
                <w:bCs/>
                <w:iCs/>
                <w:color w:val="000000"/>
                <w:szCs w:val="21"/>
              </w:rPr>
            </w:pPr>
            <w:r>
              <w:rPr>
                <w:rFonts w:hint="eastAsia" w:ascii="宋体" w:hAnsi="宋体"/>
                <w:b/>
                <w:bCs/>
                <w:iCs/>
                <w:color w:val="000000"/>
                <w:szCs w:val="21"/>
              </w:rPr>
              <w:t>地点</w:t>
            </w:r>
          </w:p>
        </w:tc>
        <w:tc>
          <w:tcPr>
            <w:tcW w:w="7088" w:type="dxa"/>
            <w:vAlign w:val="center"/>
          </w:tcPr>
          <w:p w14:paraId="39351267">
            <w:pPr>
              <w:spacing w:line="276" w:lineRule="auto"/>
              <w:rPr>
                <w:rFonts w:hint="default" w:ascii="宋体" w:hAnsi="宋体" w:eastAsia="宋体"/>
                <w:bCs/>
                <w:iCs/>
                <w:color w:val="000000"/>
                <w:szCs w:val="21"/>
                <w:lang w:val="en-US" w:eastAsia="zh-CN"/>
              </w:rPr>
            </w:pPr>
            <w:r>
              <w:rPr>
                <w:rFonts w:hint="eastAsia" w:ascii="宋体" w:hAnsi="宋体"/>
                <w:bCs/>
                <w:iCs/>
                <w:color w:val="000000"/>
                <w:szCs w:val="21"/>
              </w:rPr>
              <w:t>电话会议</w:t>
            </w:r>
            <w:r>
              <w:rPr>
                <w:rFonts w:hint="eastAsia" w:ascii="宋体" w:hAnsi="宋体"/>
                <w:bCs/>
                <w:iCs/>
                <w:color w:val="000000"/>
                <w:szCs w:val="21"/>
                <w:lang w:eastAsia="zh-CN"/>
              </w:rPr>
              <w:t>、</w:t>
            </w:r>
            <w:r>
              <w:rPr>
                <w:rFonts w:hint="eastAsia" w:ascii="宋体" w:hAnsi="宋体"/>
                <w:bCs/>
                <w:iCs/>
                <w:color w:val="000000"/>
                <w:szCs w:val="21"/>
                <w:lang w:val="en-US" w:eastAsia="zh-CN"/>
              </w:rPr>
              <w:t>公司总部会议室、晨光稀土会议室</w:t>
            </w:r>
          </w:p>
        </w:tc>
      </w:tr>
      <w:tr w14:paraId="73B2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2E565A95">
            <w:pPr>
              <w:spacing w:line="360" w:lineRule="auto"/>
              <w:jc w:val="center"/>
              <w:rPr>
                <w:rFonts w:hint="eastAsia" w:ascii="宋体" w:hAnsi="宋体"/>
                <w:b/>
                <w:bCs/>
                <w:iCs/>
                <w:color w:val="000000"/>
                <w:szCs w:val="21"/>
              </w:rPr>
            </w:pPr>
            <w:r>
              <w:rPr>
                <w:rFonts w:ascii="宋体" w:hAnsi="宋体"/>
                <w:b/>
                <w:bCs/>
                <w:iCs/>
                <w:color w:val="000000"/>
                <w:szCs w:val="21"/>
              </w:rPr>
              <w:t>上市公司接待人员姓名</w:t>
            </w:r>
          </w:p>
        </w:tc>
        <w:tc>
          <w:tcPr>
            <w:tcW w:w="7088" w:type="dxa"/>
            <w:vAlign w:val="center"/>
          </w:tcPr>
          <w:p w14:paraId="697FFD06">
            <w:pPr>
              <w:spacing w:line="276" w:lineRule="auto"/>
              <w:rPr>
                <w:rFonts w:hint="eastAsia" w:ascii="宋体" w:hAnsi="宋体" w:cs="宋体"/>
                <w:color w:val="000000"/>
                <w:kern w:val="0"/>
                <w:szCs w:val="21"/>
              </w:rPr>
            </w:pPr>
            <w:r>
              <w:rPr>
                <w:rFonts w:hint="eastAsia" w:ascii="宋体" w:hAnsi="宋体" w:cs="宋体"/>
                <w:color w:val="000000"/>
                <w:kern w:val="0"/>
                <w:szCs w:val="21"/>
              </w:rPr>
              <w:t xml:space="preserve">董事、副总经理、董事会秘书：郭晓雷 </w:t>
            </w:r>
          </w:p>
          <w:p w14:paraId="0E5F3186">
            <w:pPr>
              <w:spacing w:line="276" w:lineRule="auto"/>
              <w:rPr>
                <w:rFonts w:hint="eastAsia" w:ascii="宋体" w:hAnsi="宋体" w:cs="宋体"/>
                <w:color w:val="000000"/>
                <w:kern w:val="0"/>
                <w:szCs w:val="21"/>
              </w:rPr>
            </w:pPr>
            <w:r>
              <w:rPr>
                <w:rFonts w:hint="eastAsia" w:ascii="宋体" w:hAnsi="宋体" w:cs="宋体"/>
                <w:color w:val="000000"/>
                <w:kern w:val="0"/>
                <w:szCs w:val="21"/>
              </w:rPr>
              <w:t>投资者关系总监：孙宇翔</w:t>
            </w:r>
          </w:p>
          <w:p w14:paraId="41DDC3F2">
            <w:pPr>
              <w:spacing w:line="276" w:lineRule="auto"/>
              <w:rPr>
                <w:rFonts w:hint="eastAsia" w:ascii="宋体" w:hAnsi="宋体"/>
                <w:bCs/>
                <w:iCs/>
                <w:color w:val="000000"/>
                <w:szCs w:val="21"/>
              </w:rPr>
            </w:pPr>
            <w:r>
              <w:rPr>
                <w:rFonts w:hint="eastAsia" w:ascii="宋体" w:hAnsi="宋体" w:cs="宋体"/>
                <w:color w:val="000000"/>
                <w:kern w:val="0"/>
                <w:szCs w:val="21"/>
                <w:lang w:val="en-US" w:eastAsia="zh-CN"/>
              </w:rPr>
              <w:t>晨光稀土行政项目中心副总监：何靖</w:t>
            </w:r>
          </w:p>
        </w:tc>
      </w:tr>
      <w:tr w14:paraId="2D41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328CCB7C">
            <w:pPr>
              <w:spacing w:before="156" w:beforeLines="50"/>
              <w:ind w:firstLine="420" w:firstLineChars="200"/>
              <w:rPr>
                <w:rFonts w:hint="eastAsia" w:ascii="宋体" w:hAnsi="宋体"/>
              </w:rPr>
            </w:pPr>
            <w:r>
              <w:rPr>
                <w:rFonts w:hint="eastAsia" w:ascii="宋体" w:hAnsi="宋体"/>
              </w:rPr>
              <w:t>调研</w:t>
            </w:r>
            <w:r>
              <w:rPr>
                <w:rFonts w:ascii="宋体" w:hAnsi="宋体"/>
              </w:rPr>
              <w:t>主要内容介绍</w:t>
            </w:r>
          </w:p>
          <w:p w14:paraId="5E672FAF">
            <w:pPr>
              <w:spacing w:before="156" w:beforeLines="50"/>
              <w:ind w:firstLine="420" w:firstLineChars="200"/>
              <w:rPr>
                <w:rFonts w:hint="eastAsia" w:ascii="宋体" w:hAnsi="宋体"/>
              </w:rPr>
            </w:pPr>
          </w:p>
        </w:tc>
        <w:tc>
          <w:tcPr>
            <w:tcW w:w="7088" w:type="dxa"/>
          </w:tcPr>
          <w:p w14:paraId="00D98030">
            <w:pPr>
              <w:spacing w:before="156" w:beforeLines="50"/>
              <w:ind w:firstLine="420" w:firstLineChars="200"/>
              <w:rPr>
                <w:rFonts w:hint="eastAsia"/>
                <w:lang w:val="en-US" w:eastAsia="zh-CN"/>
              </w:rPr>
            </w:pPr>
            <w:r>
              <w:rPr>
                <w:rFonts w:hint="eastAsia"/>
                <w:lang w:val="en-US" w:eastAsia="zh-CN"/>
              </w:rPr>
              <w:t>1、公司上半年经营业绩情况？</w:t>
            </w:r>
          </w:p>
          <w:p w14:paraId="2AA1E62A">
            <w:pPr>
              <w:spacing w:before="156" w:beforeLines="50"/>
              <w:ind w:firstLine="420" w:firstLineChars="200"/>
              <w:rPr>
                <w:rFonts w:hint="eastAsia"/>
                <w:lang w:val="en-US" w:eastAsia="zh-CN"/>
              </w:rPr>
            </w:pPr>
            <w:r>
              <w:rPr>
                <w:rFonts w:hint="eastAsia"/>
                <w:lang w:val="en-US" w:eastAsia="zh-CN"/>
              </w:rPr>
              <w:t>答：</w:t>
            </w:r>
            <w:r>
              <w:rPr>
                <w:rFonts w:hint="eastAsia"/>
              </w:rPr>
              <w:t>2025年上半年，公司实现营业收入617,855.43万元，同比增长13.62%，归属于上市公司股东净利润37,690.62万元，同比增长650.09%。</w:t>
            </w:r>
          </w:p>
          <w:p w14:paraId="66DD931E">
            <w:pPr>
              <w:spacing w:before="156" w:beforeLines="50"/>
              <w:ind w:firstLine="420" w:firstLineChars="200"/>
              <w:rPr>
                <w:rFonts w:hint="eastAsia"/>
                <w:lang w:val="en-US" w:eastAsia="zh-CN"/>
              </w:rPr>
            </w:pPr>
            <w:r>
              <w:rPr>
                <w:rFonts w:hint="eastAsia"/>
                <w:lang w:val="en-US" w:eastAsia="zh-CN"/>
              </w:rPr>
              <w:t>2、公司上半年稀土主要产品产销情况？</w:t>
            </w:r>
          </w:p>
          <w:p w14:paraId="67AA4910">
            <w:pPr>
              <w:spacing w:before="156" w:beforeLines="50"/>
              <w:ind w:firstLine="420" w:firstLineChars="200"/>
              <w:rPr>
                <w:rFonts w:hint="eastAsia"/>
                <w:lang w:val="en-US" w:eastAsia="zh-CN"/>
              </w:rPr>
            </w:pPr>
            <w:r>
              <w:rPr>
                <w:rFonts w:hint="eastAsia"/>
                <w:lang w:val="en-US" w:eastAsia="zh-CN"/>
              </w:rPr>
              <w:t>答：2025年上半年，公司实现稀土氧化物产量10,628.97吨、销量6,576.45吨，稀土稀有金属产量13,625.16吨、销量9,832.30吨。</w:t>
            </w:r>
          </w:p>
          <w:p w14:paraId="5A96ABFE">
            <w:pPr>
              <w:spacing w:before="156" w:beforeLines="50"/>
              <w:ind w:firstLine="420" w:firstLineChars="200"/>
              <w:rPr>
                <w:rFonts w:hint="eastAsia"/>
                <w:lang w:val="en-US" w:eastAsia="zh-CN"/>
              </w:rPr>
            </w:pPr>
            <w:r>
              <w:rPr>
                <w:rFonts w:hint="eastAsia"/>
                <w:lang w:val="en-US" w:eastAsia="zh-CN"/>
              </w:rPr>
              <w:t>3、当前公司如何进行自我定位及战略规划？</w:t>
            </w:r>
          </w:p>
          <w:p w14:paraId="24803CDB">
            <w:pPr>
              <w:spacing w:before="156" w:beforeLines="50"/>
              <w:ind w:firstLine="420" w:firstLineChars="200"/>
              <w:rPr>
                <w:rFonts w:hint="default"/>
                <w:lang w:val="en-US" w:eastAsia="zh-CN"/>
              </w:rPr>
            </w:pPr>
            <w:r>
              <w:rPr>
                <w:rFonts w:hint="eastAsia"/>
                <w:lang w:val="en-US" w:eastAsia="zh-CN"/>
              </w:rPr>
              <w:t>答：公司</w:t>
            </w:r>
            <w:r>
              <w:rPr>
                <w:rFonts w:hint="eastAsia"/>
              </w:rPr>
              <w:t>是一家以稀土业务为核心、兼顾锆钛和海外资源的混合所有制上市公司，致力于成为负责任的关键原材料国际化供应商。目前，公司已构建了稀土产业链、锆钛独居石产业链和循环经济产业链三个业务方向，形成了国际资源加国内产业的双循环发展格局。未来</w:t>
            </w:r>
            <w:r>
              <w:rPr>
                <w:rFonts w:hint="eastAsia"/>
                <w:lang w:eastAsia="zh-CN"/>
              </w:rPr>
              <w:t>，</w:t>
            </w:r>
            <w:r>
              <w:rPr>
                <w:rFonts w:hint="eastAsia"/>
                <w:lang w:val="en-US" w:eastAsia="zh-CN"/>
              </w:rPr>
              <w:t>公司</w:t>
            </w:r>
            <w:r>
              <w:rPr>
                <w:rFonts w:hint="eastAsia"/>
              </w:rPr>
              <w:t>将持续</w:t>
            </w:r>
            <w:r>
              <w:rPr>
                <w:rFonts w:hint="eastAsia"/>
                <w:lang w:val="en-US" w:eastAsia="zh-CN"/>
              </w:rPr>
              <w:t>加强战略引领，深化</w:t>
            </w:r>
            <w:r>
              <w:rPr>
                <w:rFonts w:hint="eastAsia"/>
              </w:rPr>
              <w:t>全球优质资源</w:t>
            </w:r>
            <w:r>
              <w:rPr>
                <w:rFonts w:hint="eastAsia"/>
                <w:lang w:val="en-US" w:eastAsia="zh-CN"/>
              </w:rPr>
              <w:t>业务布局</w:t>
            </w:r>
            <w:r>
              <w:rPr>
                <w:rFonts w:hint="eastAsia"/>
              </w:rPr>
              <w:t>，推动公司向资源控股型上市公司转型升级。</w:t>
            </w:r>
          </w:p>
          <w:p w14:paraId="12DA196F">
            <w:pPr>
              <w:spacing w:before="156" w:beforeLines="50"/>
              <w:ind w:firstLine="420" w:firstLineChars="200"/>
              <w:rPr>
                <w:rFonts w:hint="eastAsia"/>
                <w:lang w:val="en-US" w:eastAsia="zh-CN"/>
              </w:rPr>
            </w:pPr>
            <w:r>
              <w:rPr>
                <w:rFonts w:hint="eastAsia"/>
                <w:lang w:val="en-US" w:eastAsia="zh-CN"/>
              </w:rPr>
              <w:t>4、公司如何看待《稀土开采和稀土冶炼分离总量调控管理暂行办法》出台所带来的影响？</w:t>
            </w:r>
          </w:p>
          <w:p w14:paraId="7399F3D9">
            <w:pPr>
              <w:spacing w:before="156" w:beforeLines="50"/>
              <w:ind w:firstLine="420" w:firstLineChars="200"/>
              <w:rPr>
                <w:rFonts w:hint="eastAsia"/>
                <w:lang w:val="en-US" w:eastAsia="zh-CN"/>
              </w:rPr>
            </w:pPr>
            <w:r>
              <w:rPr>
                <w:rFonts w:hint="eastAsia"/>
                <w:lang w:val="en-US" w:eastAsia="zh-CN"/>
              </w:rPr>
              <w:t>答：《稀土开采和稀土冶炼分离总量调控管理暂行办法》（以下简称“《暂行办法》”）对去年公布并施行的《稀土管理条例》中有关“国家对稀土开采和稀土冶炼分离实行总量调控”的内容做了具体阐释，《暂行办法》的施行将进一步规范国内行业运行秩序，促进稀土及相关产业链高质量、可持续发展。</w:t>
            </w:r>
          </w:p>
          <w:p w14:paraId="3375DE7A">
            <w:pPr>
              <w:spacing w:before="156" w:beforeLines="50"/>
              <w:ind w:firstLine="420" w:firstLineChars="200"/>
              <w:rPr>
                <w:rFonts w:hint="default"/>
                <w:lang w:val="en-US" w:eastAsia="zh-CN"/>
              </w:rPr>
            </w:pPr>
            <w:r>
              <w:rPr>
                <w:rFonts w:hint="eastAsia"/>
                <w:lang w:val="en-US" w:eastAsia="zh-CN"/>
              </w:rPr>
              <w:t>5、公司海外资源布局的最近进展情况？</w:t>
            </w:r>
          </w:p>
          <w:p w14:paraId="03E53520">
            <w:pPr>
              <w:spacing w:before="156" w:beforeLines="50"/>
              <w:ind w:firstLine="420" w:firstLineChars="200"/>
              <w:rPr>
                <w:rFonts w:hint="eastAsia"/>
                <w:lang w:val="en-US" w:eastAsia="zh-CN"/>
              </w:rPr>
            </w:pPr>
            <w:r>
              <w:rPr>
                <w:rFonts w:hint="eastAsia"/>
                <w:lang w:val="en-US" w:eastAsia="zh-CN"/>
              </w:rPr>
              <w:t>答：稀土资源方面，公司与Peak公司签署《方案实施契约》，约定以协议安排收购的方式收购Peak公司对外发行的全部普通股，目前该交易事项的审批工作正在推进过程中；锆钛资源方面，坦桑尼亚Fungoni项目正处于产能爬坡期、预计于近期达产，Tajiri项目建设工作正在加快推进、投产后该项目产能会根据市场情况逐步释放，马达加斯加重砂矿项目前期工作也在有序推进过程之中，该业务板块的远景目标是锆钛矿原料能够最大限度满足公司下属选矿厂的需求。</w:t>
            </w:r>
          </w:p>
          <w:p w14:paraId="0CF41015">
            <w:pPr>
              <w:spacing w:before="156" w:beforeLines="50"/>
              <w:ind w:firstLine="420" w:firstLineChars="200"/>
              <w:rPr>
                <w:rFonts w:hint="default"/>
                <w:lang w:val="en-US" w:eastAsia="zh-CN"/>
              </w:rPr>
            </w:pPr>
            <w:r>
              <w:rPr>
                <w:rFonts w:hint="eastAsia"/>
                <w:lang w:val="en-US" w:eastAsia="zh-CN"/>
              </w:rPr>
              <w:t>6、公司对于镧铈类产品的发展规划？</w:t>
            </w:r>
          </w:p>
          <w:p w14:paraId="23BAC370">
            <w:pPr>
              <w:numPr>
                <w:ilvl w:val="0"/>
                <w:numId w:val="0"/>
              </w:numPr>
              <w:spacing w:before="156" w:beforeLines="50"/>
              <w:ind w:firstLine="420" w:firstLineChars="200"/>
              <w:rPr>
                <w:rFonts w:hint="default" w:eastAsia="宋体"/>
                <w:lang w:val="en-US" w:eastAsia="zh-CN"/>
              </w:rPr>
            </w:pPr>
            <w:r>
              <w:rPr>
                <w:rFonts w:hint="eastAsia"/>
                <w:lang w:val="en-US" w:eastAsia="zh-CN"/>
              </w:rPr>
              <w:t>答：镧铈是稀土资源中的高丰度元素，下游应用领域广泛，目前主要用途包括生产制造稀土抛光材料、稀土催化材料、精密光学玻璃、中低规格牌号稀土磁性材料、储氢材料、特种合金等。公司此前通过股权投资方式布局镧铈业务下游企业，目前也在加快推动</w:t>
            </w:r>
            <w:r>
              <w:rPr>
                <w:rFonts w:ascii="宋体" w:hAnsi="宋体"/>
              </w:rPr>
              <w:t>乐山盛和1.5万吨/年高性能抛光粉项目</w:t>
            </w:r>
            <w:r>
              <w:rPr>
                <w:rFonts w:hint="eastAsia" w:ascii="宋体" w:hAnsi="宋体"/>
                <w:lang w:eastAsia="zh-CN"/>
              </w:rPr>
              <w:t>的</w:t>
            </w:r>
            <w:r>
              <w:rPr>
                <w:rFonts w:hint="eastAsia" w:ascii="宋体" w:hAnsi="宋体"/>
                <w:lang w:val="en-US" w:eastAsia="zh-CN"/>
              </w:rPr>
              <w:t>建设工作，上述项目投产达效后将推动公司产业链一体化延伸、促进高丰度稀土产品消纳、并进一步提升产品的附加值。</w:t>
            </w:r>
          </w:p>
          <w:p w14:paraId="31CF80AC">
            <w:pPr>
              <w:numPr>
                <w:ilvl w:val="0"/>
                <w:numId w:val="0"/>
              </w:numPr>
              <w:ind w:firstLine="420" w:firstLineChars="200"/>
              <w:rPr>
                <w:rFonts w:hint="default"/>
                <w:lang w:val="en-US" w:eastAsia="zh-CN"/>
              </w:rPr>
            </w:pPr>
            <w:r>
              <w:rPr>
                <w:rFonts w:hint="eastAsia" w:cs="Times New Roman"/>
                <w:kern w:val="2"/>
                <w:sz w:val="21"/>
                <w:szCs w:val="24"/>
                <w:lang w:val="en-US" w:eastAsia="zh-CN" w:bidi="ar-SA"/>
              </w:rPr>
              <w:t>7、</w:t>
            </w:r>
            <w:r>
              <w:rPr>
                <w:rFonts w:hint="eastAsia"/>
                <w:lang w:val="en-US" w:eastAsia="zh-CN"/>
              </w:rPr>
              <w:t>如何看待未来稀土废料回收产业的发展？公司如何把握产业的发展机遇？</w:t>
            </w:r>
          </w:p>
          <w:p w14:paraId="2FA69CDB">
            <w:pPr>
              <w:numPr>
                <w:ilvl w:val="0"/>
                <w:numId w:val="0"/>
              </w:numPr>
              <w:ind w:firstLine="420" w:firstLineChars="200"/>
              <w:rPr>
                <w:rFonts w:hint="default"/>
                <w:lang w:val="en-US" w:eastAsia="zh-CN"/>
              </w:rPr>
            </w:pPr>
            <w:r>
              <w:rPr>
                <w:rFonts w:hint="eastAsia"/>
                <w:lang w:val="en-US" w:eastAsia="zh-CN"/>
              </w:rPr>
              <w:t>答：随着国内磁材行业的发展及产品产量的增加，钕铁硼废料的供应将随之增长；叠加早期风电、新能源汽车等下游产业报废周期的到来，钕铁硼拆解废料也将成为行业原料的重要补充渠道。多年以来，公司着力布局多元化原料获取渠道，通过长期与产业链上下游企业的深度合作在业内树立了良好的口碑，并与多家磁材厂建立了稳定的废料供应合作关系，保障了工厂原料的充足供应。</w:t>
            </w:r>
          </w:p>
          <w:p w14:paraId="42AE46D2">
            <w:pPr>
              <w:numPr>
                <w:ilvl w:val="0"/>
                <w:numId w:val="0"/>
              </w:numPr>
              <w:spacing w:before="156" w:beforeLines="50"/>
              <w:ind w:firstLine="420" w:firstLineChars="200"/>
              <w:rPr>
                <w:rFonts w:hint="default"/>
                <w:lang w:val="en-US" w:eastAsia="zh-CN"/>
              </w:rPr>
            </w:pPr>
            <w:r>
              <w:rPr>
                <w:rFonts w:hint="eastAsia"/>
                <w:lang w:val="en-US" w:eastAsia="zh-CN"/>
              </w:rPr>
              <w:t>8、如何看待稀土产品价格及分离厂加工费的走势？</w:t>
            </w:r>
          </w:p>
          <w:p w14:paraId="4FEC09D0">
            <w:pPr>
              <w:ind w:firstLine="420" w:firstLineChars="200"/>
            </w:pPr>
            <w:r>
              <w:rPr>
                <w:rFonts w:hint="eastAsia"/>
                <w:lang w:val="en-US" w:eastAsia="zh-CN"/>
              </w:rPr>
              <w:t>答：近段时间以来，受产业链相关环节供需格局及预期演变等多重因素影响，稀土产品价格及重稀土分离环节加工费呈现上涨态势。后续，供需仍将是影响价格走势的决定性因素。从中长期视角看，伴随着政策对于国内行业供给侧秩序的持续规范及下游行业需求空间的逐步打开，预计行业将维持相对较高的景气度，产业链各环节的利润分配将趋于新的均衡水平。</w:t>
            </w:r>
          </w:p>
        </w:tc>
      </w:tr>
      <w:tr w14:paraId="63FA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3E908EEA">
            <w:pPr>
              <w:spacing w:line="360" w:lineRule="auto"/>
              <w:jc w:val="center"/>
              <w:rPr>
                <w:rFonts w:hint="eastAsia" w:ascii="宋体" w:hAnsi="宋体"/>
                <w:b/>
                <w:bCs/>
                <w:iCs/>
                <w:color w:val="000000"/>
                <w:szCs w:val="21"/>
              </w:rPr>
            </w:pPr>
            <w:r>
              <w:rPr>
                <w:rFonts w:hint="eastAsia" w:ascii="宋体" w:hAnsi="宋体"/>
                <w:b/>
                <w:bCs/>
                <w:iCs/>
                <w:color w:val="000000"/>
                <w:szCs w:val="21"/>
              </w:rPr>
              <w:t xml:space="preserve"> </w:t>
            </w:r>
            <w:r>
              <w:rPr>
                <w:rFonts w:ascii="宋体" w:hAnsi="宋体"/>
                <w:b/>
                <w:bCs/>
                <w:iCs/>
                <w:color w:val="000000"/>
                <w:szCs w:val="21"/>
              </w:rPr>
              <w:t>附件清单（如有）</w:t>
            </w:r>
          </w:p>
        </w:tc>
        <w:tc>
          <w:tcPr>
            <w:tcW w:w="7088" w:type="dxa"/>
          </w:tcPr>
          <w:p w14:paraId="4AC789B0">
            <w:pPr>
              <w:spacing w:line="360" w:lineRule="auto"/>
              <w:ind w:firstLine="105" w:firstLineChars="50"/>
              <w:jc w:val="center"/>
              <w:rPr>
                <w:rFonts w:hint="eastAsia" w:ascii="宋体" w:hAnsi="宋体"/>
                <w:bCs/>
                <w:iCs/>
                <w:color w:val="000000"/>
                <w:szCs w:val="21"/>
              </w:rPr>
            </w:pPr>
            <w:r>
              <w:rPr>
                <w:rFonts w:hint="eastAsia" w:ascii="宋体" w:hAnsi="宋体"/>
                <w:bCs/>
                <w:iCs/>
                <w:color w:val="000000"/>
                <w:szCs w:val="21"/>
              </w:rPr>
              <w:t>无</w:t>
            </w:r>
          </w:p>
        </w:tc>
      </w:tr>
      <w:tr w14:paraId="5FCF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09F4BB5B">
            <w:pPr>
              <w:spacing w:line="360" w:lineRule="auto"/>
              <w:jc w:val="center"/>
              <w:rPr>
                <w:rFonts w:hint="eastAsia" w:ascii="宋体" w:hAnsi="宋体"/>
                <w:b/>
                <w:bCs/>
                <w:iCs/>
                <w:color w:val="000000"/>
                <w:szCs w:val="21"/>
              </w:rPr>
            </w:pPr>
            <w:r>
              <w:rPr>
                <w:rFonts w:ascii="宋体" w:hAnsi="宋体"/>
                <w:b/>
                <w:bCs/>
                <w:iCs/>
                <w:color w:val="000000"/>
                <w:szCs w:val="21"/>
              </w:rPr>
              <w:t>日期</w:t>
            </w:r>
          </w:p>
        </w:tc>
        <w:tc>
          <w:tcPr>
            <w:tcW w:w="7088" w:type="dxa"/>
          </w:tcPr>
          <w:p w14:paraId="0CC43FC5">
            <w:pPr>
              <w:spacing w:line="360" w:lineRule="auto"/>
              <w:jc w:val="center"/>
              <w:rPr>
                <w:rFonts w:hint="eastAsia" w:ascii="宋体" w:hAnsi="宋体"/>
                <w:bCs/>
                <w:iCs/>
                <w:color w:val="000000"/>
                <w:szCs w:val="21"/>
              </w:rPr>
            </w:pPr>
            <w:r>
              <w:rPr>
                <w:rFonts w:ascii="宋体" w:hAnsi="宋体"/>
                <w:bCs/>
                <w:iCs/>
                <w:color w:val="000000"/>
                <w:szCs w:val="21"/>
              </w:rPr>
              <w:t>202</w:t>
            </w:r>
            <w:r>
              <w:rPr>
                <w:rFonts w:hint="eastAsia" w:ascii="宋体" w:hAnsi="宋体"/>
                <w:bCs/>
                <w:iCs/>
                <w:color w:val="000000"/>
                <w:szCs w:val="21"/>
              </w:rPr>
              <w:t>5年</w:t>
            </w:r>
            <w:r>
              <w:rPr>
                <w:rFonts w:hint="eastAsia" w:ascii="宋体" w:hAnsi="宋体"/>
                <w:bCs/>
                <w:iCs/>
                <w:color w:val="000000"/>
                <w:szCs w:val="21"/>
                <w:lang w:val="en-US" w:eastAsia="zh-CN"/>
              </w:rPr>
              <w:t>9</w:t>
            </w:r>
            <w:r>
              <w:rPr>
                <w:rFonts w:hint="eastAsia" w:ascii="宋体" w:hAnsi="宋体"/>
                <w:bCs/>
                <w:iCs/>
                <w:color w:val="000000"/>
                <w:szCs w:val="21"/>
              </w:rPr>
              <w:t>月</w:t>
            </w:r>
            <w:r>
              <w:rPr>
                <w:rFonts w:hint="eastAsia" w:ascii="宋体" w:hAnsi="宋体"/>
                <w:bCs/>
                <w:iCs/>
                <w:color w:val="000000"/>
                <w:szCs w:val="21"/>
                <w:lang w:val="en-US" w:eastAsia="zh-CN"/>
              </w:rPr>
              <w:t>5</w:t>
            </w:r>
            <w:r>
              <w:rPr>
                <w:rFonts w:hint="eastAsia" w:ascii="宋体" w:hAnsi="宋体"/>
                <w:bCs/>
                <w:iCs/>
                <w:color w:val="000000"/>
                <w:szCs w:val="21"/>
              </w:rPr>
              <w:t>日</w:t>
            </w:r>
          </w:p>
        </w:tc>
      </w:tr>
      <w:bookmarkEnd w:id="0"/>
    </w:tbl>
    <w:p w14:paraId="264E70DC">
      <w:pPr>
        <w:widowControl/>
        <w:jc w:val="left"/>
        <w:rPr>
          <w:rFonts w:hint="eastAsia" w:ascii="仿宋" w:hAnsi="仿宋" w:eastAsia="仿宋"/>
          <w:sz w:val="28"/>
          <w:szCs w:val="28"/>
        </w:rPr>
      </w:pPr>
      <w:bookmarkStart w:id="2" w:name="_GoBack"/>
      <w:bookmarkEnd w:id="2"/>
    </w:p>
    <w:sectPr>
      <w:footerReference r:id="rId5" w:type="default"/>
      <w:footerReference r:id="rId6" w:type="even"/>
      <w:pgSz w:w="11906" w:h="16838"/>
      <w:pgMar w:top="1701" w:right="1797" w:bottom="1134" w:left="1797"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E2BE8">
    <w:pPr>
      <w:pStyle w:val="7"/>
      <w:framePr w:wrap="around" w:vAnchor="text" w:hAnchor="margin" w:xAlign="center" w:y="1"/>
      <w:rPr>
        <w:rStyle w:val="14"/>
        <w:rFonts w:hint="eastAsia" w:ascii="宋体" w:hAnsi="宋体"/>
        <w:sz w:val="28"/>
        <w:szCs w:val="28"/>
      </w:rPr>
    </w:pPr>
    <w:r>
      <w:rPr>
        <w:rStyle w:val="14"/>
        <w:rFonts w:hint="eastAsia" w:ascii="宋体" w:hAnsi="宋体"/>
        <w:sz w:val="28"/>
        <w:szCs w:val="28"/>
      </w:rPr>
      <w:t>—</w:t>
    </w: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rPr>
      <w:t>2</w:t>
    </w:r>
    <w:r>
      <w:rPr>
        <w:rFonts w:hint="eastAsia" w:ascii="宋体" w:hAnsi="宋体"/>
        <w:sz w:val="28"/>
        <w:szCs w:val="28"/>
      </w:rPr>
      <w:fldChar w:fldCharType="end"/>
    </w:r>
    <w:r>
      <w:rPr>
        <w:rStyle w:val="14"/>
        <w:rFonts w:hint="eastAsia" w:ascii="宋体" w:hAnsi="宋体"/>
        <w:sz w:val="28"/>
        <w:szCs w:val="28"/>
      </w:rPr>
      <w:t>—</w:t>
    </w:r>
  </w:p>
  <w:p w14:paraId="16671FD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28579">
    <w:pPr>
      <w:pStyle w:val="7"/>
      <w:framePr w:wrap="around" w:vAnchor="text" w:hAnchor="margin" w:xAlign="center" w:y="1"/>
      <w:rPr>
        <w:rStyle w:val="14"/>
      </w:rPr>
    </w:pPr>
    <w:r>
      <w:fldChar w:fldCharType="begin"/>
    </w:r>
    <w:r>
      <w:rPr>
        <w:rStyle w:val="14"/>
      </w:rPr>
      <w:instrText xml:space="preserve">PAGE  </w:instrText>
    </w:r>
    <w:r>
      <w:fldChar w:fldCharType="end"/>
    </w:r>
  </w:p>
  <w:p w14:paraId="7FA730D8">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3YWU0ODljM2NmZjU5OGNmMjFkOGY5YmJkOTk2ODUifQ=="/>
  </w:docVars>
  <w:rsids>
    <w:rsidRoot w:val="00953981"/>
    <w:rsid w:val="0001203A"/>
    <w:rsid w:val="00013509"/>
    <w:rsid w:val="00036947"/>
    <w:rsid w:val="000532C1"/>
    <w:rsid w:val="000550EB"/>
    <w:rsid w:val="0007285A"/>
    <w:rsid w:val="000731BB"/>
    <w:rsid w:val="00081574"/>
    <w:rsid w:val="000A4871"/>
    <w:rsid w:val="000A6FEC"/>
    <w:rsid w:val="000B37B1"/>
    <w:rsid w:val="000B620F"/>
    <w:rsid w:val="000B7E1C"/>
    <w:rsid w:val="000D7761"/>
    <w:rsid w:val="00126512"/>
    <w:rsid w:val="00176F31"/>
    <w:rsid w:val="00177EC3"/>
    <w:rsid w:val="00180568"/>
    <w:rsid w:val="001A04B5"/>
    <w:rsid w:val="001A09A4"/>
    <w:rsid w:val="001C1D99"/>
    <w:rsid w:val="001F4540"/>
    <w:rsid w:val="002001C1"/>
    <w:rsid w:val="00214702"/>
    <w:rsid w:val="0023626F"/>
    <w:rsid w:val="00273F00"/>
    <w:rsid w:val="00295305"/>
    <w:rsid w:val="002B7B99"/>
    <w:rsid w:val="002E1978"/>
    <w:rsid w:val="002F790C"/>
    <w:rsid w:val="0031359B"/>
    <w:rsid w:val="003543E6"/>
    <w:rsid w:val="003635FB"/>
    <w:rsid w:val="003751F0"/>
    <w:rsid w:val="003E0D6D"/>
    <w:rsid w:val="003F075D"/>
    <w:rsid w:val="00431FFB"/>
    <w:rsid w:val="004460E0"/>
    <w:rsid w:val="004C55DA"/>
    <w:rsid w:val="004D4ECC"/>
    <w:rsid w:val="004E149C"/>
    <w:rsid w:val="004E7079"/>
    <w:rsid w:val="004F5FC7"/>
    <w:rsid w:val="00503F30"/>
    <w:rsid w:val="00593A9B"/>
    <w:rsid w:val="005B097F"/>
    <w:rsid w:val="005B151D"/>
    <w:rsid w:val="005C1E93"/>
    <w:rsid w:val="005F33F1"/>
    <w:rsid w:val="0060780A"/>
    <w:rsid w:val="00621A53"/>
    <w:rsid w:val="006401DD"/>
    <w:rsid w:val="00650410"/>
    <w:rsid w:val="00656C48"/>
    <w:rsid w:val="00676A4E"/>
    <w:rsid w:val="00681D44"/>
    <w:rsid w:val="006924FD"/>
    <w:rsid w:val="006D761D"/>
    <w:rsid w:val="007549ED"/>
    <w:rsid w:val="0077568A"/>
    <w:rsid w:val="007A7D5B"/>
    <w:rsid w:val="007C2390"/>
    <w:rsid w:val="007C5823"/>
    <w:rsid w:val="007D4949"/>
    <w:rsid w:val="007E1E56"/>
    <w:rsid w:val="007E4551"/>
    <w:rsid w:val="007E7F4E"/>
    <w:rsid w:val="007F5049"/>
    <w:rsid w:val="007F51F0"/>
    <w:rsid w:val="00814133"/>
    <w:rsid w:val="008359E8"/>
    <w:rsid w:val="00836509"/>
    <w:rsid w:val="00871D04"/>
    <w:rsid w:val="0089239A"/>
    <w:rsid w:val="008C3B4A"/>
    <w:rsid w:val="008C44AA"/>
    <w:rsid w:val="008D5F92"/>
    <w:rsid w:val="008F346F"/>
    <w:rsid w:val="00905BC4"/>
    <w:rsid w:val="009456A9"/>
    <w:rsid w:val="00953981"/>
    <w:rsid w:val="009628D4"/>
    <w:rsid w:val="00992AD5"/>
    <w:rsid w:val="009B0861"/>
    <w:rsid w:val="009F4110"/>
    <w:rsid w:val="009F45A2"/>
    <w:rsid w:val="00A05D19"/>
    <w:rsid w:val="00A103B1"/>
    <w:rsid w:val="00A130E2"/>
    <w:rsid w:val="00A30EA4"/>
    <w:rsid w:val="00A46045"/>
    <w:rsid w:val="00A540D5"/>
    <w:rsid w:val="00A903B2"/>
    <w:rsid w:val="00AA3A2F"/>
    <w:rsid w:val="00AB65AE"/>
    <w:rsid w:val="00AC431B"/>
    <w:rsid w:val="00AE0CFB"/>
    <w:rsid w:val="00AE58F2"/>
    <w:rsid w:val="00AF6245"/>
    <w:rsid w:val="00B0411F"/>
    <w:rsid w:val="00B10F99"/>
    <w:rsid w:val="00B22C28"/>
    <w:rsid w:val="00B23358"/>
    <w:rsid w:val="00B34641"/>
    <w:rsid w:val="00B61496"/>
    <w:rsid w:val="00B61558"/>
    <w:rsid w:val="00B943F5"/>
    <w:rsid w:val="00BB0618"/>
    <w:rsid w:val="00BC283B"/>
    <w:rsid w:val="00BE138D"/>
    <w:rsid w:val="00BF20BB"/>
    <w:rsid w:val="00C00ED0"/>
    <w:rsid w:val="00C037C8"/>
    <w:rsid w:val="00C125C5"/>
    <w:rsid w:val="00C3495A"/>
    <w:rsid w:val="00C40C24"/>
    <w:rsid w:val="00C655A8"/>
    <w:rsid w:val="00C73011"/>
    <w:rsid w:val="00C74CFE"/>
    <w:rsid w:val="00C8030F"/>
    <w:rsid w:val="00CC0983"/>
    <w:rsid w:val="00CE0A43"/>
    <w:rsid w:val="00CE6605"/>
    <w:rsid w:val="00D03E6A"/>
    <w:rsid w:val="00D0557B"/>
    <w:rsid w:val="00D15A3A"/>
    <w:rsid w:val="00D16C08"/>
    <w:rsid w:val="00D23B76"/>
    <w:rsid w:val="00D346BD"/>
    <w:rsid w:val="00D35C68"/>
    <w:rsid w:val="00D41450"/>
    <w:rsid w:val="00D53AA6"/>
    <w:rsid w:val="00D5647D"/>
    <w:rsid w:val="00D70AE6"/>
    <w:rsid w:val="00D74D49"/>
    <w:rsid w:val="00DA7E5B"/>
    <w:rsid w:val="00DB45D0"/>
    <w:rsid w:val="00DE22B5"/>
    <w:rsid w:val="00E62C0E"/>
    <w:rsid w:val="00E877F5"/>
    <w:rsid w:val="00E91845"/>
    <w:rsid w:val="00E92BDF"/>
    <w:rsid w:val="00EA062D"/>
    <w:rsid w:val="00EC0E1C"/>
    <w:rsid w:val="00EC289B"/>
    <w:rsid w:val="00ED31BF"/>
    <w:rsid w:val="00F273B8"/>
    <w:rsid w:val="00F4436E"/>
    <w:rsid w:val="00F536E6"/>
    <w:rsid w:val="00F619A6"/>
    <w:rsid w:val="00F72C4E"/>
    <w:rsid w:val="00F958D0"/>
    <w:rsid w:val="00FA38A8"/>
    <w:rsid w:val="00FA7A09"/>
    <w:rsid w:val="00FB5270"/>
    <w:rsid w:val="00FD2C33"/>
    <w:rsid w:val="035E62A9"/>
    <w:rsid w:val="0C1C4875"/>
    <w:rsid w:val="0ECB5A9B"/>
    <w:rsid w:val="115D3D0D"/>
    <w:rsid w:val="1E38504E"/>
    <w:rsid w:val="222A111F"/>
    <w:rsid w:val="28A91541"/>
    <w:rsid w:val="2C0B44D1"/>
    <w:rsid w:val="2DD8111C"/>
    <w:rsid w:val="36C22E36"/>
    <w:rsid w:val="3A8638A8"/>
    <w:rsid w:val="3ED65E91"/>
    <w:rsid w:val="40075FB4"/>
    <w:rsid w:val="41C10393"/>
    <w:rsid w:val="4599357F"/>
    <w:rsid w:val="58535244"/>
    <w:rsid w:val="5CC34FC4"/>
    <w:rsid w:val="5D864CC7"/>
    <w:rsid w:val="60F224FB"/>
    <w:rsid w:val="658E7179"/>
    <w:rsid w:val="6AC94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18"/>
    <w:qFormat/>
    <w:uiPriority w:val="9"/>
    <w:pPr>
      <w:keepNext/>
      <w:keepLines/>
      <w:spacing w:before="260" w:after="260" w:line="416" w:lineRule="auto"/>
      <w:outlineLvl w:val="1"/>
    </w:pPr>
    <w:rPr>
      <w:rFonts w:ascii="Calibri Light" w:hAnsi="Calibri Light"/>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0"/>
    <w:rPr>
      <w:sz w:val="28"/>
    </w:rPr>
  </w:style>
  <w:style w:type="paragraph" w:styleId="5">
    <w:name w:val="Date"/>
    <w:basedOn w:val="1"/>
    <w:next w:val="1"/>
    <w:qFormat/>
    <w:uiPriority w:val="0"/>
    <w:pPr>
      <w:ind w:left="100" w:leftChars="25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rPr>
      <w:rFonts w:ascii="Calibri" w:hAnsi="Calibri"/>
      <w:sz w:val="24"/>
    </w:rPr>
  </w:style>
  <w:style w:type="table" w:styleId="11">
    <w:name w:val="Table Grid"/>
    <w:basedOn w:val="1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qFormat/>
    <w:uiPriority w:val="0"/>
  </w:style>
  <w:style w:type="character" w:styleId="15">
    <w:name w:val="Emphasis"/>
    <w:qFormat/>
    <w:uiPriority w:val="0"/>
    <w:rPr>
      <w:i/>
    </w:rPr>
  </w:style>
  <w:style w:type="character" w:styleId="16">
    <w:name w:val="Hyperlink"/>
    <w:qFormat/>
    <w:uiPriority w:val="99"/>
    <w:rPr>
      <w:rFonts w:cs="Times New Roman"/>
      <w:color w:val="0000FF"/>
      <w:u w:val="single"/>
    </w:rPr>
  </w:style>
  <w:style w:type="character" w:customStyle="1" w:styleId="17">
    <w:name w:val="标题 1 字符"/>
    <w:link w:val="2"/>
    <w:qFormat/>
    <w:uiPriority w:val="9"/>
    <w:rPr>
      <w:rFonts w:ascii="Calibri" w:hAnsi="Calibri"/>
      <w:b/>
      <w:bCs/>
      <w:kern w:val="44"/>
      <w:sz w:val="44"/>
      <w:szCs w:val="44"/>
    </w:rPr>
  </w:style>
  <w:style w:type="character" w:customStyle="1" w:styleId="18">
    <w:name w:val="标题 2 字符"/>
    <w:link w:val="3"/>
    <w:qFormat/>
    <w:uiPriority w:val="9"/>
    <w:rPr>
      <w:rFonts w:ascii="Calibri Light" w:hAnsi="Calibri Light"/>
      <w:b/>
      <w:bCs/>
      <w:kern w:val="2"/>
      <w:sz w:val="32"/>
      <w:szCs w:val="32"/>
    </w:rPr>
  </w:style>
  <w:style w:type="character" w:customStyle="1" w:styleId="19">
    <w:name w:val="正文文本 字符"/>
    <w:link w:val="4"/>
    <w:qFormat/>
    <w:uiPriority w:val="0"/>
    <w:rPr>
      <w:kern w:val="2"/>
      <w:sz w:val="28"/>
      <w:szCs w:val="24"/>
    </w:rPr>
  </w:style>
  <w:style w:type="character" w:customStyle="1" w:styleId="20">
    <w:name w:val="批注框文本 字符"/>
    <w:link w:val="6"/>
    <w:qFormat/>
    <w:uiPriority w:val="0"/>
    <w:rPr>
      <w:kern w:val="2"/>
      <w:sz w:val="18"/>
      <w:szCs w:val="18"/>
    </w:rPr>
  </w:style>
  <w:style w:type="paragraph" w:styleId="21">
    <w:name w:val="List Paragraph"/>
    <w:basedOn w:val="1"/>
    <w:qFormat/>
    <w:uiPriority w:val="34"/>
    <w:pPr>
      <w:ind w:firstLine="420" w:firstLineChars="200"/>
    </w:pPr>
    <w:rPr>
      <w:rFonts w:ascii="Calibri" w:hAnsi="Calibri"/>
      <w:szCs w:val="22"/>
    </w:rPr>
  </w:style>
  <w:style w:type="paragraph" w:customStyle="1" w:styleId="22">
    <w:name w:val="List Paragraph1"/>
    <w:basedOn w:val="1"/>
    <w:qFormat/>
    <w:uiPriority w:val="0"/>
    <w:pPr>
      <w:ind w:firstLine="420" w:firstLineChars="200"/>
    </w:pPr>
    <w:rPr>
      <w:rFonts w:ascii="Calibri" w:hAnsi="Calibri"/>
      <w:szCs w:val="22"/>
    </w:rPr>
  </w:style>
  <w:style w:type="paragraph" w:customStyle="1" w:styleId="23">
    <w:name w:val="msolistparagraph"/>
    <w:basedOn w:val="1"/>
    <w:qFormat/>
    <w:uiPriority w:val="0"/>
    <w:pPr>
      <w:ind w:firstLine="420" w:firstLineChars="200"/>
    </w:pPr>
    <w:rPr>
      <w:rFonts w:ascii="Calibri" w:hAnsi="Calibri"/>
      <w:szCs w:val="21"/>
    </w:rPr>
  </w:style>
  <w:style w:type="paragraph" w:customStyle="1" w:styleId="24">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SC</Company>
  <Pages>3</Pages>
  <Words>2258</Words>
  <Characters>2362</Characters>
  <Lines>74</Lines>
  <Paragraphs>53</Paragraphs>
  <TotalTime>32</TotalTime>
  <ScaleCrop>false</ScaleCrop>
  <LinksUpToDate>false</LinksUpToDate>
  <CharactersWithSpaces>2487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2025-05-07T09:01:00Z</dcterms:created>
  <dc:creator>Li</dc:creator>
  <cp:lastModifiedBy>chendm</cp:lastModifiedBy>
  <cp:lastPrinted>2010-08-04T06:50:00Z</cp:lastPrinted>
  <dcterms:modified xsi:type="dcterms:W3CDTF">2025-09-05T09:03:21Z</dcterms:modified>
  <dc:title>四川省上市公司协会文件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FBB5E89ED68B4D9485EFC44F5F8C4AB6_13</vt:lpwstr>
  </property>
  <property fmtid="{D5CDD505-2E9C-101B-9397-08002B2CF9AE}" pid="4" name="KSOTemplateDocerSaveRecord">
    <vt:lpwstr>eyJoZGlkIjoiY2YwZWVjYmM2OTViOTQzMTVkZDU5ZGY3ZjQyZWJmZmIiLCJ1c2VySWQiOiI3OTU5OTU1OTgifQ==</vt:lpwstr>
  </property>
</Properties>
</file>