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0C49E">
      <w:pPr>
        <w:pStyle w:val="2"/>
        <w:rPr>
          <w:rFonts w:hint="default" w:ascii="宋体" w:hAnsi="宋体" w:eastAsia="宋体" w:cs="宋体"/>
          <w:sz w:val="20"/>
          <w:szCs w:val="20"/>
          <w:lang w:val="en-US" w:eastAsia="zh-CN"/>
        </w:rPr>
      </w:pPr>
      <w:r>
        <w:rPr>
          <w:rFonts w:hint="eastAsia" w:ascii="宋体" w:hAnsi="宋体" w:eastAsia="宋体" w:cs="宋体"/>
          <w:sz w:val="20"/>
          <w:szCs w:val="20"/>
          <w:lang w:val="en-US"/>
        </w:rPr>
        <w:t>证券代码：</w:t>
      </w:r>
      <w:r>
        <w:rPr>
          <w:rFonts w:hint="eastAsia" w:ascii="宋体" w:hAnsi="宋体" w:eastAsia="宋体" w:cs="宋体"/>
          <w:sz w:val="20"/>
          <w:szCs w:val="20"/>
          <w:lang w:val="en-US" w:eastAsia="zh-CN"/>
        </w:rPr>
        <w:t>603409</w:t>
      </w:r>
      <w:r>
        <w:rPr>
          <w:rFonts w:hint="eastAsia" w:ascii="宋体" w:hAnsi="宋体" w:eastAsia="宋体" w:cs="宋体"/>
          <w:sz w:val="20"/>
          <w:szCs w:val="20"/>
          <w:lang w:val="en-US"/>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0"/>
          <w:szCs w:val="20"/>
          <w:lang w:val="en-US"/>
        </w:rPr>
        <w:t>证券简称：</w:t>
      </w:r>
      <w:r>
        <w:rPr>
          <w:rFonts w:hint="eastAsia" w:ascii="宋体" w:hAnsi="宋体" w:eastAsia="宋体" w:cs="宋体"/>
          <w:sz w:val="20"/>
          <w:szCs w:val="20"/>
          <w:lang w:val="en-US" w:eastAsia="zh-CN"/>
        </w:rPr>
        <w:t>汇通控股</w:t>
      </w:r>
    </w:p>
    <w:p w14:paraId="4E1BBB01">
      <w:pPr>
        <w:spacing w:line="360" w:lineRule="auto"/>
        <w:jc w:val="center"/>
        <w:rPr>
          <w:rFonts w:ascii="宋体" w:hAnsi="宋体" w:eastAsia="宋体" w:cs="宋体"/>
          <w:b/>
          <w:bCs/>
          <w:sz w:val="44"/>
          <w:szCs w:val="44"/>
        </w:rPr>
      </w:pPr>
    </w:p>
    <w:p w14:paraId="7572ACBB">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合肥汇通控股股份有限公司</w:t>
      </w:r>
    </w:p>
    <w:p w14:paraId="343CC452">
      <w:pPr>
        <w:spacing w:line="360" w:lineRule="auto"/>
        <w:jc w:val="center"/>
        <w:rPr>
          <w:rFonts w:ascii="宋体" w:hAnsi="宋体" w:eastAsia="宋体" w:cs="宋体"/>
          <w:sz w:val="44"/>
          <w:szCs w:val="44"/>
        </w:rPr>
      </w:pPr>
      <w:r>
        <w:rPr>
          <w:rFonts w:hint="eastAsia" w:ascii="宋体" w:hAnsi="宋体" w:eastAsia="宋体" w:cs="宋体"/>
          <w:b/>
          <w:bCs/>
          <w:sz w:val="44"/>
          <w:szCs w:val="44"/>
        </w:rPr>
        <w:t>投资者关系活动记录表</w:t>
      </w:r>
    </w:p>
    <w:p w14:paraId="4B2999B3">
      <w:pPr>
        <w:spacing w:before="51" w:after="32"/>
        <w:ind w:right="619"/>
        <w:jc w:val="right"/>
        <w:rPr>
          <w:rFonts w:hint="default" w:ascii="宋体" w:hAnsi="宋体" w:eastAsia="宋体" w:cs="宋体"/>
          <w:sz w:val="20"/>
          <w:szCs w:val="20"/>
          <w:lang w:val="en-US" w:eastAsia="zh-CN"/>
        </w:rPr>
      </w:pPr>
      <w:r>
        <w:rPr>
          <w:rFonts w:hint="eastAsia" w:ascii="宋体" w:hAnsi="宋体" w:eastAsia="宋体" w:cs="宋体"/>
          <w:sz w:val="20"/>
          <w:szCs w:val="20"/>
        </w:rPr>
        <w:t>编号：</w:t>
      </w:r>
      <w:r>
        <w:rPr>
          <w:rFonts w:hint="eastAsia" w:ascii="宋体" w:hAnsi="宋体" w:eastAsia="宋体" w:cs="宋体"/>
          <w:sz w:val="20"/>
          <w:szCs w:val="20"/>
          <w:lang w:val="en-US"/>
        </w:rPr>
        <w:t>2025</w:t>
      </w:r>
      <w:r>
        <w:rPr>
          <w:rFonts w:hint="eastAsia" w:ascii="宋体" w:hAnsi="宋体" w:eastAsia="宋体" w:cs="宋体"/>
          <w:sz w:val="20"/>
          <w:szCs w:val="20"/>
          <w:lang w:val="en-US" w:eastAsia="zh-CN"/>
        </w:rPr>
        <w:t>0905</w:t>
      </w:r>
      <w:bookmarkStart w:id="0" w:name="_GoBack"/>
      <w:bookmarkEnd w:id="0"/>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3428B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14:paraId="6A799CA3">
            <w:pPr>
              <w:pStyle w:val="12"/>
              <w:spacing w:before="7"/>
              <w:rPr>
                <w:rFonts w:ascii="宋体" w:hAnsi="宋体" w:eastAsia="宋体" w:cs="宋体"/>
                <w:b/>
                <w:bCs/>
                <w:sz w:val="20"/>
                <w:szCs w:val="20"/>
              </w:rPr>
            </w:pPr>
          </w:p>
          <w:p w14:paraId="7EFAEA33">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5945" w:type="dxa"/>
          </w:tcPr>
          <w:p w14:paraId="4EF5D219">
            <w:pPr>
              <w:pStyle w:val="12"/>
              <w:spacing w:before="7"/>
              <w:rPr>
                <w:rFonts w:ascii="宋体" w:hAnsi="宋体" w:eastAsia="宋体" w:cs="宋体"/>
                <w:sz w:val="20"/>
                <w:szCs w:val="20"/>
              </w:rPr>
            </w:pPr>
          </w:p>
          <w:p w14:paraId="00112D73">
            <w:pPr>
              <w:pStyle w:val="12"/>
              <w:tabs>
                <w:tab w:val="left" w:pos="2418"/>
              </w:tabs>
              <w:spacing w:before="1"/>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14:paraId="7E9BC7F8">
            <w:pPr>
              <w:pStyle w:val="12"/>
              <w:spacing w:before="11"/>
              <w:rPr>
                <w:rFonts w:ascii="宋体" w:hAnsi="宋体" w:eastAsia="宋体" w:cs="宋体"/>
                <w:sz w:val="20"/>
                <w:szCs w:val="20"/>
              </w:rPr>
            </w:pPr>
          </w:p>
          <w:p w14:paraId="5D97A69F">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Wingdings 2" w:hAnsi="Wingdings 2" w:eastAsia="MS Gothic" w:cs="宋体"/>
                    <w:sz w:val="20"/>
                    <w:szCs w:val="20"/>
                    <w:lang w:val="zh-CN" w:eastAsia="zh-CN" w:bidi="zh-CN"/>
                  </w:rPr>
                  <w:t>R</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14:paraId="6DC3AB9D">
            <w:pPr>
              <w:pStyle w:val="12"/>
              <w:spacing w:before="8"/>
              <w:rPr>
                <w:rFonts w:ascii="宋体" w:hAnsi="宋体" w:eastAsia="宋体" w:cs="宋体"/>
                <w:sz w:val="20"/>
                <w:szCs w:val="20"/>
              </w:rPr>
            </w:pPr>
          </w:p>
          <w:p w14:paraId="75C1EDD5">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14:paraId="7E42EE90">
            <w:pPr>
              <w:pStyle w:val="12"/>
              <w:spacing w:before="8"/>
              <w:rPr>
                <w:rFonts w:ascii="宋体" w:hAnsi="宋体" w:eastAsia="宋体" w:cs="宋体"/>
                <w:sz w:val="20"/>
                <w:szCs w:val="20"/>
              </w:rPr>
            </w:pPr>
          </w:p>
          <w:p w14:paraId="2A521FA5">
            <w:pPr>
              <w:pStyle w:val="12"/>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p>
          <w:p w14:paraId="34AC7AB2">
            <w:pPr>
              <w:pStyle w:val="12"/>
              <w:spacing w:before="11"/>
              <w:rPr>
                <w:rFonts w:ascii="宋体" w:hAnsi="宋体" w:eastAsia="宋体" w:cs="宋体"/>
                <w:sz w:val="20"/>
                <w:szCs w:val="20"/>
              </w:rPr>
            </w:pPr>
          </w:p>
          <w:p w14:paraId="6DA19A4C">
            <w:pPr>
              <w:pStyle w:val="12"/>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r>
              <w:rPr>
                <w:rFonts w:hint="eastAsia" w:ascii="宋体" w:hAnsi="宋体" w:eastAsia="宋体" w:cs="宋体"/>
                <w:sz w:val="20"/>
                <w:szCs w:val="20"/>
                <w:u w:val="single"/>
              </w:rPr>
              <w:t>请文字说明其他活动内容）</w:t>
            </w:r>
          </w:p>
        </w:tc>
      </w:tr>
      <w:tr w14:paraId="21F89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50A44C0A">
            <w:pPr>
              <w:pStyle w:val="12"/>
              <w:spacing w:line="560" w:lineRule="exact"/>
              <w:ind w:left="107" w:right="96"/>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5945" w:type="dxa"/>
            <w:vAlign w:val="center"/>
          </w:tcPr>
          <w:p w14:paraId="7B7D13D8">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cs="宋体" w:asciiTheme="minorEastAsia" w:hAnsiTheme="minorEastAsia" w:eastAsiaTheme="minorEastAsia"/>
                <w:sz w:val="20"/>
                <w:szCs w:val="20"/>
              </w:rPr>
            </w:pPr>
            <w:r>
              <w:rPr>
                <w:rFonts w:cs="宋体" w:asciiTheme="minorEastAsia" w:hAnsiTheme="minorEastAsia" w:eastAsiaTheme="minorEastAsia"/>
                <w:sz w:val="20"/>
                <w:szCs w:val="20"/>
              </w:rPr>
              <w:t xml:space="preserve"> </w:t>
            </w:r>
            <w:r>
              <w:rPr>
                <w:rFonts w:hint="eastAsia" w:cs="宋体" w:asciiTheme="minorEastAsia" w:hAnsiTheme="minorEastAsia" w:eastAsiaTheme="minorEastAsia"/>
                <w:sz w:val="20"/>
                <w:szCs w:val="20"/>
              </w:rPr>
              <w:t>线上参与公司2025年半年度业绩说明会的全体投资者</w:t>
            </w:r>
          </w:p>
        </w:tc>
      </w:tr>
      <w:tr w14:paraId="539A4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687F1C41">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5945" w:type="dxa"/>
            <w:vAlign w:val="center"/>
          </w:tcPr>
          <w:p w14:paraId="74C9019D">
            <w:pPr>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sz w:val="20"/>
                <w:szCs w:val="20"/>
              </w:rPr>
            </w:pPr>
            <w:r>
              <w:rPr>
                <w:rFonts w:hint="eastAsia" w:asciiTheme="minorEastAsia" w:hAnsiTheme="minorEastAsia" w:eastAsiaTheme="minorEastAsia" w:cstheme="minorEastAsia"/>
                <w:sz w:val="20"/>
                <w:szCs w:val="20"/>
              </w:rPr>
              <w:t>2025年09月05日 15:00-16:00</w:t>
            </w:r>
          </w:p>
        </w:tc>
      </w:tr>
      <w:tr w14:paraId="087B8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051CCFE5">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5945" w:type="dxa"/>
            <w:vAlign w:val="center"/>
          </w:tcPr>
          <w:p w14:paraId="7D516DD8">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cs="宋体" w:asciiTheme="minorEastAsia" w:hAnsiTheme="minorEastAsia" w:eastAsiaTheme="minorEastAsia"/>
                <w:sz w:val="20"/>
                <w:szCs w:val="20"/>
              </w:rPr>
            </w:pPr>
            <w:r>
              <w:rPr>
                <w:rFonts w:cs="宋体" w:asciiTheme="minorEastAsia" w:hAnsiTheme="minorEastAsia" w:eastAsiaTheme="minorEastAsia"/>
                <w:sz w:val="20"/>
                <w:szCs w:val="20"/>
              </w:rPr>
              <w:t>价值在线（https://www.ir-online.cn/）网络互动</w:t>
            </w:r>
          </w:p>
        </w:tc>
      </w:tr>
      <w:tr w14:paraId="542BF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1104FBD7">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5945" w:type="dxa"/>
            <w:vAlign w:val="center"/>
          </w:tcPr>
          <w:p w14:paraId="411F3DEC">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sz w:val="20"/>
                <w:szCs w:val="20"/>
              </w:rPr>
              <w:t>董事长 陈王保</w:t>
            </w:r>
            <w:r>
              <w:rPr>
                <w:rFonts w:ascii="宋体" w:hAnsi="宋体" w:eastAsia="宋体" w:cs="宋体"/>
                <w:sz w:val="20"/>
                <w:szCs w:val="20"/>
              </w:rPr>
              <w:br w:type="textWrapping"/>
            </w:r>
            <w:r>
              <w:rPr>
                <w:rFonts w:ascii="宋体" w:hAnsi="宋体" w:eastAsia="宋体" w:cs="宋体"/>
                <w:sz w:val="20"/>
                <w:szCs w:val="20"/>
              </w:rPr>
              <w:t>财务总监 王巧生</w:t>
            </w:r>
            <w:r>
              <w:rPr>
                <w:rFonts w:ascii="宋体" w:hAnsi="宋体" w:eastAsia="宋体" w:cs="宋体"/>
                <w:sz w:val="20"/>
                <w:szCs w:val="20"/>
              </w:rPr>
              <w:br w:type="textWrapping"/>
            </w:r>
            <w:r>
              <w:rPr>
                <w:rFonts w:ascii="宋体" w:hAnsi="宋体" w:eastAsia="宋体" w:cs="宋体"/>
                <w:sz w:val="20"/>
                <w:szCs w:val="20"/>
              </w:rPr>
              <w:t>董事会秘书 周文竹</w:t>
            </w:r>
            <w:r>
              <w:rPr>
                <w:rFonts w:ascii="宋体" w:hAnsi="宋体" w:eastAsia="宋体" w:cs="宋体"/>
                <w:sz w:val="20"/>
                <w:szCs w:val="20"/>
              </w:rPr>
              <w:br w:type="textWrapping"/>
            </w:r>
            <w:r>
              <w:rPr>
                <w:rFonts w:ascii="宋体" w:hAnsi="宋体" w:eastAsia="宋体" w:cs="宋体"/>
                <w:sz w:val="20"/>
                <w:szCs w:val="20"/>
              </w:rPr>
              <w:t>独立董事 戴欣苗</w:t>
            </w:r>
          </w:p>
        </w:tc>
      </w:tr>
      <w:tr w14:paraId="44182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tcPr>
          <w:p w14:paraId="689DB500">
            <w:pPr>
              <w:pStyle w:val="12"/>
              <w:rPr>
                <w:rFonts w:ascii="宋体" w:hAnsi="宋体" w:eastAsia="宋体" w:cs="宋体"/>
                <w:b/>
                <w:bCs/>
                <w:sz w:val="20"/>
                <w:szCs w:val="20"/>
              </w:rPr>
            </w:pPr>
          </w:p>
          <w:p w14:paraId="4D5CC600">
            <w:pPr>
              <w:pStyle w:val="12"/>
              <w:rPr>
                <w:rFonts w:ascii="宋体" w:hAnsi="宋体" w:eastAsia="宋体" w:cs="宋体"/>
                <w:b/>
                <w:bCs/>
                <w:sz w:val="20"/>
                <w:szCs w:val="20"/>
              </w:rPr>
            </w:pPr>
          </w:p>
          <w:p w14:paraId="7ABC5C8D">
            <w:pPr>
              <w:pStyle w:val="12"/>
              <w:spacing w:before="5"/>
              <w:rPr>
                <w:rFonts w:ascii="宋体" w:hAnsi="宋体" w:eastAsia="宋体" w:cs="宋体"/>
                <w:b/>
                <w:bCs/>
                <w:sz w:val="20"/>
                <w:szCs w:val="20"/>
              </w:rPr>
            </w:pPr>
          </w:p>
          <w:p w14:paraId="71396E5A">
            <w:pPr>
              <w:pStyle w:val="12"/>
              <w:spacing w:before="1" w:line="499" w:lineRule="auto"/>
              <w:ind w:left="107" w:right="96"/>
              <w:rPr>
                <w:rFonts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5945" w:type="dxa"/>
          </w:tcPr>
          <w:p w14:paraId="30AC6B6B">
            <w:pPr>
              <w:pStyle w:val="12"/>
              <w:keepNext w:val="0"/>
              <w:keepLines w:val="0"/>
              <w:pageBreakBefore w:val="0"/>
              <w:widowControl w:val="0"/>
              <w:kinsoku/>
              <w:wordWrap/>
              <w:overflowPunct/>
              <w:topLinePunct w:val="0"/>
              <w:autoSpaceDE w:val="0"/>
              <w:autoSpaceDN w:val="0"/>
              <w:bidi w:val="0"/>
              <w:adjustRightInd/>
              <w:snapToGrid/>
              <w:spacing w:beforeAutospacing="0" w:line="360" w:lineRule="auto"/>
              <w:ind w:firstLine="402" w:firstLineChars="200"/>
              <w:textAlignment w:val="auto"/>
              <w:rPr>
                <w:rFonts w:ascii="宋体" w:hAnsi="宋体" w:eastAsia="宋体" w:cs="宋体"/>
                <w:b w:val="0"/>
                <w:sz w:val="20"/>
              </w:rPr>
            </w:pPr>
            <w:r>
              <w:rPr>
                <w:rFonts w:ascii="宋体" w:hAnsi="宋体" w:eastAsia="宋体" w:cs="宋体"/>
                <w:b/>
                <w:sz w:val="20"/>
              </w:rPr>
              <w:t>1.公司在芜湖、安庆新建大型保险杠涂装生产线，且已获取奇瑞汽车多个重要车型的保险杠总成项目定点，保险杠业务作为新增长点，目前产能建设进度如何？预计何时贡献收入增量？</w:t>
            </w:r>
            <w:r>
              <w:rPr>
                <w:rFonts w:ascii="宋体" w:hAnsi="宋体" w:eastAsia="宋体" w:cs="宋体"/>
                <w:b/>
                <w:sz w:val="20"/>
              </w:rPr>
              <w:br w:type="textWrapping"/>
            </w:r>
            <w:r>
              <w:rPr>
                <w:rFonts w:ascii="宋体" w:hAnsi="宋体" w:eastAsia="宋体" w:cs="宋体"/>
                <w:b w:val="0"/>
                <w:sz w:val="20"/>
              </w:rPr>
              <w:t xml:space="preserve">    答:尊敬的投资者，您好！截至目前，芜湖、安庆新建的保险杠涂装生产线已投入使用，并且所获取的定点项目已逐步实现量产，随着以上生产线的产能利用率不断提升，保险杠业务将在四季度有较大增长。</w:t>
            </w:r>
            <w:r>
              <w:rPr>
                <w:rFonts w:ascii="宋体" w:hAnsi="宋体" w:eastAsia="宋体" w:cs="宋体"/>
                <w:b w:val="0"/>
                <w:sz w:val="20"/>
              </w:rPr>
              <w:br w:type="textWrapping"/>
            </w:r>
            <w:r>
              <w:rPr>
                <w:rFonts w:ascii="宋体" w:hAnsi="宋体" w:eastAsia="宋体" w:cs="宋体"/>
                <w:b/>
                <w:sz w:val="20"/>
              </w:rPr>
              <w:t xml:space="preserve">    2.公司成功进入上汽集团、广汽集团配套体系，并取得上汽、东风日产项目定点，这些新客户项目预计何时量产？对公司收入结构会产生怎样的影响？</w:t>
            </w:r>
            <w:r>
              <w:rPr>
                <w:rFonts w:ascii="宋体" w:hAnsi="宋体" w:eastAsia="宋体" w:cs="宋体"/>
                <w:b/>
                <w:sz w:val="20"/>
              </w:rPr>
              <w:br w:type="textWrapping"/>
            </w:r>
            <w:r>
              <w:rPr>
                <w:rFonts w:ascii="宋体" w:hAnsi="宋体" w:eastAsia="宋体" w:cs="宋体"/>
                <w:b w:val="0"/>
                <w:sz w:val="20"/>
              </w:rPr>
              <w:t xml:space="preserve">    答:尊敬的投资者，您好！公司不断积极拓展新客户，已取得的上汽集团、东风日产等项目定点将陆续在2025年下半年及2026年实现量产，量产后将进一步提升公司造型部件和声学产品的收入规模。</w:t>
            </w:r>
            <w:r>
              <w:rPr>
                <w:rFonts w:ascii="宋体" w:hAnsi="宋体" w:eastAsia="宋体" w:cs="宋体"/>
                <w:b w:val="0"/>
                <w:sz w:val="20"/>
              </w:rPr>
              <w:br w:type="textWrapping"/>
            </w:r>
            <w:r>
              <w:rPr>
                <w:rFonts w:ascii="宋体" w:hAnsi="宋体" w:eastAsia="宋体" w:cs="宋体"/>
                <w:b/>
                <w:sz w:val="20"/>
              </w:rPr>
              <w:t xml:space="preserve">    3.公司汽车声学产品收入同比增长 58.54%，车轮总成分装业务收入同比增长33.13%，这两大业务高增长的驱动因素是什么？未来增长潜力如何？</w:t>
            </w:r>
            <w:r>
              <w:rPr>
                <w:rFonts w:ascii="宋体" w:hAnsi="宋体" w:eastAsia="宋体" w:cs="宋体"/>
                <w:b/>
                <w:sz w:val="20"/>
              </w:rPr>
              <w:br w:type="textWrapping"/>
            </w:r>
            <w:r>
              <w:rPr>
                <w:rFonts w:ascii="宋体" w:hAnsi="宋体" w:eastAsia="宋体" w:cs="宋体"/>
                <w:b w:val="0"/>
                <w:sz w:val="20"/>
              </w:rPr>
              <w:t xml:space="preserve">    答:尊敬的投资者，您好！</w:t>
            </w:r>
          </w:p>
          <w:p w14:paraId="4AFBCCD5">
            <w:pPr>
              <w:pStyle w:val="12"/>
              <w:keepNext w:val="0"/>
              <w:keepLines w:val="0"/>
              <w:pageBreakBefore w:val="0"/>
              <w:widowControl w:val="0"/>
              <w:kinsoku/>
              <w:wordWrap/>
              <w:overflowPunct/>
              <w:topLinePunct w:val="0"/>
              <w:autoSpaceDE w:val="0"/>
              <w:autoSpaceDN w:val="0"/>
              <w:bidi w:val="0"/>
              <w:adjustRightInd/>
              <w:snapToGrid/>
              <w:spacing w:beforeAutospacing="0" w:line="360" w:lineRule="auto"/>
              <w:ind w:firstLine="400" w:firstLineChars="200"/>
              <w:textAlignment w:val="auto"/>
              <w:rPr>
                <w:rFonts w:ascii="宋体" w:hAnsi="宋体" w:eastAsia="宋体" w:cs="宋体"/>
                <w:b w:val="0"/>
                <w:sz w:val="20"/>
              </w:rPr>
            </w:pPr>
            <w:r>
              <w:rPr>
                <w:rFonts w:ascii="宋体" w:hAnsi="宋体" w:eastAsia="宋体" w:cs="宋体"/>
                <w:b w:val="0"/>
                <w:sz w:val="20"/>
              </w:rPr>
              <w:t>2025年1-6月，公司汽车声学产品收入同比增长58.54%，收入增量主要系来自福州和大连生产基地配套的系列产品销售收入增加。公司为提升快速响应能力和覆盖范围，跟随主机厂就近配套，布局多个外地生产基地，提升公司产能。</w:t>
            </w:r>
          </w:p>
          <w:p w14:paraId="072D7160">
            <w:pPr>
              <w:pStyle w:val="12"/>
              <w:keepNext w:val="0"/>
              <w:keepLines w:val="0"/>
              <w:pageBreakBefore w:val="0"/>
              <w:widowControl w:val="0"/>
              <w:kinsoku/>
              <w:wordWrap/>
              <w:overflowPunct/>
              <w:topLinePunct w:val="0"/>
              <w:autoSpaceDE w:val="0"/>
              <w:autoSpaceDN w:val="0"/>
              <w:bidi w:val="0"/>
              <w:adjustRightInd/>
              <w:snapToGrid/>
              <w:spacing w:beforeAutospacing="0" w:line="360" w:lineRule="auto"/>
              <w:ind w:firstLine="400" w:firstLineChars="200"/>
              <w:textAlignment w:val="auto"/>
              <w:rPr>
                <w:rFonts w:ascii="宋体" w:hAnsi="宋体" w:eastAsia="宋体" w:cs="宋体"/>
                <w:b w:val="0"/>
                <w:sz w:val="20"/>
              </w:rPr>
            </w:pPr>
            <w:r>
              <w:rPr>
                <w:rFonts w:ascii="宋体" w:hAnsi="宋体" w:eastAsia="宋体" w:cs="宋体"/>
                <w:b w:val="0"/>
                <w:sz w:val="20"/>
              </w:rPr>
              <w:t>公司深耕汽车声学产品领域近20年，与主机厂合资合作，并吸收国外先进的技术，技术上具有先发优势。公司积累了较强的声学实验能力，建立了声学材料测试的数据库以及声学包产品设计标准，具备与主机厂同步设计开发汽车声学包的能力。未来，公司仍将加大技术投入，提升产品竞争力。</w:t>
            </w:r>
          </w:p>
          <w:p w14:paraId="0381C294">
            <w:pPr>
              <w:pStyle w:val="12"/>
              <w:keepNext w:val="0"/>
              <w:keepLines w:val="0"/>
              <w:pageBreakBefore w:val="0"/>
              <w:widowControl w:val="0"/>
              <w:kinsoku/>
              <w:wordWrap/>
              <w:overflowPunct/>
              <w:topLinePunct w:val="0"/>
              <w:autoSpaceDE w:val="0"/>
              <w:autoSpaceDN w:val="0"/>
              <w:bidi w:val="0"/>
              <w:adjustRightInd/>
              <w:snapToGrid/>
              <w:spacing w:beforeAutospacing="0" w:line="360" w:lineRule="auto"/>
              <w:ind w:firstLine="400" w:firstLineChars="200"/>
              <w:textAlignment w:val="auto"/>
              <w:rPr>
                <w:rFonts w:ascii="宋体" w:hAnsi="宋体" w:eastAsia="宋体" w:cs="宋体"/>
                <w:b w:val="0"/>
                <w:sz w:val="20"/>
              </w:rPr>
            </w:pPr>
            <w:r>
              <w:rPr>
                <w:rFonts w:ascii="宋体" w:hAnsi="宋体" w:eastAsia="宋体" w:cs="宋体"/>
                <w:b w:val="0"/>
                <w:sz w:val="20"/>
              </w:rPr>
              <w:t>2025年1-6月，公司车轮总成分装业务收入同比增长33.13%。公司始终坚持质量保证和效率驱动，通过引进先进设备，建立了信息化、自动化的作业系统，实现对单个车轮自动识别，生产全程监控，自动排序供货，全面匹配主机厂的总装需求。</w:t>
            </w:r>
          </w:p>
          <w:p w14:paraId="0C7F6F58">
            <w:pPr>
              <w:pStyle w:val="12"/>
              <w:keepNext w:val="0"/>
              <w:keepLines w:val="0"/>
              <w:pageBreakBefore w:val="0"/>
              <w:widowControl w:val="0"/>
              <w:kinsoku/>
              <w:wordWrap/>
              <w:overflowPunct/>
              <w:topLinePunct w:val="0"/>
              <w:autoSpaceDE w:val="0"/>
              <w:autoSpaceDN w:val="0"/>
              <w:bidi w:val="0"/>
              <w:adjustRightInd/>
              <w:snapToGrid/>
              <w:spacing w:beforeAutospacing="0" w:line="360" w:lineRule="auto"/>
              <w:ind w:firstLine="400" w:firstLineChars="200"/>
              <w:textAlignment w:val="auto"/>
              <w:rPr>
                <w:rFonts w:ascii="宋体" w:hAnsi="宋体" w:eastAsia="宋体" w:cs="宋体"/>
                <w:b w:val="0"/>
                <w:sz w:val="20"/>
              </w:rPr>
            </w:pPr>
            <w:r>
              <w:rPr>
                <w:rFonts w:ascii="宋体" w:hAnsi="宋体" w:eastAsia="宋体" w:cs="宋体"/>
                <w:b w:val="0"/>
                <w:sz w:val="20"/>
              </w:rPr>
              <w:t>上半年，公司已取得华为尊界项目车轮分装项目定点，并实现量产供货；同时，蔚来汽车乐道品牌、萤火虫品牌的车轮分装业务已量产供货，为公司收入带来新的增长点。公司还将通过产业链协同优势，进一步深化与现有客户的合作，开拓新客户，增强整体竞争力。</w:t>
            </w:r>
            <w:r>
              <w:rPr>
                <w:rFonts w:ascii="宋体" w:hAnsi="宋体" w:eastAsia="宋体" w:cs="宋体"/>
                <w:b w:val="0"/>
                <w:sz w:val="20"/>
              </w:rPr>
              <w:br w:type="textWrapping"/>
            </w:r>
            <w:r>
              <w:rPr>
                <w:rFonts w:ascii="宋体" w:hAnsi="宋体" w:eastAsia="宋体" w:cs="宋体"/>
                <w:b/>
                <w:sz w:val="20"/>
              </w:rPr>
              <w:t xml:space="preserve">    4.公司研发投入情况如何，对未来业务发展有何影响？</w:t>
            </w:r>
            <w:r>
              <w:rPr>
                <w:rFonts w:ascii="宋体" w:hAnsi="宋体" w:eastAsia="宋体" w:cs="宋体"/>
                <w:b/>
                <w:sz w:val="20"/>
              </w:rPr>
              <w:br w:type="textWrapping"/>
            </w:r>
            <w:r>
              <w:rPr>
                <w:rFonts w:ascii="宋体" w:hAnsi="宋体" w:eastAsia="宋体" w:cs="宋体"/>
                <w:b w:val="0"/>
                <w:sz w:val="20"/>
              </w:rPr>
              <w:t xml:space="preserve">    答:尊敬的投资者，您好！2025年1-6月，公司研发费用金额2</w:t>
            </w:r>
            <w:r>
              <w:rPr>
                <w:rFonts w:hint="eastAsia" w:ascii="宋体" w:hAnsi="宋体" w:eastAsia="宋体" w:cs="宋体"/>
                <w:b w:val="0"/>
                <w:sz w:val="20"/>
                <w:lang w:val="en-US" w:eastAsia="zh-CN"/>
              </w:rPr>
              <w:t>,</w:t>
            </w:r>
            <w:r>
              <w:rPr>
                <w:rFonts w:ascii="宋体" w:hAnsi="宋体" w:eastAsia="宋体" w:cs="宋体"/>
                <w:b w:val="0"/>
                <w:sz w:val="20"/>
              </w:rPr>
              <w:t>321</w:t>
            </w:r>
            <w:r>
              <w:rPr>
                <w:rFonts w:hint="eastAsia" w:ascii="宋体" w:hAnsi="宋体" w:eastAsia="宋体" w:cs="宋体"/>
                <w:b w:val="0"/>
                <w:sz w:val="20"/>
                <w:lang w:val="en-US" w:eastAsia="zh-CN"/>
              </w:rPr>
              <w:t>.</w:t>
            </w:r>
            <w:r>
              <w:rPr>
                <w:rFonts w:ascii="宋体" w:hAnsi="宋体" w:eastAsia="宋体" w:cs="宋体"/>
                <w:b w:val="0"/>
                <w:sz w:val="20"/>
              </w:rPr>
              <w:t>31</w:t>
            </w:r>
            <w:r>
              <w:rPr>
                <w:rFonts w:hint="eastAsia" w:ascii="宋体" w:hAnsi="宋体" w:eastAsia="宋体" w:cs="宋体"/>
                <w:b w:val="0"/>
                <w:sz w:val="20"/>
                <w:lang w:val="en-US" w:eastAsia="zh-CN"/>
              </w:rPr>
              <w:t>万</w:t>
            </w:r>
            <w:r>
              <w:rPr>
                <w:rFonts w:ascii="宋体" w:hAnsi="宋体" w:eastAsia="宋体" w:cs="宋体"/>
                <w:b w:val="0"/>
                <w:sz w:val="20"/>
              </w:rPr>
              <w:t>元，同比增长13.22%。公司将继续加大技术研发投入，数字化及研发中心建设项目募集资金计划投资总额8,000万元，目前正在建设中，项目建成后公司研发能力将会得到较大提升。</w:t>
            </w:r>
          </w:p>
          <w:p w14:paraId="4934EA16">
            <w:pPr>
              <w:pStyle w:val="12"/>
              <w:keepNext w:val="0"/>
              <w:keepLines w:val="0"/>
              <w:pageBreakBefore w:val="0"/>
              <w:widowControl w:val="0"/>
              <w:kinsoku/>
              <w:wordWrap/>
              <w:overflowPunct/>
              <w:topLinePunct w:val="0"/>
              <w:autoSpaceDE w:val="0"/>
              <w:autoSpaceDN w:val="0"/>
              <w:bidi w:val="0"/>
              <w:adjustRightInd/>
              <w:snapToGrid/>
              <w:spacing w:beforeAutospacing="0" w:line="360" w:lineRule="auto"/>
              <w:ind w:firstLine="400" w:firstLineChars="200"/>
              <w:textAlignment w:val="auto"/>
              <w:rPr>
                <w:rFonts w:ascii="宋体" w:hAnsi="宋体" w:eastAsia="宋体" w:cs="宋体"/>
                <w:b w:val="0"/>
                <w:sz w:val="20"/>
              </w:rPr>
            </w:pPr>
            <w:r>
              <w:rPr>
                <w:rFonts w:ascii="宋体" w:hAnsi="宋体" w:eastAsia="宋体" w:cs="宋体"/>
                <w:b w:val="0"/>
                <w:sz w:val="20"/>
              </w:rPr>
              <w:t>公司研发部门下设造型部件工程技术部、声学工程技术部、产品设计部、工艺工程部、汽车电子工程部和实验中心。芜湖创新研究院和汇通天下汽车科技（上海）有限责任公司陆续开展研发活动，已形成合肥、芜湖、上海三地研发中心布局，实行同步开发和自主开发相结合的研发模式。</w:t>
            </w:r>
            <w:r>
              <w:rPr>
                <w:rFonts w:ascii="宋体" w:hAnsi="宋体" w:eastAsia="宋体" w:cs="宋体"/>
                <w:b w:val="0"/>
                <w:sz w:val="20"/>
              </w:rPr>
              <w:br w:type="textWrapping"/>
            </w:r>
            <w:r>
              <w:rPr>
                <w:rFonts w:ascii="宋体" w:hAnsi="宋体" w:eastAsia="宋体" w:cs="宋体"/>
                <w:b/>
                <w:sz w:val="20"/>
              </w:rPr>
              <w:t xml:space="preserve">    5.公司预计2025年下半年营收情况？</w:t>
            </w:r>
            <w:r>
              <w:rPr>
                <w:rFonts w:ascii="宋体" w:hAnsi="宋体" w:eastAsia="宋体" w:cs="宋体"/>
                <w:b/>
                <w:sz w:val="20"/>
              </w:rPr>
              <w:br w:type="textWrapping"/>
            </w:r>
            <w:r>
              <w:rPr>
                <w:rFonts w:ascii="宋体" w:hAnsi="宋体" w:eastAsia="宋体" w:cs="宋体"/>
                <w:b w:val="0"/>
                <w:sz w:val="20"/>
              </w:rPr>
              <w:t xml:space="preserve">    答:尊敬的投资者，您好！根据公司在手订单，2025年下半年公司营收较上年同期延续增长态势。</w:t>
            </w:r>
          </w:p>
          <w:p w14:paraId="60788B75">
            <w:pPr>
              <w:pStyle w:val="12"/>
              <w:keepNext w:val="0"/>
              <w:keepLines w:val="0"/>
              <w:pageBreakBefore w:val="0"/>
              <w:widowControl w:val="0"/>
              <w:kinsoku/>
              <w:wordWrap/>
              <w:overflowPunct/>
              <w:topLinePunct w:val="0"/>
              <w:autoSpaceDE w:val="0"/>
              <w:autoSpaceDN w:val="0"/>
              <w:bidi w:val="0"/>
              <w:adjustRightInd/>
              <w:snapToGrid/>
              <w:spacing w:beforeAutospacing="0" w:line="360" w:lineRule="auto"/>
              <w:ind w:firstLine="400" w:firstLineChars="200"/>
              <w:textAlignment w:val="auto"/>
              <w:rPr>
                <w:rFonts w:ascii="宋体" w:hAnsi="宋体" w:eastAsia="宋体" w:cs="宋体"/>
                <w:b w:val="0"/>
                <w:sz w:val="20"/>
              </w:rPr>
            </w:pPr>
            <w:r>
              <w:rPr>
                <w:rFonts w:ascii="宋体" w:hAnsi="宋体" w:eastAsia="宋体" w:cs="宋体"/>
                <w:b w:val="0"/>
                <w:sz w:val="20"/>
              </w:rPr>
              <w:t>随着主要客户业务规模扩大，双方合作将进一步深化，为业绩增长提供持续支撑。</w:t>
            </w:r>
          </w:p>
          <w:p w14:paraId="648FAC25">
            <w:pPr>
              <w:pStyle w:val="12"/>
              <w:keepNext w:val="0"/>
              <w:keepLines w:val="0"/>
              <w:pageBreakBefore w:val="0"/>
              <w:widowControl w:val="0"/>
              <w:kinsoku/>
              <w:wordWrap/>
              <w:overflowPunct/>
              <w:topLinePunct w:val="0"/>
              <w:autoSpaceDE w:val="0"/>
              <w:autoSpaceDN w:val="0"/>
              <w:bidi w:val="0"/>
              <w:adjustRightInd/>
              <w:snapToGrid/>
              <w:spacing w:beforeAutospacing="0" w:line="360" w:lineRule="auto"/>
              <w:ind w:firstLine="400" w:firstLineChars="200"/>
              <w:textAlignment w:val="auto"/>
              <w:rPr>
                <w:rFonts w:ascii="宋体" w:hAnsi="宋体" w:eastAsia="宋体" w:cs="宋体"/>
                <w:b w:val="0"/>
                <w:sz w:val="20"/>
              </w:rPr>
            </w:pPr>
            <w:r>
              <w:rPr>
                <w:rFonts w:ascii="宋体" w:hAnsi="宋体" w:eastAsia="宋体" w:cs="宋体"/>
                <w:b w:val="0"/>
                <w:sz w:val="20"/>
              </w:rPr>
              <w:t>公司在芜湖、安庆新建的大型保险杠涂装生产线已量产，随着产能利用率的不断提升，保险杠业务将成为公司新的业务增长点。</w:t>
            </w:r>
          </w:p>
          <w:p w14:paraId="059BAD74">
            <w:pPr>
              <w:pStyle w:val="12"/>
              <w:keepNext w:val="0"/>
              <w:keepLines w:val="0"/>
              <w:pageBreakBefore w:val="0"/>
              <w:widowControl w:val="0"/>
              <w:kinsoku/>
              <w:wordWrap/>
              <w:overflowPunct/>
              <w:topLinePunct w:val="0"/>
              <w:autoSpaceDE w:val="0"/>
              <w:autoSpaceDN w:val="0"/>
              <w:bidi w:val="0"/>
              <w:adjustRightInd/>
              <w:snapToGrid/>
              <w:spacing w:beforeAutospacing="0" w:line="360" w:lineRule="auto"/>
              <w:ind w:left="0" w:leftChars="0" w:firstLine="400" w:firstLineChars="200"/>
              <w:textAlignment w:val="auto"/>
              <w:rPr>
                <w:rFonts w:ascii="宋体" w:hAnsi="宋体" w:eastAsia="宋体" w:cs="宋体"/>
                <w:b w:val="0"/>
                <w:sz w:val="20"/>
              </w:rPr>
            </w:pPr>
            <w:r>
              <w:rPr>
                <w:rFonts w:ascii="宋体" w:hAnsi="宋体" w:eastAsia="宋体" w:cs="宋体"/>
                <w:b w:val="0"/>
                <w:sz w:val="20"/>
              </w:rPr>
              <w:t>公司正积极拓展新客户，已成功进入上汽集团、广汽集团等配套供应商体系，并取得上汽集团、东风日产等项目定点，部分项目定点产品将陆续在2025年下半年实现量产。</w:t>
            </w:r>
            <w:r>
              <w:rPr>
                <w:rFonts w:ascii="宋体" w:hAnsi="宋体" w:eastAsia="宋体" w:cs="宋体"/>
                <w:b w:val="0"/>
                <w:sz w:val="20"/>
              </w:rPr>
              <w:br w:type="textWrapping"/>
            </w:r>
            <w:r>
              <w:rPr>
                <w:rFonts w:ascii="宋体" w:hAnsi="宋体" w:eastAsia="宋体" w:cs="宋体"/>
                <w:b/>
                <w:sz w:val="20"/>
              </w:rPr>
              <w:t xml:space="preserve">    6.面对行业内的激烈竞争，公司认为自身的核心竞争优势是什么，未来如何进一步强化这些优势？</w:t>
            </w:r>
            <w:r>
              <w:rPr>
                <w:rFonts w:ascii="宋体" w:hAnsi="宋体" w:eastAsia="宋体" w:cs="宋体"/>
                <w:b/>
                <w:sz w:val="20"/>
              </w:rPr>
              <w:br w:type="textWrapping"/>
            </w:r>
            <w:r>
              <w:rPr>
                <w:rFonts w:ascii="宋体" w:hAnsi="宋体" w:eastAsia="宋体" w:cs="宋体"/>
                <w:b w:val="0"/>
                <w:sz w:val="20"/>
              </w:rPr>
              <w:t xml:space="preserve">    答:尊敬的投资者，您好！</w:t>
            </w:r>
          </w:p>
          <w:p w14:paraId="0BC5D2EB">
            <w:pPr>
              <w:pStyle w:val="12"/>
              <w:keepNext w:val="0"/>
              <w:keepLines w:val="0"/>
              <w:pageBreakBefore w:val="0"/>
              <w:widowControl w:val="0"/>
              <w:numPr>
                <w:ilvl w:val="0"/>
                <w:numId w:val="1"/>
              </w:numPr>
              <w:kinsoku/>
              <w:wordWrap/>
              <w:overflowPunct/>
              <w:topLinePunct w:val="0"/>
              <w:autoSpaceDE w:val="0"/>
              <w:autoSpaceDN w:val="0"/>
              <w:bidi w:val="0"/>
              <w:adjustRightInd/>
              <w:snapToGrid/>
              <w:spacing w:beforeAutospacing="0" w:line="360" w:lineRule="auto"/>
              <w:ind w:left="0" w:leftChars="0" w:firstLine="400" w:firstLineChars="200"/>
              <w:textAlignment w:val="auto"/>
              <w:rPr>
                <w:rFonts w:ascii="宋体" w:hAnsi="宋体" w:eastAsia="宋体" w:cs="宋体"/>
                <w:b w:val="0"/>
                <w:sz w:val="20"/>
              </w:rPr>
            </w:pPr>
            <w:r>
              <w:rPr>
                <w:rFonts w:ascii="宋体" w:hAnsi="宋体" w:eastAsia="宋体" w:cs="宋体"/>
                <w:b w:val="0"/>
                <w:sz w:val="20"/>
              </w:rPr>
              <w:t>技术优势</w:t>
            </w:r>
          </w:p>
          <w:p w14:paraId="12F2A3AF">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left="0" w:leftChars="0" w:firstLine="400" w:firstLineChars="200"/>
              <w:textAlignment w:val="auto"/>
              <w:rPr>
                <w:rFonts w:ascii="宋体" w:hAnsi="宋体" w:eastAsia="宋体" w:cs="宋体"/>
                <w:b w:val="0"/>
                <w:sz w:val="20"/>
              </w:rPr>
            </w:pPr>
            <w:r>
              <w:rPr>
                <w:rFonts w:ascii="宋体" w:hAnsi="宋体" w:eastAsia="宋体" w:cs="宋体"/>
                <w:b w:val="0"/>
                <w:sz w:val="20"/>
              </w:rPr>
              <w:t>公司专注主营业务近20年，培养了一支成熟高效的技工队伍，可以应对各类复杂工艺要求，解决不同的工艺难题，产品质量获得客户认可。</w:t>
            </w:r>
          </w:p>
          <w:p w14:paraId="7D6CACA8">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left="0" w:leftChars="0" w:firstLine="400" w:firstLineChars="200"/>
              <w:textAlignment w:val="auto"/>
              <w:rPr>
                <w:rFonts w:ascii="宋体" w:hAnsi="宋体" w:eastAsia="宋体" w:cs="宋体"/>
                <w:b w:val="0"/>
                <w:sz w:val="20"/>
              </w:rPr>
            </w:pPr>
            <w:r>
              <w:rPr>
                <w:rFonts w:ascii="宋体" w:hAnsi="宋体" w:eastAsia="宋体" w:cs="宋体"/>
                <w:b w:val="0"/>
                <w:sz w:val="20"/>
              </w:rPr>
              <w:t>造型部件业务上，公司具有较为全面的非金属材料表面处理技术，是集烫印、喷涂、电镀、PVD、丝网印刷、转印、滴注等塑料表面处理工艺为一体的综合技术方案提供商。</w:t>
            </w:r>
          </w:p>
          <w:p w14:paraId="6A269FDB">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left="0" w:leftChars="0" w:firstLine="400" w:firstLineChars="200"/>
              <w:textAlignment w:val="auto"/>
              <w:rPr>
                <w:rFonts w:ascii="宋体" w:hAnsi="宋体" w:eastAsia="宋体" w:cs="宋体"/>
                <w:b w:val="0"/>
                <w:sz w:val="20"/>
              </w:rPr>
            </w:pPr>
            <w:r>
              <w:rPr>
                <w:rFonts w:ascii="宋体" w:hAnsi="宋体" w:eastAsia="宋体" w:cs="宋体"/>
                <w:b w:val="0"/>
                <w:sz w:val="20"/>
              </w:rPr>
              <w:t>声学产品业务上，公司深耕汽车声学产品领域近20年，技术上具有先发优势，建立了声学材料测试的数据库以及声学包产品设计标准，具备与主机厂同步设计开发汽车声学包的能力。</w:t>
            </w:r>
          </w:p>
          <w:p w14:paraId="5E498032">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left="0" w:leftChars="0" w:firstLine="400" w:firstLineChars="200"/>
              <w:textAlignment w:val="auto"/>
              <w:rPr>
                <w:rFonts w:ascii="宋体" w:hAnsi="宋体" w:eastAsia="宋体" w:cs="宋体"/>
                <w:b w:val="0"/>
                <w:sz w:val="20"/>
              </w:rPr>
            </w:pPr>
            <w:r>
              <w:rPr>
                <w:rFonts w:ascii="宋体" w:hAnsi="宋体" w:eastAsia="宋体" w:cs="宋体"/>
                <w:b w:val="0"/>
                <w:sz w:val="20"/>
              </w:rPr>
              <w:t>车轮总成分装业务上，公司始终坚持质量保证和效率驱动，通过引进先进设备，建立了信息化、自动化的作业系统，全面匹配主机厂的总装需求。</w:t>
            </w:r>
          </w:p>
          <w:p w14:paraId="3E08E94D">
            <w:pPr>
              <w:pStyle w:val="12"/>
              <w:keepNext w:val="0"/>
              <w:keepLines w:val="0"/>
              <w:pageBreakBefore w:val="0"/>
              <w:widowControl w:val="0"/>
              <w:numPr>
                <w:ilvl w:val="0"/>
                <w:numId w:val="1"/>
              </w:numPr>
              <w:kinsoku/>
              <w:wordWrap/>
              <w:overflowPunct/>
              <w:topLinePunct w:val="0"/>
              <w:autoSpaceDE w:val="0"/>
              <w:autoSpaceDN w:val="0"/>
              <w:bidi w:val="0"/>
              <w:adjustRightInd/>
              <w:snapToGrid/>
              <w:spacing w:beforeAutospacing="0" w:line="360" w:lineRule="auto"/>
              <w:ind w:left="0" w:leftChars="0" w:firstLine="400" w:firstLineChars="200"/>
              <w:textAlignment w:val="auto"/>
              <w:rPr>
                <w:rFonts w:ascii="宋体" w:hAnsi="宋体" w:eastAsia="宋体" w:cs="宋体"/>
                <w:b w:val="0"/>
                <w:sz w:val="20"/>
              </w:rPr>
            </w:pPr>
            <w:r>
              <w:rPr>
                <w:rFonts w:ascii="宋体" w:hAnsi="宋体" w:eastAsia="宋体" w:cs="宋体"/>
                <w:b w:val="0"/>
                <w:sz w:val="20"/>
              </w:rPr>
              <w:t>成本领先</w:t>
            </w:r>
          </w:p>
          <w:p w14:paraId="0245124E">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left="0" w:leftChars="0" w:firstLine="400" w:firstLineChars="200"/>
              <w:textAlignment w:val="auto"/>
              <w:rPr>
                <w:rFonts w:ascii="宋体" w:hAnsi="宋体" w:eastAsia="宋体" w:cs="宋体"/>
                <w:b w:val="0"/>
                <w:sz w:val="20"/>
              </w:rPr>
            </w:pPr>
            <w:r>
              <w:rPr>
                <w:rFonts w:ascii="宋体" w:hAnsi="宋体" w:eastAsia="宋体" w:cs="宋体"/>
                <w:b w:val="0"/>
                <w:sz w:val="20"/>
              </w:rPr>
              <w:t>公司通过实施精益管理，坚持效率驱动，对供应链、生产制造、计划物流等环节持续改善，能够有效地控制生产成本并减少浪费。2025年1-6月，公司存货周转率为9.04次/年，公司存货周转率远高于同行业可比公司平均值，运营效率高，提升公司竞争力。</w:t>
            </w:r>
          </w:p>
          <w:p w14:paraId="22761FD7">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left="0" w:leftChars="0" w:firstLine="400" w:firstLineChars="200"/>
              <w:textAlignment w:val="auto"/>
              <w:rPr>
                <w:rFonts w:ascii="宋体" w:hAnsi="宋体" w:eastAsia="宋体" w:cs="宋体"/>
                <w:b w:val="0"/>
                <w:sz w:val="20"/>
              </w:rPr>
            </w:pPr>
            <w:r>
              <w:rPr>
                <w:rFonts w:ascii="宋体" w:hAnsi="宋体" w:eastAsia="宋体" w:cs="宋体"/>
                <w:b w:val="0"/>
                <w:sz w:val="20"/>
              </w:rPr>
              <w:t>公司跟随主机厂就近配套，降低物流运输成本，提高快速响应能力应对客户不断变化的订单需求，并减少产品运输中的损耗成本。</w:t>
            </w:r>
          </w:p>
          <w:p w14:paraId="7D852DA5">
            <w:pPr>
              <w:pStyle w:val="12"/>
              <w:keepNext w:val="0"/>
              <w:keepLines w:val="0"/>
              <w:pageBreakBefore w:val="0"/>
              <w:widowControl w:val="0"/>
              <w:numPr>
                <w:ilvl w:val="0"/>
                <w:numId w:val="1"/>
              </w:numPr>
              <w:kinsoku/>
              <w:wordWrap/>
              <w:overflowPunct/>
              <w:topLinePunct w:val="0"/>
              <w:autoSpaceDE w:val="0"/>
              <w:autoSpaceDN w:val="0"/>
              <w:bidi w:val="0"/>
              <w:adjustRightInd/>
              <w:snapToGrid/>
              <w:spacing w:beforeAutospacing="0" w:line="360" w:lineRule="auto"/>
              <w:ind w:left="0" w:leftChars="0" w:firstLine="400" w:firstLineChars="200"/>
              <w:textAlignment w:val="auto"/>
              <w:rPr>
                <w:rFonts w:ascii="宋体" w:hAnsi="宋体" w:eastAsia="宋体" w:cs="宋体"/>
                <w:sz w:val="20"/>
                <w:szCs w:val="20"/>
              </w:rPr>
            </w:pPr>
            <w:r>
              <w:rPr>
                <w:rFonts w:ascii="宋体" w:hAnsi="宋体" w:eastAsia="宋体" w:cs="宋体"/>
                <w:b w:val="0"/>
                <w:sz w:val="20"/>
              </w:rPr>
              <w:t>地域优势</w:t>
            </w:r>
          </w:p>
          <w:p w14:paraId="5AFFF2E8">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leftChars="0" w:firstLine="400" w:firstLineChars="200"/>
              <w:textAlignment w:val="auto"/>
              <w:rPr>
                <w:rFonts w:ascii="宋体" w:hAnsi="宋体" w:eastAsia="宋体" w:cs="宋体"/>
                <w:sz w:val="20"/>
                <w:szCs w:val="20"/>
              </w:rPr>
            </w:pPr>
            <w:r>
              <w:rPr>
                <w:rFonts w:ascii="宋体" w:hAnsi="宋体" w:eastAsia="宋体" w:cs="宋体"/>
                <w:b w:val="0"/>
                <w:sz w:val="20"/>
              </w:rPr>
              <w:t>公司所处的合肥市位于汽车工业集群“长三角产业集群”范围，凭借产业协同效应和显著的区位优势，安徽省汽车产业得到飞速发展。当下，安徽已集聚奇瑞集团、蔚来汽车、大众安徽、合肥比亚迪、江汽集团、合肥长安、安凯客车等整车企业，拥有乘用车、商用车、专用车等全系列产品，有着配套完善的全产业链。2025年1-6月，安徽省汽车产量和新能源汽车产量跃居全国第一。</w:t>
            </w:r>
          </w:p>
          <w:p w14:paraId="5B584D21">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360" w:lineRule="auto"/>
              <w:ind w:left="0" w:leftChars="0" w:firstLine="400" w:firstLineChars="200"/>
              <w:textAlignment w:val="auto"/>
              <w:rPr>
                <w:rFonts w:ascii="宋体" w:hAnsi="宋体" w:eastAsia="宋体" w:cs="宋体"/>
                <w:sz w:val="20"/>
                <w:szCs w:val="20"/>
              </w:rPr>
            </w:pPr>
            <w:r>
              <w:rPr>
                <w:rFonts w:ascii="宋体" w:hAnsi="宋体" w:eastAsia="宋体" w:cs="宋体"/>
                <w:b w:val="0"/>
                <w:sz w:val="20"/>
              </w:rPr>
              <w:t>未来，公司通过持续加大研发投入，提升核心技术优势，引进吸收国际先进技术，实现自主研发、自主创新。同时，公司将稳固并深化与现有主要客户的合作关系，积极拓展新客户和国际市场。</w:t>
            </w:r>
          </w:p>
        </w:tc>
      </w:tr>
      <w:tr w14:paraId="0D3E8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14:paraId="725B8882">
            <w:pPr>
              <w:pStyle w:val="12"/>
              <w:spacing w:before="1"/>
              <w:ind w:left="107"/>
              <w:rPr>
                <w:rFonts w:hint="eastAsia"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关于本次活动是否涉及应</w:t>
            </w:r>
          </w:p>
          <w:p w14:paraId="10FCBEC5">
            <w:pPr>
              <w:pStyle w:val="12"/>
              <w:spacing w:before="1"/>
              <w:ind w:left="107"/>
              <w:rPr>
                <w:rFonts w:ascii="宋体" w:hAnsi="宋体" w:eastAsia="宋体" w:cs="宋体"/>
                <w:b/>
                <w:bCs/>
                <w:sz w:val="20"/>
                <w:szCs w:val="20"/>
              </w:rPr>
            </w:pPr>
            <w:r>
              <w:rPr>
                <w:rFonts w:hint="eastAsia" w:cs="宋体" w:asciiTheme="minorEastAsia" w:hAnsiTheme="minorEastAsia" w:eastAsiaTheme="minorEastAsia"/>
                <w:b/>
                <w:bCs/>
                <w:sz w:val="20"/>
                <w:szCs w:val="20"/>
              </w:rPr>
              <w:t>披露重大信息的说明</w:t>
            </w:r>
          </w:p>
        </w:tc>
        <w:tc>
          <w:tcPr>
            <w:tcW w:w="5945" w:type="dxa"/>
            <w:vAlign w:val="center"/>
          </w:tcPr>
          <w:p w14:paraId="1A9D27E9">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hint="eastAsia" w:cs="宋体" w:asciiTheme="minorEastAsia" w:hAnsiTheme="minorEastAsia" w:eastAsiaTheme="minorEastAsia"/>
                <w:sz w:val="20"/>
                <w:szCs w:val="20"/>
              </w:rPr>
              <w:t>本次活动不涉及未公开披露的重大信息。</w:t>
            </w:r>
          </w:p>
        </w:tc>
      </w:tr>
      <w:tr w14:paraId="055A4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687CA728">
            <w:pPr>
              <w:pStyle w:val="12"/>
              <w:spacing w:before="1"/>
              <w:ind w:left="107" w:leftChars="0"/>
              <w:rPr>
                <w:rFonts w:ascii="宋体" w:hAnsi="宋体" w:eastAsia="宋体" w:cs="宋体"/>
                <w:b/>
                <w:bCs/>
                <w:sz w:val="20"/>
                <w:szCs w:val="20"/>
                <w:lang w:val="zh-CN" w:eastAsia="zh-CN" w:bidi="zh-CN"/>
              </w:rPr>
            </w:pPr>
            <w:r>
              <w:rPr>
                <w:rFonts w:hint="eastAsia" w:ascii="宋体" w:hAnsi="宋体" w:eastAsia="宋体" w:cs="宋体"/>
                <w:b/>
                <w:bCs/>
                <w:sz w:val="20"/>
                <w:szCs w:val="20"/>
              </w:rPr>
              <w:t>附件清单（如有）</w:t>
            </w:r>
          </w:p>
        </w:tc>
        <w:tc>
          <w:tcPr>
            <w:tcW w:w="5945" w:type="dxa"/>
            <w:vAlign w:val="center"/>
          </w:tcPr>
          <w:p w14:paraId="0EDA8458">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lang w:val="zh-CN" w:eastAsia="zh-CN" w:bidi="zh-CN"/>
              </w:rPr>
            </w:pPr>
          </w:p>
        </w:tc>
      </w:tr>
      <w:tr w14:paraId="7EEB0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5F940C68">
            <w:pPr>
              <w:pStyle w:val="12"/>
              <w:spacing w:before="1"/>
              <w:ind w:left="107" w:leftChars="0"/>
              <w:rPr>
                <w:rFonts w:hint="eastAsia" w:ascii="宋体" w:hAnsi="宋体" w:eastAsia="宋体" w:cs="宋体"/>
                <w:b/>
                <w:bCs/>
                <w:sz w:val="20"/>
                <w:szCs w:val="20"/>
                <w:lang w:val="zh-CN" w:eastAsia="zh-CN" w:bidi="zh-CN"/>
              </w:rPr>
            </w:pPr>
            <w:r>
              <w:rPr>
                <w:rFonts w:hint="eastAsia" w:ascii="宋体" w:hAnsi="宋体" w:eastAsia="宋体" w:cs="宋体"/>
                <w:b/>
                <w:bCs/>
                <w:sz w:val="20"/>
                <w:szCs w:val="20"/>
              </w:rPr>
              <w:t>日期</w:t>
            </w:r>
          </w:p>
        </w:tc>
        <w:tc>
          <w:tcPr>
            <w:tcW w:w="5945" w:type="dxa"/>
            <w:vAlign w:val="center"/>
          </w:tcPr>
          <w:p w14:paraId="656D9050">
            <w:pPr>
              <w:pStyle w:val="12"/>
              <w:keepNext w:val="0"/>
              <w:keepLines w:val="0"/>
              <w:pageBreakBefore w:val="0"/>
              <w:widowControl w:val="0"/>
              <w:kinsoku/>
              <w:wordWrap/>
              <w:overflowPunct/>
              <w:topLinePunct w:val="0"/>
              <w:autoSpaceDE w:val="0"/>
              <w:autoSpaceDN w:val="0"/>
              <w:bidi w:val="0"/>
              <w:adjustRightInd/>
              <w:snapToGrid/>
              <w:spacing w:before="100" w:beforeAutospacing="1"/>
              <w:textAlignment w:val="auto"/>
              <w:rPr>
                <w:rFonts w:ascii="宋体" w:hAnsi="宋体" w:eastAsia="宋体" w:cs="宋体"/>
                <w:sz w:val="20"/>
                <w:szCs w:val="20"/>
                <w:lang w:val="zh-CN" w:eastAsia="zh-CN" w:bidi="zh-CN"/>
              </w:rPr>
            </w:pPr>
            <w:r>
              <w:rPr>
                <w:rFonts w:ascii="宋体" w:hAnsi="宋体" w:eastAsia="宋体" w:cs="宋体"/>
                <w:sz w:val="20"/>
                <w:szCs w:val="20"/>
              </w:rPr>
              <w:t>2025年09月05日</w:t>
            </w:r>
          </w:p>
        </w:tc>
      </w:tr>
    </w:tbl>
    <w:p w14:paraId="48021132">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BEAF42"/>
    <w:multiLevelType w:val="singleLevel"/>
    <w:tmpl w:val="42BEAF42"/>
    <w:lvl w:ilvl="0" w:tentative="0">
      <w:start w:val="1"/>
      <w:numFmt w:val="chineseCounting"/>
      <w:suff w:val="nothing"/>
      <w:lvlText w:val="%1、"/>
      <w:lvlJc w:val="left"/>
      <w:pPr>
        <w:ind w:left="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1793751"/>
    <w:rsid w:val="01A93FA3"/>
    <w:rsid w:val="04B072D4"/>
    <w:rsid w:val="04BA2023"/>
    <w:rsid w:val="05972365"/>
    <w:rsid w:val="05CE01C7"/>
    <w:rsid w:val="05F575D4"/>
    <w:rsid w:val="064249C6"/>
    <w:rsid w:val="08641132"/>
    <w:rsid w:val="09186774"/>
    <w:rsid w:val="0945438F"/>
    <w:rsid w:val="0A71587A"/>
    <w:rsid w:val="0B792C38"/>
    <w:rsid w:val="0C28640C"/>
    <w:rsid w:val="0C547201"/>
    <w:rsid w:val="0E90599A"/>
    <w:rsid w:val="0ED720CD"/>
    <w:rsid w:val="0F69119C"/>
    <w:rsid w:val="112D098E"/>
    <w:rsid w:val="12070CAE"/>
    <w:rsid w:val="133815F1"/>
    <w:rsid w:val="13F54E26"/>
    <w:rsid w:val="13FC61B5"/>
    <w:rsid w:val="145F688C"/>
    <w:rsid w:val="14D47131"/>
    <w:rsid w:val="15680001"/>
    <w:rsid w:val="15DD2205"/>
    <w:rsid w:val="17072842"/>
    <w:rsid w:val="17A67110"/>
    <w:rsid w:val="17D6734C"/>
    <w:rsid w:val="1864189B"/>
    <w:rsid w:val="1881498A"/>
    <w:rsid w:val="18D73A7D"/>
    <w:rsid w:val="193006AE"/>
    <w:rsid w:val="19557370"/>
    <w:rsid w:val="1BD06B6A"/>
    <w:rsid w:val="1F782BDE"/>
    <w:rsid w:val="204A6A53"/>
    <w:rsid w:val="23317869"/>
    <w:rsid w:val="25650CAE"/>
    <w:rsid w:val="26406598"/>
    <w:rsid w:val="28080056"/>
    <w:rsid w:val="28734C1A"/>
    <w:rsid w:val="28C72DDD"/>
    <w:rsid w:val="29EE0E64"/>
    <w:rsid w:val="2BC4020A"/>
    <w:rsid w:val="2DBD47AF"/>
    <w:rsid w:val="2EF90F16"/>
    <w:rsid w:val="2F125C63"/>
    <w:rsid w:val="302C3D0A"/>
    <w:rsid w:val="3104598F"/>
    <w:rsid w:val="31A16195"/>
    <w:rsid w:val="320C360F"/>
    <w:rsid w:val="322F2868"/>
    <w:rsid w:val="33DE31BB"/>
    <w:rsid w:val="37467E16"/>
    <w:rsid w:val="389C49C0"/>
    <w:rsid w:val="39BC78F4"/>
    <w:rsid w:val="3B35486F"/>
    <w:rsid w:val="3D3D68F9"/>
    <w:rsid w:val="3EF1250A"/>
    <w:rsid w:val="40567DB0"/>
    <w:rsid w:val="40FF5CD2"/>
    <w:rsid w:val="42652DF5"/>
    <w:rsid w:val="42DB40B0"/>
    <w:rsid w:val="43B71B0A"/>
    <w:rsid w:val="44974EF2"/>
    <w:rsid w:val="44C67F95"/>
    <w:rsid w:val="44FA0589"/>
    <w:rsid w:val="45A663E3"/>
    <w:rsid w:val="469F09AF"/>
    <w:rsid w:val="4B756271"/>
    <w:rsid w:val="4C8E1CA8"/>
    <w:rsid w:val="4D16138E"/>
    <w:rsid w:val="4D6D36A4"/>
    <w:rsid w:val="4EAC3D58"/>
    <w:rsid w:val="4F785B69"/>
    <w:rsid w:val="50302767"/>
    <w:rsid w:val="510903EF"/>
    <w:rsid w:val="52BF41CD"/>
    <w:rsid w:val="53A849CE"/>
    <w:rsid w:val="53F137F4"/>
    <w:rsid w:val="543A6906"/>
    <w:rsid w:val="5449029B"/>
    <w:rsid w:val="56850CBB"/>
    <w:rsid w:val="58030761"/>
    <w:rsid w:val="58E467E4"/>
    <w:rsid w:val="594D25DB"/>
    <w:rsid w:val="59D8738A"/>
    <w:rsid w:val="5A666D76"/>
    <w:rsid w:val="5B2253C2"/>
    <w:rsid w:val="5CF02E0F"/>
    <w:rsid w:val="5DC04948"/>
    <w:rsid w:val="5FAD16DE"/>
    <w:rsid w:val="603269D2"/>
    <w:rsid w:val="61A52BCA"/>
    <w:rsid w:val="62775FD3"/>
    <w:rsid w:val="653F54CE"/>
    <w:rsid w:val="656E190F"/>
    <w:rsid w:val="65EC0F0B"/>
    <w:rsid w:val="67095496"/>
    <w:rsid w:val="67ED7463"/>
    <w:rsid w:val="681A546A"/>
    <w:rsid w:val="68507D37"/>
    <w:rsid w:val="685D143A"/>
    <w:rsid w:val="69CB37D4"/>
    <w:rsid w:val="6A0D5B9B"/>
    <w:rsid w:val="6A3B23B1"/>
    <w:rsid w:val="6AEA32DC"/>
    <w:rsid w:val="6B0625EA"/>
    <w:rsid w:val="6CC24AB5"/>
    <w:rsid w:val="6D4912F5"/>
    <w:rsid w:val="6D597BED"/>
    <w:rsid w:val="6D9271B2"/>
    <w:rsid w:val="6F134790"/>
    <w:rsid w:val="6FA523D2"/>
    <w:rsid w:val="6FE81F5F"/>
    <w:rsid w:val="72446028"/>
    <w:rsid w:val="73076EC0"/>
    <w:rsid w:val="74210CA6"/>
    <w:rsid w:val="746F4E76"/>
    <w:rsid w:val="74D602FF"/>
    <w:rsid w:val="758111EB"/>
    <w:rsid w:val="76006C44"/>
    <w:rsid w:val="76430096"/>
    <w:rsid w:val="788C25F5"/>
    <w:rsid w:val="79F72AA9"/>
    <w:rsid w:val="7A144529"/>
    <w:rsid w:val="7A9419C0"/>
    <w:rsid w:val="7C4A39BD"/>
    <w:rsid w:val="7DD37FAE"/>
    <w:rsid w:val="7E172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2350</Words>
  <Characters>2495</Characters>
  <Lines>2</Lines>
  <Paragraphs>1</Paragraphs>
  <TotalTime>2</TotalTime>
  <ScaleCrop>false</ScaleCrop>
  <LinksUpToDate>false</LinksUpToDate>
  <CharactersWithSpaces>2597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周文竹</cp:lastModifiedBy>
  <dcterms:modified xsi:type="dcterms:W3CDTF">2025-09-05T09:25:18Z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A34FF1A7B5B34066A8A2CBE6E2534F14_13</vt:lpwstr>
  </property>
  <property fmtid="{D5CDD505-2E9C-101B-9397-08002B2CF9AE}" pid="4" name="KSOTemplateDocerSaveRecord">
    <vt:lpwstr>eyJoZGlkIjoiZTczZGJiMzk3NmE4MTFmY2I0NmVkOTVhODY4OTk3OTciLCJ1c2VySWQiOiIyMzk3MjIwODAifQ==</vt:lpwstr>
  </property>
</Properties>
</file>