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16057D">
      <w:pPr>
        <w:jc w:val="center"/>
        <w:rPr>
          <w:rFonts w:hint="eastAsia" w:ascii="宋体" w:hAnsi="宋体" w:cs="宋体"/>
          <w:b/>
          <w:bCs/>
          <w:color w:val="000000"/>
          <w:sz w:val="32"/>
          <w:szCs w:val="32"/>
        </w:rPr>
      </w:pPr>
      <w:bookmarkStart w:id="0" w:name="_Toc26562_WPSOffice_Level1"/>
      <w:bookmarkStart w:id="1" w:name="_Toc17751_WPSOffice_Level1"/>
      <w:bookmarkStart w:id="2" w:name="_Toc9583_WPSOffice_Level1"/>
    </w:p>
    <w:p w14:paraId="185D5D56">
      <w:pPr>
        <w:jc w:val="center"/>
        <w:rPr>
          <w:rFonts w:hint="eastAsia" w:ascii="宋体" w:hAnsi="宋体" w:cs="宋体"/>
          <w:b/>
          <w:bCs/>
          <w:color w:val="000000"/>
          <w:sz w:val="32"/>
          <w:szCs w:val="32"/>
        </w:rPr>
      </w:pPr>
      <w:r>
        <w:rPr>
          <w:rFonts w:hint="eastAsia" w:ascii="宋体" w:hAnsi="宋体" w:cs="宋体"/>
          <w:b/>
          <w:bCs/>
          <w:color w:val="000000"/>
          <w:sz w:val="32"/>
          <w:szCs w:val="32"/>
        </w:rPr>
        <w:t>上海妙可蓝多食品科技股份有限公司</w:t>
      </w:r>
    </w:p>
    <w:p w14:paraId="175301AD">
      <w:pPr>
        <w:jc w:val="center"/>
        <w:rPr>
          <w:rFonts w:hint="eastAsia" w:ascii="宋体" w:hAnsi="宋体" w:cs="宋体"/>
          <w:b/>
          <w:bCs/>
          <w:color w:val="000000"/>
          <w:sz w:val="32"/>
          <w:szCs w:val="32"/>
        </w:rPr>
      </w:pPr>
      <w:r>
        <w:rPr>
          <w:rFonts w:hint="eastAsia" w:ascii="宋体" w:hAnsi="宋体" w:cs="宋体"/>
          <w:b/>
          <w:bCs/>
          <w:color w:val="000000"/>
          <w:sz w:val="32"/>
          <w:szCs w:val="32"/>
        </w:rPr>
        <w:t>投资者接待活动记录表</w:t>
      </w:r>
      <w:bookmarkEnd w:id="0"/>
      <w:bookmarkEnd w:id="1"/>
      <w:bookmarkEnd w:id="2"/>
    </w:p>
    <w:p w14:paraId="1832DE66">
      <w:pPr>
        <w:jc w:val="right"/>
        <w:rPr>
          <w:rFonts w:hint="eastAsia" w:ascii="宋体" w:hAnsi="宋体" w:cs="宋体"/>
          <w:b/>
          <w:bCs/>
          <w:color w:val="000000"/>
          <w:sz w:val="24"/>
        </w:rPr>
      </w:pPr>
      <w:r>
        <w:rPr>
          <w:rFonts w:hint="eastAsia" w:ascii="宋体" w:hAnsi="宋体" w:cs="宋体"/>
          <w:b/>
          <w:bCs/>
          <w:color w:val="000000"/>
          <w:sz w:val="24"/>
        </w:rPr>
        <w:t xml:space="preserve">   编号：2025-006</w:t>
      </w:r>
    </w:p>
    <w:tbl>
      <w:tblPr>
        <w:tblStyle w:val="7"/>
        <w:tblW w:w="9498" w:type="dxa"/>
        <w:tblInd w:w="-601" w:type="dxa"/>
        <w:tblBorders>
          <w:top w:val="thinThickSmallGap" w:color="auto" w:sz="12" w:space="0"/>
          <w:left w:val="single" w:color="auto" w:sz="4" w:space="0"/>
          <w:bottom w:val="thickThinSmallGap"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7513"/>
      </w:tblGrid>
      <w:tr w14:paraId="7DD73246">
        <w:tblPrEx>
          <w:tblBorders>
            <w:top w:val="thinThickSmallGap" w:color="auto" w:sz="12" w:space="0"/>
            <w:left w:val="single" w:color="auto" w:sz="4" w:space="0"/>
            <w:bottom w:val="thickThinSmallGap"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vAlign w:val="center"/>
          </w:tcPr>
          <w:p w14:paraId="7AE49D34">
            <w:pPr>
              <w:jc w:val="center"/>
              <w:rPr>
                <w:rFonts w:ascii="Times New Roman" w:hAnsi="Times New Roman" w:cstheme="minorEastAsia"/>
                <w:b/>
                <w:bCs/>
                <w:sz w:val="24"/>
              </w:rPr>
            </w:pPr>
            <w:r>
              <w:rPr>
                <w:rFonts w:hint="eastAsia" w:ascii="Times New Roman" w:hAnsi="Times New Roman" w:cstheme="minorEastAsia"/>
                <w:b/>
                <w:bCs/>
                <w:sz w:val="24"/>
              </w:rPr>
              <w:t>投资者关系</w:t>
            </w:r>
          </w:p>
          <w:p w14:paraId="4699823A">
            <w:pPr>
              <w:jc w:val="center"/>
              <w:rPr>
                <w:rFonts w:ascii="Times New Roman" w:hAnsi="Times New Roman" w:cstheme="minorEastAsia"/>
                <w:b/>
                <w:bCs/>
                <w:sz w:val="24"/>
              </w:rPr>
            </w:pPr>
            <w:r>
              <w:rPr>
                <w:rFonts w:hint="eastAsia" w:ascii="Times New Roman" w:hAnsi="Times New Roman" w:cstheme="minorEastAsia"/>
                <w:b/>
                <w:bCs/>
                <w:sz w:val="24"/>
              </w:rPr>
              <w:t>活动类别</w:t>
            </w:r>
          </w:p>
        </w:tc>
        <w:tc>
          <w:tcPr>
            <w:tcW w:w="7513" w:type="dxa"/>
            <w:vAlign w:val="center"/>
          </w:tcPr>
          <w:p w14:paraId="524AF0D7">
            <w:pPr>
              <w:rPr>
                <w:rFonts w:ascii="Times New Roman" w:hAnsi="Times New Roman" w:cstheme="minorEastAsia"/>
                <w:sz w:val="24"/>
              </w:rPr>
            </w:pPr>
          </w:p>
          <w:p w14:paraId="7FB949A3">
            <w:pPr>
              <w:rPr>
                <w:rFonts w:ascii="Times New Roman" w:hAnsi="Times New Roman" w:cstheme="minorEastAsia"/>
                <w:sz w:val="24"/>
              </w:rPr>
            </w:pPr>
            <w:r>
              <w:rPr>
                <w:rFonts w:hint="eastAsia" w:ascii="Times New Roman" w:hAnsi="Times New Roman" w:cstheme="minorEastAsia"/>
                <w:sz w:val="24"/>
              </w:rPr>
              <w:t>□特定对象调研□分析师会议</w:t>
            </w:r>
          </w:p>
          <w:p w14:paraId="67246B05">
            <w:pPr>
              <w:rPr>
                <w:rFonts w:ascii="Times New Roman" w:hAnsi="Times New Roman" w:cstheme="minorEastAsia"/>
                <w:sz w:val="24"/>
              </w:rPr>
            </w:pPr>
            <w:r>
              <w:rPr>
                <w:rFonts w:hint="eastAsia" w:ascii="Times New Roman" w:hAnsi="Times New Roman" w:cstheme="minorEastAsia"/>
                <w:sz w:val="24"/>
              </w:rPr>
              <w:t>□媒体采访□业绩说明会</w:t>
            </w:r>
          </w:p>
          <w:p w14:paraId="09471A9D">
            <w:pPr>
              <w:rPr>
                <w:rFonts w:ascii="Times New Roman" w:hAnsi="Times New Roman" w:cstheme="minorEastAsia"/>
                <w:sz w:val="24"/>
              </w:rPr>
            </w:pPr>
            <w:r>
              <w:rPr>
                <w:rFonts w:hint="eastAsia" w:ascii="Times New Roman" w:hAnsi="Times New Roman" w:cstheme="minorEastAsia"/>
                <w:sz w:val="24"/>
              </w:rPr>
              <w:t>□新闻发布会□路演活动</w:t>
            </w:r>
          </w:p>
          <w:p w14:paraId="2AA9375B">
            <w:pPr>
              <w:rPr>
                <w:rFonts w:ascii="Times New Roman" w:hAnsi="Times New Roman" w:cstheme="minorEastAsia"/>
                <w:sz w:val="24"/>
              </w:rPr>
            </w:pPr>
            <w:r>
              <w:rPr>
                <w:rFonts w:hint="eastAsia" w:ascii="Times New Roman" w:hAnsi="Times New Roman" w:cstheme="minorEastAsia"/>
                <w:sz w:val="24"/>
              </w:rPr>
              <w:sym w:font="Wingdings 2" w:char="F052"/>
            </w:r>
            <w:r>
              <w:rPr>
                <w:rFonts w:hint="eastAsia" w:ascii="Times New Roman" w:hAnsi="Times New Roman" w:cstheme="minorEastAsia"/>
                <w:sz w:val="24"/>
              </w:rPr>
              <w:t>现场接待</w:t>
            </w:r>
          </w:p>
          <w:p w14:paraId="7BE8CB59">
            <w:pPr>
              <w:rPr>
                <w:rFonts w:ascii="Times New Roman" w:hAnsi="Times New Roman" w:cstheme="minorEastAsia"/>
                <w:sz w:val="24"/>
                <w:u w:val="single"/>
              </w:rPr>
            </w:pPr>
            <w:r>
              <w:rPr>
                <w:rFonts w:hint="eastAsia" w:ascii="Times New Roman" w:hAnsi="Times New Roman" w:cstheme="minorEastAsia"/>
                <w:sz w:val="24"/>
              </w:rPr>
              <w:t>□其他（请文字说明其他活动内容）</w:t>
            </w:r>
          </w:p>
          <w:p w14:paraId="6F21E45F">
            <w:pPr>
              <w:rPr>
                <w:rFonts w:ascii="Times New Roman" w:hAnsi="Times New Roman" w:cstheme="minorEastAsia"/>
                <w:sz w:val="24"/>
              </w:rPr>
            </w:pPr>
          </w:p>
        </w:tc>
      </w:tr>
      <w:tr w14:paraId="59FFB9FD">
        <w:tblPrEx>
          <w:tblBorders>
            <w:top w:val="thinThickSmallGap" w:color="auto" w:sz="12" w:space="0"/>
            <w:left w:val="single" w:color="auto" w:sz="4" w:space="0"/>
            <w:bottom w:val="thickThinSmallGap"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985" w:type="dxa"/>
            <w:vAlign w:val="center"/>
          </w:tcPr>
          <w:p w14:paraId="5886F946">
            <w:pPr>
              <w:jc w:val="center"/>
              <w:rPr>
                <w:rFonts w:ascii="Times New Roman" w:hAnsi="Times New Roman" w:cstheme="minorEastAsia"/>
                <w:b/>
                <w:bCs/>
                <w:sz w:val="24"/>
              </w:rPr>
            </w:pPr>
            <w:r>
              <w:rPr>
                <w:rFonts w:hint="eastAsia" w:ascii="Times New Roman" w:hAnsi="Times New Roman" w:cstheme="minorEastAsia"/>
                <w:b/>
                <w:bCs/>
                <w:sz w:val="24"/>
              </w:rPr>
              <w:t>接待时间</w:t>
            </w:r>
          </w:p>
        </w:tc>
        <w:tc>
          <w:tcPr>
            <w:tcW w:w="7513" w:type="dxa"/>
            <w:vAlign w:val="center"/>
          </w:tcPr>
          <w:p w14:paraId="3B2B280D">
            <w:pPr>
              <w:rPr>
                <w:rFonts w:ascii="Times New Roman" w:hAnsi="Times New Roman" w:cstheme="minorEastAsia"/>
                <w:sz w:val="24"/>
              </w:rPr>
            </w:pPr>
            <w:r>
              <w:rPr>
                <w:rFonts w:hint="eastAsia" w:ascii="Times New Roman" w:hAnsi="Times New Roman" w:cstheme="minorEastAsia"/>
                <w:sz w:val="24"/>
              </w:rPr>
              <w:t>2025年9月4日15:00-16:00</w:t>
            </w:r>
          </w:p>
        </w:tc>
      </w:tr>
      <w:tr w14:paraId="2097D1FF">
        <w:tblPrEx>
          <w:tblBorders>
            <w:top w:val="thinThickSmallGap" w:color="auto" w:sz="12" w:space="0"/>
            <w:left w:val="single" w:color="auto" w:sz="4" w:space="0"/>
            <w:bottom w:val="thickThinSmallGap"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985" w:type="dxa"/>
            <w:vAlign w:val="center"/>
          </w:tcPr>
          <w:p w14:paraId="60D8F190">
            <w:pPr>
              <w:jc w:val="center"/>
              <w:rPr>
                <w:rFonts w:ascii="Times New Roman" w:hAnsi="Times New Roman" w:cstheme="minorEastAsia"/>
                <w:b/>
                <w:bCs/>
                <w:sz w:val="24"/>
              </w:rPr>
            </w:pPr>
            <w:r>
              <w:rPr>
                <w:rFonts w:hint="eastAsia" w:ascii="Times New Roman" w:hAnsi="Times New Roman" w:cstheme="minorEastAsia"/>
                <w:b/>
                <w:bCs/>
                <w:sz w:val="24"/>
              </w:rPr>
              <w:t>接待地点</w:t>
            </w:r>
          </w:p>
        </w:tc>
        <w:tc>
          <w:tcPr>
            <w:tcW w:w="7513" w:type="dxa"/>
            <w:vAlign w:val="center"/>
          </w:tcPr>
          <w:p w14:paraId="5DA6059A">
            <w:pPr>
              <w:rPr>
                <w:rFonts w:ascii="Times New Roman" w:hAnsi="Times New Roman" w:cstheme="minorEastAsia"/>
                <w:sz w:val="24"/>
              </w:rPr>
            </w:pPr>
            <w:r>
              <w:rPr>
                <w:rFonts w:ascii="Times New Roman" w:hAnsi="Times New Roman" w:cstheme="minorEastAsia"/>
                <w:sz w:val="24"/>
              </w:rPr>
              <w:t xml:space="preserve">上海市浦东新区金桥路 1398 号金台大厦 </w:t>
            </w:r>
            <w:r>
              <w:rPr>
                <w:rFonts w:hint="eastAsia" w:ascii="Times New Roman" w:hAnsi="Times New Roman" w:cstheme="minorEastAsia"/>
                <w:sz w:val="24"/>
              </w:rPr>
              <w:t>9</w:t>
            </w:r>
            <w:r>
              <w:rPr>
                <w:rFonts w:ascii="Times New Roman" w:hAnsi="Times New Roman" w:cstheme="minorEastAsia"/>
                <w:sz w:val="24"/>
              </w:rPr>
              <w:t xml:space="preserve"> 楼会议室</w:t>
            </w:r>
          </w:p>
        </w:tc>
      </w:tr>
      <w:tr w14:paraId="77338D71">
        <w:tblPrEx>
          <w:tblBorders>
            <w:top w:val="thinThickSmallGap" w:color="auto" w:sz="12" w:space="0"/>
            <w:left w:val="single" w:color="auto" w:sz="4" w:space="0"/>
            <w:bottom w:val="thickThinSmallGap"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trPr>
        <w:tc>
          <w:tcPr>
            <w:tcW w:w="1985" w:type="dxa"/>
            <w:vAlign w:val="center"/>
          </w:tcPr>
          <w:p w14:paraId="35AEFABB">
            <w:pPr>
              <w:jc w:val="center"/>
              <w:rPr>
                <w:rFonts w:ascii="Times New Roman" w:hAnsi="Times New Roman" w:cstheme="minorEastAsia"/>
                <w:b/>
                <w:bCs/>
                <w:sz w:val="24"/>
              </w:rPr>
            </w:pPr>
            <w:r>
              <w:rPr>
                <w:rFonts w:hint="eastAsia" w:ascii="Times New Roman" w:hAnsi="Times New Roman" w:cstheme="minorEastAsia"/>
                <w:b/>
                <w:bCs/>
                <w:sz w:val="24"/>
              </w:rPr>
              <w:t>上市公司</w:t>
            </w:r>
          </w:p>
          <w:p w14:paraId="58572DC6">
            <w:pPr>
              <w:jc w:val="center"/>
              <w:rPr>
                <w:rFonts w:ascii="Times New Roman" w:hAnsi="Times New Roman" w:cstheme="minorEastAsia"/>
                <w:b/>
                <w:bCs/>
                <w:sz w:val="24"/>
              </w:rPr>
            </w:pPr>
            <w:r>
              <w:rPr>
                <w:rFonts w:hint="eastAsia" w:ascii="Times New Roman" w:hAnsi="Times New Roman" w:cstheme="minorEastAsia"/>
                <w:b/>
                <w:bCs/>
                <w:sz w:val="24"/>
              </w:rPr>
              <w:t>接待人员姓名</w:t>
            </w:r>
          </w:p>
        </w:tc>
        <w:tc>
          <w:tcPr>
            <w:tcW w:w="7513" w:type="dxa"/>
            <w:vAlign w:val="center"/>
          </w:tcPr>
          <w:p w14:paraId="345C3FB2">
            <w:pPr>
              <w:jc w:val="left"/>
              <w:rPr>
                <w:rFonts w:ascii="Times New Roman" w:hAnsi="Times New Roman" w:cstheme="minorEastAsia"/>
                <w:sz w:val="24"/>
              </w:rPr>
            </w:pPr>
            <w:r>
              <w:rPr>
                <w:rFonts w:hint="eastAsia" w:ascii="Times New Roman" w:hAnsi="Times New Roman" w:cstheme="minorEastAsia"/>
                <w:sz w:val="24"/>
              </w:rPr>
              <w:t>投资者关系副总裁：胡宗田先生</w:t>
            </w:r>
          </w:p>
          <w:p w14:paraId="53F78722">
            <w:pPr>
              <w:jc w:val="left"/>
              <w:rPr>
                <w:rFonts w:hint="eastAsia" w:ascii="Times New Roman" w:hAnsi="Times New Roman" w:cstheme="minorEastAsia"/>
                <w:sz w:val="24"/>
              </w:rPr>
            </w:pPr>
            <w:r>
              <w:rPr>
                <w:rFonts w:hint="eastAsia" w:ascii="Times New Roman" w:hAnsi="Times New Roman" w:cstheme="minorEastAsia"/>
                <w:sz w:val="24"/>
              </w:rPr>
              <w:t>投资者关系高级经理：周紫瑞女士</w:t>
            </w:r>
          </w:p>
          <w:p w14:paraId="4F4E990F">
            <w:pPr>
              <w:jc w:val="left"/>
              <w:rPr>
                <w:rFonts w:hint="eastAsia" w:ascii="Times New Roman" w:hAnsi="Times New Roman" w:eastAsia="宋体" w:cstheme="minorEastAsia"/>
                <w:sz w:val="24"/>
                <w:lang w:val="en-US" w:eastAsia="zh-CN"/>
              </w:rPr>
            </w:pPr>
            <w:r>
              <w:rPr>
                <w:rFonts w:hint="eastAsia" w:ascii="Times New Roman" w:hAnsi="Times New Roman" w:cstheme="minorEastAsia"/>
                <w:sz w:val="24"/>
                <w:lang w:val="en-US" w:eastAsia="zh-CN"/>
              </w:rPr>
              <w:t>证券事务高级经理：</w:t>
            </w:r>
            <w:r>
              <w:rPr>
                <w:rFonts w:hint="eastAsia" w:ascii="Times New Roman" w:hAnsi="Times New Roman" w:cstheme="minorEastAsia"/>
                <w:sz w:val="24"/>
              </w:rPr>
              <w:t>周阳帅</w:t>
            </w:r>
            <w:r>
              <w:rPr>
                <w:rFonts w:hint="eastAsia" w:ascii="Times New Roman" w:hAnsi="Times New Roman" w:cstheme="minorEastAsia"/>
                <w:sz w:val="24"/>
                <w:lang w:val="en-US" w:eastAsia="zh-CN"/>
              </w:rPr>
              <w:t>先生</w:t>
            </w:r>
          </w:p>
        </w:tc>
      </w:tr>
      <w:tr w14:paraId="06015FA5">
        <w:tblPrEx>
          <w:tblBorders>
            <w:top w:val="thinThickSmallGap" w:color="auto" w:sz="12" w:space="0"/>
            <w:left w:val="single" w:color="auto" w:sz="4" w:space="0"/>
            <w:bottom w:val="thickThinSmallGap"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1985" w:type="dxa"/>
            <w:vAlign w:val="center"/>
          </w:tcPr>
          <w:p w14:paraId="02CB432E">
            <w:pPr>
              <w:jc w:val="center"/>
              <w:rPr>
                <w:rFonts w:ascii="Times New Roman" w:hAnsi="Times New Roman" w:cstheme="minorEastAsia"/>
                <w:b/>
                <w:bCs/>
                <w:sz w:val="24"/>
              </w:rPr>
            </w:pPr>
            <w:r>
              <w:rPr>
                <w:rFonts w:hint="eastAsia" w:ascii="Times New Roman" w:hAnsi="Times New Roman" w:cstheme="minorEastAsia"/>
                <w:b/>
                <w:bCs/>
                <w:sz w:val="24"/>
              </w:rPr>
              <w:t>参与单位</w:t>
            </w:r>
          </w:p>
          <w:p w14:paraId="101E38D6">
            <w:pPr>
              <w:jc w:val="center"/>
              <w:rPr>
                <w:rFonts w:ascii="Times New Roman" w:hAnsi="Times New Roman" w:cstheme="minorEastAsia"/>
                <w:b/>
                <w:bCs/>
                <w:sz w:val="24"/>
              </w:rPr>
            </w:pPr>
            <w:r>
              <w:rPr>
                <w:rFonts w:hint="eastAsia" w:ascii="Times New Roman" w:hAnsi="Times New Roman" w:cstheme="minorEastAsia"/>
                <w:b/>
                <w:bCs/>
                <w:sz w:val="24"/>
              </w:rPr>
              <w:t>名称及人员姓名</w:t>
            </w:r>
          </w:p>
        </w:tc>
        <w:tc>
          <w:tcPr>
            <w:tcW w:w="7513" w:type="dxa"/>
            <w:vAlign w:val="center"/>
          </w:tcPr>
          <w:p w14:paraId="5F880A2A">
            <w:pPr>
              <w:ind w:right="120"/>
              <w:jc w:val="left"/>
              <w:rPr>
                <w:rFonts w:ascii="Times New Roman" w:hAnsi="Times New Roman" w:cstheme="minorEastAsia"/>
                <w:sz w:val="22"/>
                <w:szCs w:val="22"/>
              </w:rPr>
            </w:pPr>
            <w:r>
              <w:rPr>
                <w:rFonts w:hint="eastAsia" w:ascii="Times New Roman" w:hAnsi="Times New Roman" w:cstheme="minorEastAsia"/>
                <w:sz w:val="22"/>
                <w:szCs w:val="22"/>
              </w:rPr>
              <w:t>长江证券、华泰保兴、华富基金、嘉实基金、开源自营、太平资产、永赢基金、易方达基金（按首字母拼音顺序排列）</w:t>
            </w:r>
          </w:p>
        </w:tc>
      </w:tr>
      <w:tr w14:paraId="0131764C">
        <w:tblPrEx>
          <w:tblBorders>
            <w:top w:val="thinThickSmallGap" w:color="auto" w:sz="12" w:space="0"/>
            <w:left w:val="single" w:color="auto" w:sz="4" w:space="0"/>
            <w:bottom w:val="thickThinSmallGap"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4" w:hRule="atLeast"/>
        </w:trPr>
        <w:tc>
          <w:tcPr>
            <w:tcW w:w="1985" w:type="dxa"/>
            <w:vAlign w:val="center"/>
          </w:tcPr>
          <w:p w14:paraId="5D4B920B">
            <w:pPr>
              <w:jc w:val="center"/>
              <w:rPr>
                <w:rFonts w:ascii="Times New Roman" w:hAnsi="Times New Roman" w:cstheme="minorEastAsia"/>
                <w:b/>
                <w:bCs/>
                <w:sz w:val="24"/>
              </w:rPr>
            </w:pPr>
            <w:r>
              <w:rPr>
                <w:rFonts w:hint="eastAsia" w:ascii="Times New Roman" w:hAnsi="Times New Roman" w:cstheme="minorEastAsia"/>
                <w:b/>
                <w:bCs/>
                <w:sz w:val="24"/>
              </w:rPr>
              <w:t>投资者关系活动</w:t>
            </w:r>
          </w:p>
          <w:p w14:paraId="7633FA2B">
            <w:pPr>
              <w:jc w:val="center"/>
              <w:rPr>
                <w:rFonts w:ascii="Times New Roman" w:hAnsi="Times New Roman" w:cstheme="minorEastAsia"/>
                <w:b/>
                <w:bCs/>
                <w:sz w:val="24"/>
              </w:rPr>
            </w:pPr>
            <w:r>
              <w:rPr>
                <w:rFonts w:hint="eastAsia" w:ascii="Times New Roman" w:hAnsi="Times New Roman" w:cstheme="minorEastAsia"/>
                <w:b/>
                <w:bCs/>
                <w:sz w:val="24"/>
              </w:rPr>
              <w:t>主要内容介绍</w:t>
            </w:r>
          </w:p>
        </w:tc>
        <w:tc>
          <w:tcPr>
            <w:tcW w:w="7513" w:type="dxa"/>
            <w:vAlign w:val="center"/>
          </w:tcPr>
          <w:p w14:paraId="4B508658">
            <w:pPr>
              <w:spacing w:line="360" w:lineRule="auto"/>
              <w:rPr>
                <w:rFonts w:hint="eastAsia" w:ascii="Times New Roman" w:hAnsi="Times New Roman" w:cstheme="minorEastAsia"/>
                <w:b/>
                <w:sz w:val="24"/>
              </w:rPr>
            </w:pPr>
            <w:bookmarkStart w:id="3" w:name="OLE_LINK5"/>
            <w:r>
              <w:rPr>
                <w:rFonts w:hint="eastAsia" w:ascii="Times New Roman" w:hAnsi="Times New Roman" w:cstheme="minorEastAsia"/>
                <w:b/>
                <w:sz w:val="24"/>
              </w:rPr>
              <w:t>1.</w:t>
            </w:r>
            <w:bookmarkStart w:id="4" w:name="OLE_LINK3"/>
            <w:r>
              <w:rPr>
                <w:rFonts w:hint="eastAsia" w:ascii="Times New Roman" w:hAnsi="Times New Roman" w:cstheme="minorEastAsia"/>
                <w:b/>
                <w:sz w:val="24"/>
              </w:rPr>
              <w:t>当前奶酪行业消费趋势具体是怎样的？在消费降级的市场环境下，奶酪消费能实现增长，是否源于消费者口味的突然改变？</w:t>
            </w:r>
          </w:p>
          <w:bookmarkEnd w:id="4"/>
          <w:p w14:paraId="4D63DBA6">
            <w:pPr>
              <w:spacing w:line="360" w:lineRule="auto"/>
              <w:rPr>
                <w:rFonts w:ascii="Times New Roman" w:hAnsi="Times New Roman" w:cstheme="minorEastAsia"/>
                <w:bCs/>
                <w:sz w:val="24"/>
              </w:rPr>
            </w:pPr>
            <w:bookmarkStart w:id="5" w:name="OLE_LINK4"/>
            <w:r>
              <w:rPr>
                <w:rFonts w:hint="eastAsia" w:ascii="Times New Roman" w:hAnsi="Times New Roman" w:cstheme="minorEastAsia"/>
                <w:bCs/>
                <w:sz w:val="24"/>
              </w:rPr>
              <w:t>答：</w:t>
            </w:r>
            <w:bookmarkEnd w:id="5"/>
            <w:r>
              <w:rPr>
                <w:rFonts w:hint="eastAsia" w:ascii="Times New Roman" w:hAnsi="Times New Roman" w:cstheme="minorEastAsia"/>
                <w:bCs/>
                <w:sz w:val="24"/>
              </w:rPr>
              <w:t>根据央视市场研究股份有限公司之Worldpanel消费者指数（以下简称“Worldpanel消费者指数”），2025年上半年，奶酪品类市场销售呈现复苏迹象，渗透率有所上升。与此同时，奶酪在餐饮端国产替代趋势不断加强，在西式快餐、茶咖、烘焙、工业、中餐领域的渗透率快速提升。</w:t>
            </w:r>
          </w:p>
          <w:p w14:paraId="223E9B0A">
            <w:pPr>
              <w:spacing w:line="360" w:lineRule="auto"/>
              <w:rPr>
                <w:rFonts w:ascii="Times New Roman" w:hAnsi="Times New Roman" w:cstheme="minorEastAsia"/>
                <w:bCs/>
                <w:sz w:val="24"/>
              </w:rPr>
            </w:pPr>
            <w:r>
              <w:rPr>
                <w:rFonts w:hint="eastAsia" w:ascii="Times New Roman" w:hAnsi="Times New Roman" w:cstheme="minorEastAsia"/>
                <w:bCs/>
                <w:sz w:val="24"/>
              </w:rPr>
              <w:t>奶酪消费增长并非源于消费者口味突然改变，而是精准契合消费环境的多重逻辑支撑：在“健康中国2030”战略推动下，奶酪正契合国家营养升级方向，奶酪的副产物乳清蛋白粉等产品</w:t>
            </w:r>
            <w:r>
              <w:rPr>
                <w:rFonts w:hint="default" w:ascii="Times New Roman" w:hAnsi="Times New Roman" w:cstheme="minorEastAsia"/>
                <w:bCs/>
                <w:sz w:val="24"/>
                <w:woUserID w:val="1"/>
              </w:rPr>
              <w:t>也</w:t>
            </w:r>
            <w:r>
              <w:rPr>
                <w:rFonts w:hint="eastAsia" w:ascii="Times New Roman" w:hAnsi="Times New Roman" w:cstheme="minorEastAsia"/>
                <w:bCs/>
                <w:sz w:val="24"/>
              </w:rPr>
              <w:t>已成为健身人群优选；家庭餐桌场景的增长更印证奶酪正从可选向</w:t>
            </w:r>
            <w:r>
              <w:rPr>
                <w:rFonts w:hint="default" w:ascii="Times New Roman" w:hAnsi="Times New Roman" w:cstheme="minorEastAsia"/>
                <w:bCs/>
                <w:sz w:val="24"/>
                <w:woUserID w:val="1"/>
              </w:rPr>
              <w:t>准</w:t>
            </w:r>
            <w:r>
              <w:rPr>
                <w:rFonts w:hint="eastAsia" w:ascii="Times New Roman" w:hAnsi="Times New Roman" w:cstheme="minorEastAsia"/>
                <w:bCs/>
                <w:sz w:val="24"/>
              </w:rPr>
              <w:t>刚需的转变。此外，奶酪从传统零食向早餐、代餐、茶饮搭配等多元场景渗透；加之国内奶价</w:t>
            </w:r>
            <w:r>
              <w:rPr>
                <w:rFonts w:hint="default" w:ascii="Times New Roman" w:hAnsi="Times New Roman" w:cstheme="minorEastAsia"/>
                <w:bCs/>
                <w:sz w:val="24"/>
                <w:woUserID w:val="1"/>
              </w:rPr>
              <w:t>目前</w:t>
            </w:r>
            <w:r>
              <w:rPr>
                <w:rFonts w:hint="eastAsia" w:ascii="Times New Roman" w:hAnsi="Times New Roman" w:cstheme="minorEastAsia"/>
                <w:bCs/>
                <w:sz w:val="24"/>
              </w:rPr>
              <w:t>低于国外奶价，国产替代降低供应链成本</w:t>
            </w:r>
            <w:r>
              <w:rPr>
                <w:rFonts w:hint="default" w:ascii="Times New Roman" w:hAnsi="Times New Roman" w:cstheme="minorEastAsia"/>
                <w:bCs/>
                <w:sz w:val="24"/>
                <w:woUserID w:val="1"/>
              </w:rPr>
              <w:t>具备了可能</w:t>
            </w:r>
            <w:r>
              <w:rPr>
                <w:rFonts w:hint="eastAsia" w:ascii="Times New Roman" w:hAnsi="Times New Roman" w:cstheme="minorEastAsia"/>
                <w:bCs/>
                <w:sz w:val="24"/>
              </w:rPr>
              <w:t>，让B端客户与C端消费者能以更合理价格获取产品，预计奶酪行业景气度</w:t>
            </w:r>
            <w:r>
              <w:rPr>
                <w:rFonts w:hint="default" w:ascii="Times New Roman" w:hAnsi="Times New Roman" w:cstheme="minorEastAsia"/>
                <w:bCs/>
                <w:sz w:val="24"/>
                <w:woUserID w:val="1"/>
              </w:rPr>
              <w:t>将</w:t>
            </w:r>
            <w:r>
              <w:rPr>
                <w:rFonts w:hint="eastAsia" w:ascii="Times New Roman" w:hAnsi="Times New Roman" w:cstheme="minorEastAsia"/>
                <w:bCs/>
                <w:sz w:val="24"/>
              </w:rPr>
              <w:t>延续。</w:t>
            </w:r>
          </w:p>
          <w:bookmarkEnd w:id="3"/>
          <w:p w14:paraId="06535B0F">
            <w:pPr>
              <w:spacing w:line="360" w:lineRule="auto"/>
              <w:rPr>
                <w:rFonts w:hint="eastAsia" w:ascii="Times New Roman" w:hAnsi="Times New Roman" w:cstheme="minorEastAsia"/>
                <w:b/>
                <w:sz w:val="24"/>
              </w:rPr>
            </w:pPr>
          </w:p>
          <w:p w14:paraId="41FC3C9C">
            <w:pPr>
              <w:spacing w:line="360" w:lineRule="auto"/>
              <w:rPr>
                <w:rFonts w:ascii="Times New Roman" w:hAnsi="Times New Roman" w:cstheme="minorEastAsia"/>
                <w:b/>
                <w:sz w:val="24"/>
              </w:rPr>
            </w:pPr>
            <w:bookmarkStart w:id="6" w:name="_GoBack"/>
            <w:r>
              <w:rPr>
                <w:rFonts w:hint="eastAsia" w:ascii="Times New Roman" w:hAnsi="Times New Roman" w:cstheme="minorEastAsia"/>
                <w:b/>
                <w:sz w:val="24"/>
              </w:rPr>
              <w:t>2、</w:t>
            </w:r>
            <w:bookmarkEnd w:id="6"/>
            <w:r>
              <w:rPr>
                <w:rFonts w:hint="eastAsia" w:ascii="Times New Roman" w:hAnsi="Times New Roman" w:cstheme="minorEastAsia"/>
                <w:b/>
                <w:sz w:val="24"/>
              </w:rPr>
              <w:t>公司当前BC端业务占比如何？远期规划是怎样的？</w:t>
            </w:r>
          </w:p>
          <w:p w14:paraId="61BD2044">
            <w:pPr>
              <w:spacing w:line="360" w:lineRule="auto"/>
              <w:rPr>
                <w:rFonts w:ascii="Times New Roman" w:hAnsi="Times New Roman" w:cstheme="minorEastAsia"/>
                <w:bCs/>
                <w:sz w:val="24"/>
              </w:rPr>
            </w:pPr>
            <w:r>
              <w:rPr>
                <w:rFonts w:hint="eastAsia" w:ascii="Times New Roman" w:hAnsi="Times New Roman" w:cstheme="minorEastAsia"/>
                <w:bCs/>
                <w:sz w:val="24"/>
              </w:rPr>
              <w:t>答：根据公司2025年中报，公司C端即食营养系列和家庭餐桌系列营业收入占奶酪产品销售收入比合计61.78%，餐饮工业系列占比38.22%。公司明确提出“TOB TOC 双轮驱动”战略，将其作为未来五年核心策略之一，TOB 端聚焦西</w:t>
            </w:r>
            <w:r>
              <w:rPr>
                <w:rFonts w:hint="eastAsia" w:ascii="Times New Roman" w:hAnsi="Times New Roman" w:cstheme="minorEastAsia"/>
                <w:bCs/>
                <w:sz w:val="24"/>
                <w:lang w:val="en-US" w:eastAsia="zh-CN"/>
              </w:rPr>
              <w:t>式</w:t>
            </w:r>
            <w:r>
              <w:rPr>
                <w:rFonts w:hint="eastAsia" w:ascii="Times New Roman" w:hAnsi="Times New Roman" w:cstheme="minorEastAsia"/>
                <w:bCs/>
                <w:sz w:val="24"/>
              </w:rPr>
              <w:t>快</w:t>
            </w:r>
            <w:r>
              <w:rPr>
                <w:rFonts w:hint="eastAsia" w:ascii="Times New Roman" w:hAnsi="Times New Roman" w:cstheme="minorEastAsia"/>
                <w:bCs/>
                <w:sz w:val="24"/>
                <w:lang w:val="en-US" w:eastAsia="zh-CN"/>
              </w:rPr>
              <w:t>餐</w:t>
            </w:r>
            <w:r>
              <w:rPr>
                <w:rFonts w:hint="eastAsia" w:ascii="Times New Roman" w:hAnsi="Times New Roman" w:cstheme="minorEastAsia"/>
                <w:bCs/>
                <w:sz w:val="24"/>
              </w:rPr>
              <w:t>、茶咖、烘焙、工业、中餐等五大客户群提供专业产品及服务，TOC 端面向全年龄段人群开发多元奶酪产品，形成 BC 端协同增长的格局。</w:t>
            </w:r>
          </w:p>
          <w:p w14:paraId="27E5CC70">
            <w:pPr>
              <w:spacing w:line="360" w:lineRule="auto"/>
              <w:rPr>
                <w:rFonts w:ascii="Times New Roman" w:hAnsi="Times New Roman" w:cstheme="minorEastAsia"/>
                <w:b/>
                <w:sz w:val="24"/>
              </w:rPr>
            </w:pPr>
          </w:p>
          <w:p w14:paraId="73DE4062">
            <w:pPr>
              <w:spacing w:line="360" w:lineRule="auto"/>
              <w:rPr>
                <w:rFonts w:hint="eastAsia" w:ascii="Times New Roman" w:hAnsi="Times New Roman" w:cstheme="minorEastAsia"/>
                <w:b/>
                <w:sz w:val="24"/>
              </w:rPr>
            </w:pPr>
            <w:r>
              <w:rPr>
                <w:rFonts w:hint="eastAsia" w:ascii="Times New Roman" w:hAnsi="Times New Roman" w:cstheme="minorEastAsia"/>
                <w:b/>
                <w:sz w:val="24"/>
              </w:rPr>
              <w:t>3、上半年毛利率同比有所上涨，原因是什么？C端和B端的毛利率情况？未来如何展望？</w:t>
            </w:r>
          </w:p>
          <w:p w14:paraId="069255AE">
            <w:pPr>
              <w:spacing w:line="360" w:lineRule="auto"/>
              <w:rPr>
                <w:rFonts w:ascii="Times New Roman" w:hAnsi="Times New Roman" w:cstheme="minorEastAsia"/>
                <w:bCs/>
                <w:sz w:val="24"/>
              </w:rPr>
            </w:pPr>
            <w:r>
              <w:rPr>
                <w:rFonts w:hint="eastAsia" w:ascii="Times New Roman" w:hAnsi="Times New Roman" w:cstheme="minorEastAsia"/>
                <w:bCs/>
                <w:sz w:val="24"/>
              </w:rPr>
              <w:t>答：公司主营业务奶酪产品营业收入同比上升，同时公司积极推动“极致成本”战略落实各项降本增效措施，原材料采购成本下降，以及使用国产原辅料替代进口原料等因素导致整体毛利率较去年同期上升。</w:t>
            </w:r>
          </w:p>
          <w:p w14:paraId="37C5A5B8">
            <w:pPr>
              <w:spacing w:line="360" w:lineRule="auto"/>
              <w:rPr>
                <w:rFonts w:hint="eastAsia" w:ascii="Times New Roman" w:hAnsi="Times New Roman" w:cstheme="minorEastAsia"/>
                <w:bCs/>
                <w:sz w:val="24"/>
              </w:rPr>
            </w:pPr>
            <w:r>
              <w:rPr>
                <w:rFonts w:ascii="Times New Roman" w:hAnsi="Times New Roman" w:cstheme="minorEastAsia"/>
                <w:bCs/>
                <w:sz w:val="24"/>
              </w:rPr>
              <w:t>当前毛利率结构为C端</w:t>
            </w:r>
            <w:r>
              <w:rPr>
                <w:rFonts w:hint="eastAsia" w:ascii="Times New Roman" w:hAnsi="Times New Roman" w:cstheme="minorEastAsia"/>
                <w:bCs/>
                <w:sz w:val="24"/>
              </w:rPr>
              <w:t>即食营养系列</w:t>
            </w:r>
            <w:r>
              <w:rPr>
                <w:rFonts w:ascii="Times New Roman" w:hAnsi="Times New Roman" w:cstheme="minorEastAsia"/>
                <w:bCs/>
                <w:sz w:val="24"/>
              </w:rPr>
              <w:t>40%-50%</w:t>
            </w:r>
            <w:r>
              <w:rPr>
                <w:rFonts w:hint="eastAsia" w:ascii="Times New Roman" w:hAnsi="Times New Roman" w:cstheme="minorEastAsia"/>
                <w:bCs/>
                <w:sz w:val="24"/>
              </w:rPr>
              <w:t>、家庭餐桌系列20-30%，</w:t>
            </w:r>
            <w:r>
              <w:rPr>
                <w:rFonts w:ascii="Times New Roman" w:hAnsi="Times New Roman" w:cstheme="minorEastAsia"/>
                <w:bCs/>
                <w:sz w:val="24"/>
              </w:rPr>
              <w:t>B端</w:t>
            </w:r>
            <w:r>
              <w:rPr>
                <w:rFonts w:hint="eastAsia" w:ascii="Times New Roman" w:hAnsi="Times New Roman" w:cstheme="minorEastAsia"/>
                <w:bCs/>
                <w:sz w:val="24"/>
              </w:rPr>
              <w:t>餐饮工业系列</w:t>
            </w:r>
            <w:r>
              <w:rPr>
                <w:rFonts w:ascii="Times New Roman" w:hAnsi="Times New Roman" w:cstheme="minorEastAsia"/>
                <w:bCs/>
                <w:sz w:val="24"/>
              </w:rPr>
              <w:t>20%-30%。未来</w:t>
            </w:r>
            <w:r>
              <w:rPr>
                <w:rFonts w:ascii="Times New Roman" w:hAnsi="Times New Roman" w:cstheme="minorEastAsia"/>
                <w:bCs/>
                <w:sz w:val="24"/>
                <w:woUserID w:val="1"/>
              </w:rPr>
              <w:t>毛利</w:t>
            </w:r>
            <w:r>
              <w:rPr>
                <w:rFonts w:ascii="Times New Roman" w:hAnsi="Times New Roman" w:cstheme="minorEastAsia"/>
                <w:bCs/>
                <w:sz w:val="24"/>
              </w:rPr>
              <w:t>提升空间主要来自：一是深加工赋能，B端原制奶酪、乳清蛋白粉等深加工产品，2025年上半年餐饮工业板块已因深加工实现毛利率提升约</w:t>
            </w:r>
            <w:r>
              <w:rPr>
                <w:rFonts w:hint="eastAsia" w:ascii="Times New Roman" w:hAnsi="Times New Roman" w:cstheme="minorEastAsia"/>
                <w:bCs/>
                <w:sz w:val="24"/>
              </w:rPr>
              <w:t>2</w:t>
            </w:r>
            <w:r>
              <w:rPr>
                <w:rFonts w:ascii="Times New Roman" w:hAnsi="Times New Roman" w:cstheme="minorEastAsia"/>
                <w:bCs/>
                <w:sz w:val="24"/>
              </w:rPr>
              <w:t>个</w:t>
            </w:r>
            <w:r>
              <w:rPr>
                <w:rFonts w:hint="eastAsia" w:ascii="Times New Roman" w:hAnsi="Times New Roman" w:cstheme="minorEastAsia"/>
                <w:bCs/>
                <w:sz w:val="24"/>
              </w:rPr>
              <w:t>百分</w:t>
            </w:r>
            <w:r>
              <w:rPr>
                <w:rFonts w:ascii="Times New Roman" w:hAnsi="Times New Roman" w:cstheme="minorEastAsia"/>
                <w:bCs/>
                <w:sz w:val="24"/>
              </w:rPr>
              <w:t>点；二是成本优化，“极致成本战略”</w:t>
            </w:r>
            <w:r>
              <w:rPr>
                <w:rFonts w:ascii="Times New Roman" w:hAnsi="Times New Roman" w:cstheme="minorEastAsia"/>
                <w:bCs/>
                <w:sz w:val="24"/>
                <w:woUserID w:val="1"/>
              </w:rPr>
              <w:t>初</w:t>
            </w:r>
            <w:r>
              <w:rPr>
                <w:rFonts w:ascii="Times New Roman" w:hAnsi="Times New Roman" w:cstheme="minorEastAsia"/>
                <w:bCs/>
                <w:sz w:val="24"/>
              </w:rPr>
              <w:t>见效，叠加国内奶价低于进口奶源的优势，</w:t>
            </w:r>
            <w:r>
              <w:rPr>
                <w:rFonts w:hint="eastAsia" w:ascii="Times New Roman" w:hAnsi="Times New Roman" w:cstheme="minorEastAsia"/>
                <w:bCs/>
                <w:sz w:val="24"/>
              </w:rPr>
              <w:t>未来</w:t>
            </w:r>
            <w:r>
              <w:rPr>
                <w:rFonts w:ascii="Times New Roman" w:hAnsi="Times New Roman" w:cstheme="minorEastAsia"/>
                <w:bCs/>
                <w:sz w:val="24"/>
              </w:rPr>
              <w:t>降本效果</w:t>
            </w:r>
            <w:r>
              <w:rPr>
                <w:rFonts w:hint="eastAsia" w:ascii="Times New Roman" w:hAnsi="Times New Roman" w:cstheme="minorEastAsia"/>
                <w:bCs/>
                <w:sz w:val="24"/>
              </w:rPr>
              <w:t>将</w:t>
            </w:r>
            <w:r>
              <w:rPr>
                <w:rFonts w:ascii="Times New Roman" w:hAnsi="Times New Roman" w:cstheme="minorEastAsia"/>
                <w:bCs/>
                <w:sz w:val="24"/>
              </w:rPr>
              <w:t>持续释放；三是人民币升值</w:t>
            </w:r>
            <w:r>
              <w:rPr>
                <w:rFonts w:ascii="Times New Roman" w:hAnsi="Times New Roman" w:cstheme="minorEastAsia"/>
                <w:bCs/>
                <w:sz w:val="24"/>
                <w:woUserID w:val="1"/>
              </w:rPr>
              <w:t>也可以</w:t>
            </w:r>
            <w:r>
              <w:rPr>
                <w:rFonts w:ascii="Times New Roman" w:hAnsi="Times New Roman" w:cstheme="minorEastAsia"/>
                <w:bCs/>
                <w:sz w:val="24"/>
              </w:rPr>
              <w:t>降低部分进口原料成本。</w:t>
            </w:r>
          </w:p>
          <w:p w14:paraId="377DBC8F">
            <w:pPr>
              <w:spacing w:line="360" w:lineRule="auto"/>
              <w:rPr>
                <w:rFonts w:ascii="Times New Roman" w:hAnsi="Times New Roman" w:cstheme="minorEastAsia"/>
                <w:bCs/>
                <w:sz w:val="24"/>
              </w:rPr>
            </w:pPr>
          </w:p>
          <w:p w14:paraId="72319E4E">
            <w:pPr>
              <w:spacing w:line="360" w:lineRule="auto"/>
              <w:rPr>
                <w:rFonts w:hint="eastAsia" w:ascii="Times New Roman" w:hAnsi="Times New Roman" w:cstheme="minorEastAsia"/>
                <w:b/>
                <w:sz w:val="24"/>
              </w:rPr>
            </w:pPr>
            <w:r>
              <w:rPr>
                <w:rFonts w:hint="eastAsia" w:ascii="Times New Roman" w:hAnsi="Times New Roman" w:cstheme="minorEastAsia"/>
                <w:b/>
                <w:sz w:val="24"/>
              </w:rPr>
              <w:t>4、乳清的规模化应用对生产奶酪降本增效意义显著，请问公司乳清相关技术的研发目前进展如何？已拓展的下游客户包括哪些？</w:t>
            </w:r>
          </w:p>
          <w:p w14:paraId="2095AE9F">
            <w:pPr>
              <w:spacing w:line="360" w:lineRule="auto"/>
              <w:rPr>
                <w:rFonts w:hint="eastAsia" w:ascii="Times New Roman" w:hAnsi="Times New Roman" w:cstheme="minorEastAsia"/>
                <w:bCs/>
                <w:sz w:val="24"/>
              </w:rPr>
            </w:pPr>
            <w:r>
              <w:rPr>
                <w:rFonts w:hint="eastAsia" w:ascii="Times New Roman" w:hAnsi="Times New Roman" w:cstheme="minorEastAsia"/>
                <w:bCs/>
                <w:sz w:val="24"/>
              </w:rPr>
              <w:t>答：7月21日，工信部揭榜挂帅项目突破，脱盐乳清产品供给提升任务成果发布，意义重大，目前产能建设持续推进，新工厂塔体已建成。乳清作为奶酪生产的优质原料开发价值高，公司已推出面向中老年群体的人参乳清蛋白粉，正研发儿童系列乳清产品，同时布局运动健康领域的乳清健康产品。尽管乳清产品存在口感优化的挑战，但未来乳清有潜力成为覆盖儿童、运动健身人群、中老年等群体的健康功能性产品系列，也将是公司在健康功能性领域的产品布局。</w:t>
            </w:r>
          </w:p>
          <w:p w14:paraId="194846BE">
            <w:pPr>
              <w:spacing w:line="360" w:lineRule="auto"/>
              <w:rPr>
                <w:rFonts w:hint="eastAsia" w:ascii="Times New Roman" w:hAnsi="Times New Roman" w:cstheme="minorEastAsia"/>
                <w:b/>
                <w:sz w:val="24"/>
              </w:rPr>
            </w:pPr>
          </w:p>
          <w:p w14:paraId="5764025C">
            <w:pPr>
              <w:spacing w:line="360" w:lineRule="auto"/>
              <w:rPr>
                <w:rFonts w:ascii="Times New Roman" w:hAnsi="Times New Roman" w:cstheme="minorEastAsia"/>
                <w:b/>
                <w:sz w:val="24"/>
              </w:rPr>
            </w:pPr>
            <w:r>
              <w:rPr>
                <w:rFonts w:hint="eastAsia" w:ascii="Times New Roman" w:hAnsi="Times New Roman" w:cstheme="minorEastAsia"/>
                <w:b/>
                <w:sz w:val="24"/>
              </w:rPr>
              <w:t>5、公司近期推出的新产品中哪些具备爆品潜力？尤其关注近期进入山姆渠道和零食量贩渠道的产品具体表现如何？</w:t>
            </w:r>
          </w:p>
          <w:p w14:paraId="329A7D31">
            <w:pPr>
              <w:spacing w:line="360" w:lineRule="auto"/>
              <w:rPr>
                <w:rFonts w:ascii="Times New Roman" w:hAnsi="Times New Roman" w:cstheme="minorEastAsia"/>
                <w:bCs/>
                <w:sz w:val="24"/>
              </w:rPr>
            </w:pPr>
            <w:r>
              <w:rPr>
                <w:rFonts w:hint="eastAsia" w:ascii="Times New Roman" w:hAnsi="Times New Roman" w:cstheme="minorEastAsia"/>
                <w:bCs/>
                <w:sz w:val="24"/>
              </w:rPr>
              <w:t>答：在新品及重点渠道表现方面，妙可蓝多针对不同人群布局核心产品：儿童群体的成长杯、年轻人群体的奶酪小粒、奶酪小三角主打健康零食；银发人群的人参酪乳主打“药食同源”等产品获得市场好评。渠道端，山姆专属新品“奶酪坚果脆”于8月22日上架，</w:t>
            </w:r>
            <w:r>
              <w:rPr>
                <w:rFonts w:hint="eastAsia" w:ascii="Times New Roman" w:hAnsi="Times New Roman" w:cstheme="minorEastAsia"/>
                <w:bCs/>
                <w:sz w:val="24"/>
                <w:lang w:val="en-US" w:eastAsia="zh-CN"/>
              </w:rPr>
              <w:t>该产品</w:t>
            </w:r>
            <w:r>
              <w:rPr>
                <w:rFonts w:hint="eastAsia" w:ascii="Times New Roman" w:hAnsi="Times New Roman" w:cstheme="minorEastAsia"/>
                <w:bCs/>
                <w:sz w:val="24"/>
              </w:rPr>
              <w:t>经</w:t>
            </w:r>
            <w:r>
              <w:rPr>
                <w:rFonts w:hint="eastAsia" w:ascii="Times New Roman" w:hAnsi="Times New Roman" w:cstheme="minorEastAsia"/>
                <w:bCs/>
                <w:sz w:val="24"/>
                <w:lang w:val="en-US" w:eastAsia="zh-CN"/>
              </w:rPr>
              <w:t>多</w:t>
            </w:r>
            <w:r>
              <w:rPr>
                <w:rFonts w:hint="eastAsia" w:ascii="Times New Roman" w:hAnsi="Times New Roman" w:cstheme="minorEastAsia"/>
                <w:bCs/>
                <w:sz w:val="24"/>
              </w:rPr>
              <w:t>次配方优化，集美味、营养、低卡于一体，上架后部分门店当日售罄；零食量贩渠道中，奶酪小丸子进入万辰等头部系统，</w:t>
            </w:r>
            <w:r>
              <w:rPr>
                <w:rFonts w:hint="default" w:ascii="Times New Roman" w:hAnsi="Times New Roman" w:cstheme="minorEastAsia"/>
                <w:bCs/>
                <w:sz w:val="24"/>
                <w:woUserID w:val="1"/>
              </w:rPr>
              <w:t>受到消费者的欢迎</w:t>
            </w:r>
            <w:r>
              <w:rPr>
                <w:rFonts w:hint="eastAsia" w:ascii="Times New Roman" w:hAnsi="Times New Roman" w:cstheme="minorEastAsia"/>
                <w:bCs/>
                <w:sz w:val="24"/>
              </w:rPr>
              <w:t>。</w:t>
            </w:r>
          </w:p>
          <w:p w14:paraId="09A1B94B">
            <w:pPr>
              <w:spacing w:line="360" w:lineRule="auto"/>
              <w:rPr>
                <w:rFonts w:ascii="Times New Roman" w:hAnsi="Times New Roman" w:cstheme="minorEastAsia"/>
                <w:b/>
                <w:sz w:val="24"/>
              </w:rPr>
            </w:pPr>
          </w:p>
          <w:p w14:paraId="6B6E993C">
            <w:pPr>
              <w:spacing w:line="360" w:lineRule="auto"/>
              <w:rPr>
                <w:rFonts w:ascii="Times New Roman" w:hAnsi="Times New Roman" w:cstheme="minorEastAsia"/>
                <w:b/>
                <w:sz w:val="24"/>
              </w:rPr>
            </w:pPr>
            <w:r>
              <w:rPr>
                <w:rFonts w:hint="eastAsia" w:ascii="Times New Roman" w:hAnsi="Times New Roman" w:cstheme="minorEastAsia"/>
                <w:b/>
                <w:sz w:val="24"/>
              </w:rPr>
              <w:t>6、近期股东减持相关情况是怎样的？</w:t>
            </w:r>
          </w:p>
          <w:p w14:paraId="5846B112">
            <w:pPr>
              <w:spacing w:line="360" w:lineRule="auto"/>
              <w:rPr>
                <w:rFonts w:ascii="Times New Roman" w:hAnsi="Times New Roman" w:cstheme="minorEastAsia"/>
                <w:bCs/>
                <w:sz w:val="24"/>
              </w:rPr>
            </w:pPr>
            <w:r>
              <w:rPr>
                <w:rFonts w:hint="eastAsia" w:ascii="Times New Roman" w:hAnsi="Times New Roman" w:cstheme="minorEastAsia"/>
                <w:bCs/>
                <w:sz w:val="24"/>
              </w:rPr>
              <w:t>答：</w:t>
            </w:r>
            <w:r>
              <w:rPr>
                <w:rFonts w:ascii="Times New Roman" w:hAnsi="Times New Roman" w:cstheme="minorEastAsia"/>
                <w:bCs/>
                <w:sz w:val="24"/>
              </w:rPr>
              <w:t>减持行为是基于自身资金安排，</w:t>
            </w:r>
            <w:r>
              <w:rPr>
                <w:rFonts w:hint="eastAsia" w:ascii="Times New Roman" w:hAnsi="Times New Roman" w:cstheme="minorEastAsia"/>
                <w:bCs/>
                <w:sz w:val="24"/>
              </w:rPr>
              <w:t>采用大宗交易方式，且</w:t>
            </w:r>
            <w:r>
              <w:rPr>
                <w:rFonts w:ascii="Times New Roman" w:hAnsi="Times New Roman" w:cstheme="minorEastAsia"/>
                <w:bCs/>
                <w:sz w:val="24"/>
              </w:rPr>
              <w:t>与公司基本面及长期发展前景没有直接关联。公司将持续通过产品创新、品牌引领</w:t>
            </w:r>
            <w:r>
              <w:rPr>
                <w:rFonts w:hint="eastAsia" w:ascii="Times New Roman" w:hAnsi="Times New Roman" w:cstheme="minorEastAsia"/>
                <w:bCs/>
                <w:sz w:val="24"/>
              </w:rPr>
              <w:t>、渠道精耕</w:t>
            </w:r>
            <w:r>
              <w:rPr>
                <w:rFonts w:ascii="Times New Roman" w:hAnsi="Times New Roman" w:cstheme="minorEastAsia"/>
                <w:bCs/>
                <w:sz w:val="24"/>
              </w:rPr>
              <w:t>、管理提效等多项举措，努力提升业绩表现与股东回报，</w:t>
            </w:r>
            <w:r>
              <w:rPr>
                <w:rFonts w:hint="eastAsia" w:ascii="Times New Roman" w:hAnsi="Times New Roman" w:cstheme="minorEastAsia"/>
                <w:bCs/>
                <w:sz w:val="24"/>
              </w:rPr>
              <w:t>公司管理层及核心团队对长期发展信心明确，</w:t>
            </w:r>
            <w:r>
              <w:rPr>
                <w:rFonts w:ascii="Times New Roman" w:hAnsi="Times New Roman" w:cstheme="minorEastAsia"/>
                <w:bCs/>
                <w:sz w:val="24"/>
              </w:rPr>
              <w:t>经营稳中有进，产业逻辑清晰，核心业务具备长期成长性。</w:t>
            </w:r>
          </w:p>
          <w:p w14:paraId="014FA7CD">
            <w:pPr>
              <w:spacing w:line="360" w:lineRule="auto"/>
              <w:rPr>
                <w:rFonts w:ascii="Times New Roman" w:hAnsi="Times New Roman" w:cstheme="minorEastAsia"/>
                <w:bCs/>
                <w:sz w:val="24"/>
              </w:rPr>
            </w:pPr>
          </w:p>
        </w:tc>
      </w:tr>
    </w:tbl>
    <w:p w14:paraId="14CDA10E"/>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decorative"/>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F20DB">
    <w:pPr>
      <w:pStyle w:val="5"/>
      <w:jc w:val="center"/>
    </w:pPr>
    <w:r>
      <w:rPr>
        <w:b/>
        <w:bCs/>
        <w:sz w:val="24"/>
      </w:rPr>
      <w:fldChar w:fldCharType="begin"/>
    </w:r>
    <w:r>
      <w:rPr>
        <w:b/>
        <w:bCs/>
      </w:rPr>
      <w:instrText xml:space="preserve">PAGE</w:instrText>
    </w:r>
    <w:r>
      <w:rPr>
        <w:b/>
        <w:bCs/>
        <w:sz w:val="24"/>
      </w:rPr>
      <w:fldChar w:fldCharType="separate"/>
    </w:r>
    <w:r>
      <w:rPr>
        <w:b/>
        <w:bCs/>
      </w:rPr>
      <w:t>4</w:t>
    </w:r>
    <w:r>
      <w:rPr>
        <w:b/>
        <w:bCs/>
        <w:sz w:val="24"/>
      </w:rPr>
      <w:fldChar w:fldCharType="end"/>
    </w:r>
    <w:r>
      <w:rPr>
        <w:lang w:val="zh-CN"/>
      </w:rPr>
      <w:t>/</w:t>
    </w:r>
    <w:r>
      <w:rPr>
        <w:b/>
        <w:bCs/>
        <w:sz w:val="24"/>
      </w:rPr>
      <w:fldChar w:fldCharType="begin"/>
    </w:r>
    <w:r>
      <w:rPr>
        <w:b/>
        <w:bCs/>
      </w:rPr>
      <w:instrText xml:space="preserve">NUMPAGES</w:instrText>
    </w:r>
    <w:r>
      <w:rPr>
        <w:b/>
        <w:bCs/>
        <w:sz w:val="24"/>
      </w:rPr>
      <w:fldChar w:fldCharType="separate"/>
    </w:r>
    <w:r>
      <w:rPr>
        <w:b/>
        <w:bCs/>
      </w:rPr>
      <w:t>4</w:t>
    </w:r>
    <w:r>
      <w:rPr>
        <w:b/>
        <w:bCs/>
        <w:sz w:val="24"/>
      </w:rPr>
      <w:fldChar w:fldCharType="end"/>
    </w:r>
  </w:p>
  <w:p w14:paraId="19573C22">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F9E"/>
    <w:rsid w:val="00001A84"/>
    <w:rsid w:val="00002F31"/>
    <w:rsid w:val="00003A8C"/>
    <w:rsid w:val="00006C51"/>
    <w:rsid w:val="000114BB"/>
    <w:rsid w:val="0002082E"/>
    <w:rsid w:val="00024218"/>
    <w:rsid w:val="00025DE6"/>
    <w:rsid w:val="00032C75"/>
    <w:rsid w:val="000357B9"/>
    <w:rsid w:val="0004146D"/>
    <w:rsid w:val="00053764"/>
    <w:rsid w:val="00055EF9"/>
    <w:rsid w:val="00057D60"/>
    <w:rsid w:val="0006134B"/>
    <w:rsid w:val="000769D8"/>
    <w:rsid w:val="00081722"/>
    <w:rsid w:val="000847DE"/>
    <w:rsid w:val="00085B96"/>
    <w:rsid w:val="000867FA"/>
    <w:rsid w:val="000B0EC7"/>
    <w:rsid w:val="000B4A9D"/>
    <w:rsid w:val="000D082D"/>
    <w:rsid w:val="000D5D08"/>
    <w:rsid w:val="000E5BAD"/>
    <w:rsid w:val="000E5D44"/>
    <w:rsid w:val="000E6B48"/>
    <w:rsid w:val="000F3122"/>
    <w:rsid w:val="000F5671"/>
    <w:rsid w:val="000F6924"/>
    <w:rsid w:val="0010005A"/>
    <w:rsid w:val="0010357D"/>
    <w:rsid w:val="00111480"/>
    <w:rsid w:val="001231AD"/>
    <w:rsid w:val="00126E80"/>
    <w:rsid w:val="001276E9"/>
    <w:rsid w:val="00127BB2"/>
    <w:rsid w:val="00131C62"/>
    <w:rsid w:val="001615C7"/>
    <w:rsid w:val="0016789C"/>
    <w:rsid w:val="00170EF4"/>
    <w:rsid w:val="00173AFF"/>
    <w:rsid w:val="00180548"/>
    <w:rsid w:val="00193C23"/>
    <w:rsid w:val="00194B8E"/>
    <w:rsid w:val="00196B45"/>
    <w:rsid w:val="001A2D92"/>
    <w:rsid w:val="001A71E7"/>
    <w:rsid w:val="001D5830"/>
    <w:rsid w:val="001E221E"/>
    <w:rsid w:val="001E5D8E"/>
    <w:rsid w:val="001E6705"/>
    <w:rsid w:val="001F0490"/>
    <w:rsid w:val="00213ABD"/>
    <w:rsid w:val="00216D98"/>
    <w:rsid w:val="00226D6A"/>
    <w:rsid w:val="00246B5C"/>
    <w:rsid w:val="0024708E"/>
    <w:rsid w:val="0025033E"/>
    <w:rsid w:val="002528A8"/>
    <w:rsid w:val="002537E9"/>
    <w:rsid w:val="002566D0"/>
    <w:rsid w:val="00262BB9"/>
    <w:rsid w:val="00267155"/>
    <w:rsid w:val="00274242"/>
    <w:rsid w:val="00277558"/>
    <w:rsid w:val="002865CC"/>
    <w:rsid w:val="00292CBF"/>
    <w:rsid w:val="002A6AEE"/>
    <w:rsid w:val="002B21BA"/>
    <w:rsid w:val="002C6070"/>
    <w:rsid w:val="002D0768"/>
    <w:rsid w:val="002E02D2"/>
    <w:rsid w:val="002F605B"/>
    <w:rsid w:val="003027AF"/>
    <w:rsid w:val="0031460F"/>
    <w:rsid w:val="003402D7"/>
    <w:rsid w:val="00340CA5"/>
    <w:rsid w:val="00341D3A"/>
    <w:rsid w:val="00344F89"/>
    <w:rsid w:val="0034558A"/>
    <w:rsid w:val="00356135"/>
    <w:rsid w:val="00356A63"/>
    <w:rsid w:val="00371E3E"/>
    <w:rsid w:val="00386E6F"/>
    <w:rsid w:val="003A5190"/>
    <w:rsid w:val="003A65C0"/>
    <w:rsid w:val="003A66B3"/>
    <w:rsid w:val="003B16D0"/>
    <w:rsid w:val="003B3118"/>
    <w:rsid w:val="003C0EBE"/>
    <w:rsid w:val="003C4C14"/>
    <w:rsid w:val="003C7AE7"/>
    <w:rsid w:val="003D20E2"/>
    <w:rsid w:val="003D4F68"/>
    <w:rsid w:val="003D652C"/>
    <w:rsid w:val="003E0A69"/>
    <w:rsid w:val="0041437C"/>
    <w:rsid w:val="00433CEB"/>
    <w:rsid w:val="00457ED9"/>
    <w:rsid w:val="0046165E"/>
    <w:rsid w:val="00462828"/>
    <w:rsid w:val="00466257"/>
    <w:rsid w:val="00473793"/>
    <w:rsid w:val="00476163"/>
    <w:rsid w:val="004852E8"/>
    <w:rsid w:val="00485D34"/>
    <w:rsid w:val="00490C27"/>
    <w:rsid w:val="004A35DE"/>
    <w:rsid w:val="004B39C7"/>
    <w:rsid w:val="004C0CA5"/>
    <w:rsid w:val="004C2158"/>
    <w:rsid w:val="004C7C64"/>
    <w:rsid w:val="004D1891"/>
    <w:rsid w:val="00507FBB"/>
    <w:rsid w:val="00510505"/>
    <w:rsid w:val="00511615"/>
    <w:rsid w:val="00520D0F"/>
    <w:rsid w:val="00522C9B"/>
    <w:rsid w:val="00534DA0"/>
    <w:rsid w:val="00534FC8"/>
    <w:rsid w:val="00562C76"/>
    <w:rsid w:val="00565F68"/>
    <w:rsid w:val="00567C80"/>
    <w:rsid w:val="00581892"/>
    <w:rsid w:val="0058709D"/>
    <w:rsid w:val="00595756"/>
    <w:rsid w:val="005A0D50"/>
    <w:rsid w:val="005B0B58"/>
    <w:rsid w:val="005B153E"/>
    <w:rsid w:val="005B3125"/>
    <w:rsid w:val="005C2281"/>
    <w:rsid w:val="005D0D3F"/>
    <w:rsid w:val="005E07DF"/>
    <w:rsid w:val="005E0C0C"/>
    <w:rsid w:val="005E1FD3"/>
    <w:rsid w:val="006004EE"/>
    <w:rsid w:val="00606A8F"/>
    <w:rsid w:val="00612156"/>
    <w:rsid w:val="0061755F"/>
    <w:rsid w:val="00630804"/>
    <w:rsid w:val="00645EE5"/>
    <w:rsid w:val="00652AA6"/>
    <w:rsid w:val="00654416"/>
    <w:rsid w:val="006621AA"/>
    <w:rsid w:val="006622AF"/>
    <w:rsid w:val="006643A9"/>
    <w:rsid w:val="00666AD4"/>
    <w:rsid w:val="00667540"/>
    <w:rsid w:val="00677685"/>
    <w:rsid w:val="00680778"/>
    <w:rsid w:val="0068502A"/>
    <w:rsid w:val="00685384"/>
    <w:rsid w:val="0069078C"/>
    <w:rsid w:val="00691B8C"/>
    <w:rsid w:val="00693FB2"/>
    <w:rsid w:val="006A6BD2"/>
    <w:rsid w:val="006A7F31"/>
    <w:rsid w:val="006C2126"/>
    <w:rsid w:val="006C56D0"/>
    <w:rsid w:val="006D5A25"/>
    <w:rsid w:val="006E68E8"/>
    <w:rsid w:val="006E76F8"/>
    <w:rsid w:val="006F3857"/>
    <w:rsid w:val="006F3D30"/>
    <w:rsid w:val="007036A9"/>
    <w:rsid w:val="007135EB"/>
    <w:rsid w:val="007215BD"/>
    <w:rsid w:val="007279CC"/>
    <w:rsid w:val="00734185"/>
    <w:rsid w:val="007363AE"/>
    <w:rsid w:val="00737BE5"/>
    <w:rsid w:val="007578C1"/>
    <w:rsid w:val="00760157"/>
    <w:rsid w:val="0076324C"/>
    <w:rsid w:val="0076387F"/>
    <w:rsid w:val="0076392E"/>
    <w:rsid w:val="007809C4"/>
    <w:rsid w:val="007854DE"/>
    <w:rsid w:val="00785757"/>
    <w:rsid w:val="00795B3D"/>
    <w:rsid w:val="007A587C"/>
    <w:rsid w:val="007A59E4"/>
    <w:rsid w:val="007B33C0"/>
    <w:rsid w:val="007B5416"/>
    <w:rsid w:val="007C5421"/>
    <w:rsid w:val="007C7E5D"/>
    <w:rsid w:val="007D6598"/>
    <w:rsid w:val="008022DF"/>
    <w:rsid w:val="008236D7"/>
    <w:rsid w:val="00825AFF"/>
    <w:rsid w:val="00825B06"/>
    <w:rsid w:val="00825DEC"/>
    <w:rsid w:val="00826AE0"/>
    <w:rsid w:val="0083322B"/>
    <w:rsid w:val="008410DA"/>
    <w:rsid w:val="00850768"/>
    <w:rsid w:val="00857EBC"/>
    <w:rsid w:val="008648B8"/>
    <w:rsid w:val="00867F60"/>
    <w:rsid w:val="00867F9E"/>
    <w:rsid w:val="00870729"/>
    <w:rsid w:val="00873144"/>
    <w:rsid w:val="00877593"/>
    <w:rsid w:val="00877A1F"/>
    <w:rsid w:val="008827DC"/>
    <w:rsid w:val="00891891"/>
    <w:rsid w:val="008920D5"/>
    <w:rsid w:val="00897CB6"/>
    <w:rsid w:val="008A2D18"/>
    <w:rsid w:val="008A4E57"/>
    <w:rsid w:val="008B2C12"/>
    <w:rsid w:val="008B7AFC"/>
    <w:rsid w:val="008D748F"/>
    <w:rsid w:val="008D7F00"/>
    <w:rsid w:val="008E40DA"/>
    <w:rsid w:val="008E490C"/>
    <w:rsid w:val="008E601D"/>
    <w:rsid w:val="008F4D64"/>
    <w:rsid w:val="008F58C0"/>
    <w:rsid w:val="00900E1B"/>
    <w:rsid w:val="00901719"/>
    <w:rsid w:val="0090185E"/>
    <w:rsid w:val="009042BD"/>
    <w:rsid w:val="00924E53"/>
    <w:rsid w:val="00925F4A"/>
    <w:rsid w:val="00941735"/>
    <w:rsid w:val="00944A18"/>
    <w:rsid w:val="00945423"/>
    <w:rsid w:val="00962021"/>
    <w:rsid w:val="00965838"/>
    <w:rsid w:val="0098333C"/>
    <w:rsid w:val="00986F76"/>
    <w:rsid w:val="009934C9"/>
    <w:rsid w:val="00993CD5"/>
    <w:rsid w:val="009A2961"/>
    <w:rsid w:val="009B0516"/>
    <w:rsid w:val="009B05F7"/>
    <w:rsid w:val="009C7A3F"/>
    <w:rsid w:val="009E0298"/>
    <w:rsid w:val="009E1991"/>
    <w:rsid w:val="00A06AD1"/>
    <w:rsid w:val="00A1022D"/>
    <w:rsid w:val="00A12C6D"/>
    <w:rsid w:val="00A16D95"/>
    <w:rsid w:val="00A2423C"/>
    <w:rsid w:val="00A25623"/>
    <w:rsid w:val="00A421B3"/>
    <w:rsid w:val="00A44F32"/>
    <w:rsid w:val="00A50AEC"/>
    <w:rsid w:val="00A5365E"/>
    <w:rsid w:val="00A54B56"/>
    <w:rsid w:val="00A54E1D"/>
    <w:rsid w:val="00A56F09"/>
    <w:rsid w:val="00A62A33"/>
    <w:rsid w:val="00A7112C"/>
    <w:rsid w:val="00A711DB"/>
    <w:rsid w:val="00A90ED7"/>
    <w:rsid w:val="00A91BD7"/>
    <w:rsid w:val="00A933B0"/>
    <w:rsid w:val="00A94734"/>
    <w:rsid w:val="00A94A62"/>
    <w:rsid w:val="00AA221F"/>
    <w:rsid w:val="00AA2BDA"/>
    <w:rsid w:val="00AA7CD8"/>
    <w:rsid w:val="00AB7351"/>
    <w:rsid w:val="00AC018F"/>
    <w:rsid w:val="00AD0989"/>
    <w:rsid w:val="00AD48DD"/>
    <w:rsid w:val="00AE23E2"/>
    <w:rsid w:val="00AF0573"/>
    <w:rsid w:val="00AF2B5C"/>
    <w:rsid w:val="00AF6152"/>
    <w:rsid w:val="00B125D4"/>
    <w:rsid w:val="00B15FC6"/>
    <w:rsid w:val="00B221F8"/>
    <w:rsid w:val="00B27ABF"/>
    <w:rsid w:val="00B35468"/>
    <w:rsid w:val="00B37645"/>
    <w:rsid w:val="00B44C95"/>
    <w:rsid w:val="00B523D3"/>
    <w:rsid w:val="00B602D2"/>
    <w:rsid w:val="00B604CA"/>
    <w:rsid w:val="00B6110D"/>
    <w:rsid w:val="00B62E5E"/>
    <w:rsid w:val="00B776B9"/>
    <w:rsid w:val="00B81FB7"/>
    <w:rsid w:val="00B82909"/>
    <w:rsid w:val="00B8402B"/>
    <w:rsid w:val="00B87DD2"/>
    <w:rsid w:val="00B9099C"/>
    <w:rsid w:val="00BA73A4"/>
    <w:rsid w:val="00BB76CE"/>
    <w:rsid w:val="00BD2D6D"/>
    <w:rsid w:val="00BD2F70"/>
    <w:rsid w:val="00BE0BB2"/>
    <w:rsid w:val="00C1140B"/>
    <w:rsid w:val="00C12525"/>
    <w:rsid w:val="00C12C82"/>
    <w:rsid w:val="00C229AC"/>
    <w:rsid w:val="00C2562A"/>
    <w:rsid w:val="00C37513"/>
    <w:rsid w:val="00C37E60"/>
    <w:rsid w:val="00C46894"/>
    <w:rsid w:val="00C60FB2"/>
    <w:rsid w:val="00C63AB1"/>
    <w:rsid w:val="00C660C5"/>
    <w:rsid w:val="00C714EE"/>
    <w:rsid w:val="00C759DD"/>
    <w:rsid w:val="00C75A26"/>
    <w:rsid w:val="00C77AD5"/>
    <w:rsid w:val="00C85DBD"/>
    <w:rsid w:val="00C935BD"/>
    <w:rsid w:val="00C95C16"/>
    <w:rsid w:val="00C96CDC"/>
    <w:rsid w:val="00CA3EF4"/>
    <w:rsid w:val="00CC1F18"/>
    <w:rsid w:val="00CD7988"/>
    <w:rsid w:val="00CE1928"/>
    <w:rsid w:val="00CE48FF"/>
    <w:rsid w:val="00CF3FD4"/>
    <w:rsid w:val="00D03B40"/>
    <w:rsid w:val="00D13C43"/>
    <w:rsid w:val="00D214E9"/>
    <w:rsid w:val="00D27CEA"/>
    <w:rsid w:val="00D45EB4"/>
    <w:rsid w:val="00D47216"/>
    <w:rsid w:val="00D47E85"/>
    <w:rsid w:val="00D70F5A"/>
    <w:rsid w:val="00D7379F"/>
    <w:rsid w:val="00D801A3"/>
    <w:rsid w:val="00D90DB4"/>
    <w:rsid w:val="00D92032"/>
    <w:rsid w:val="00DA1D79"/>
    <w:rsid w:val="00DB1F55"/>
    <w:rsid w:val="00DB5911"/>
    <w:rsid w:val="00DC4103"/>
    <w:rsid w:val="00DD0323"/>
    <w:rsid w:val="00DD0BA2"/>
    <w:rsid w:val="00DD6EB8"/>
    <w:rsid w:val="00DE080F"/>
    <w:rsid w:val="00DE2013"/>
    <w:rsid w:val="00DE73B2"/>
    <w:rsid w:val="00DF58BD"/>
    <w:rsid w:val="00E1622B"/>
    <w:rsid w:val="00E206DE"/>
    <w:rsid w:val="00E222AD"/>
    <w:rsid w:val="00E24D5B"/>
    <w:rsid w:val="00E27F20"/>
    <w:rsid w:val="00E42868"/>
    <w:rsid w:val="00E52DB2"/>
    <w:rsid w:val="00E61059"/>
    <w:rsid w:val="00E66163"/>
    <w:rsid w:val="00E66845"/>
    <w:rsid w:val="00E66F5D"/>
    <w:rsid w:val="00E74213"/>
    <w:rsid w:val="00E76B03"/>
    <w:rsid w:val="00E85162"/>
    <w:rsid w:val="00E9392E"/>
    <w:rsid w:val="00EA3445"/>
    <w:rsid w:val="00EB2919"/>
    <w:rsid w:val="00EB3F3A"/>
    <w:rsid w:val="00ED5F07"/>
    <w:rsid w:val="00EE2847"/>
    <w:rsid w:val="00EE489B"/>
    <w:rsid w:val="00F00290"/>
    <w:rsid w:val="00F01665"/>
    <w:rsid w:val="00F17FED"/>
    <w:rsid w:val="00F4211B"/>
    <w:rsid w:val="00F44886"/>
    <w:rsid w:val="00F45A25"/>
    <w:rsid w:val="00F502AC"/>
    <w:rsid w:val="00F65AF5"/>
    <w:rsid w:val="00F665A7"/>
    <w:rsid w:val="00F724A3"/>
    <w:rsid w:val="00F81A3F"/>
    <w:rsid w:val="00F85F13"/>
    <w:rsid w:val="00F9735F"/>
    <w:rsid w:val="00FC5260"/>
    <w:rsid w:val="00FC7748"/>
    <w:rsid w:val="00FD0150"/>
    <w:rsid w:val="00FD1C06"/>
    <w:rsid w:val="00FD2FD3"/>
    <w:rsid w:val="00FE205A"/>
    <w:rsid w:val="00FE3BAD"/>
    <w:rsid w:val="4123667B"/>
    <w:rsid w:val="4D2B7B55"/>
    <w:rsid w:val="4D8A590B"/>
    <w:rsid w:val="53695AF3"/>
    <w:rsid w:val="56659784"/>
    <w:rsid w:val="5D8C14DA"/>
    <w:rsid w:val="77FFE460"/>
    <w:rsid w:val="BFBDD1AC"/>
    <w:rsid w:val="DDFF329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link w:val="20"/>
    <w:qFormat/>
    <w:uiPriority w:val="9"/>
    <w:pPr>
      <w:keepNext/>
      <w:keepLines/>
      <w:spacing w:before="260" w:after="260"/>
      <w:outlineLvl w:val="2"/>
    </w:pPr>
    <w:rPr>
      <w:rFonts w:ascii="楷体" w:hAnsi="楷体" w:eastAsia="楷体"/>
      <w:b/>
      <w:bCs/>
      <w:sz w:val="24"/>
      <w:shd w:val="pct10" w:color="auto" w:fill="FFFFFF"/>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1"/>
    <w:unhideWhenUsed/>
    <w:qFormat/>
    <w:uiPriority w:val="0"/>
    <w:pPr>
      <w:jc w:val="left"/>
    </w:pPr>
  </w:style>
  <w:style w:type="paragraph" w:styleId="4">
    <w:name w:val="Balloon Text"/>
    <w:basedOn w:val="1"/>
    <w:link w:val="15"/>
    <w:semiHidden/>
    <w:unhideWhenUsed/>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styleId="10">
    <w:name w:val="annotation reference"/>
    <w:basedOn w:val="8"/>
    <w:unhideWhenUsed/>
    <w:qFormat/>
    <w:uiPriority w:val="99"/>
    <w:rPr>
      <w:sz w:val="21"/>
      <w:szCs w:val="21"/>
    </w:rPr>
  </w:style>
  <w:style w:type="character" w:customStyle="1" w:styleId="11">
    <w:name w:val="fontstyle01"/>
    <w:basedOn w:val="8"/>
    <w:qFormat/>
    <w:uiPriority w:val="0"/>
    <w:rPr>
      <w:rFonts w:hint="eastAsia" w:ascii="宋体" w:hAnsi="宋体" w:eastAsia="宋体" w:cs="宋体"/>
      <w:color w:val="000000"/>
      <w:sz w:val="24"/>
      <w:szCs w:val="24"/>
    </w:rPr>
  </w:style>
  <w:style w:type="paragraph" w:styleId="12">
    <w:name w:val="List Paragraph"/>
    <w:basedOn w:val="1"/>
    <w:qFormat/>
    <w:uiPriority w:val="34"/>
    <w:pPr>
      <w:ind w:firstLine="420" w:firstLineChars="200"/>
    </w:pPr>
  </w:style>
  <w:style w:type="character" w:customStyle="1" w:styleId="13">
    <w:name w:val="页脚 字符"/>
    <w:basedOn w:val="8"/>
    <w:link w:val="5"/>
    <w:qFormat/>
    <w:uiPriority w:val="99"/>
    <w:rPr>
      <w:rFonts w:ascii="Calibri" w:hAnsi="Calibri"/>
      <w:kern w:val="2"/>
      <w:sz w:val="18"/>
      <w:szCs w:val="24"/>
    </w:rPr>
  </w:style>
  <w:style w:type="character" w:customStyle="1" w:styleId="14">
    <w:name w:val="apple-converted-space"/>
    <w:basedOn w:val="8"/>
    <w:qFormat/>
    <w:uiPriority w:val="0"/>
  </w:style>
  <w:style w:type="character" w:customStyle="1" w:styleId="15">
    <w:name w:val="批注框文本 字符"/>
    <w:basedOn w:val="8"/>
    <w:link w:val="4"/>
    <w:semiHidden/>
    <w:qFormat/>
    <w:uiPriority w:val="99"/>
    <w:rPr>
      <w:rFonts w:ascii="Calibri" w:hAnsi="Calibri"/>
      <w:kern w:val="2"/>
      <w:sz w:val="18"/>
      <w:szCs w:val="18"/>
    </w:rPr>
  </w:style>
  <w:style w:type="paragraph" w:customStyle="1" w:styleId="16">
    <w:name w:val="修订1"/>
    <w:hidden/>
    <w:semiHidden/>
    <w:qFormat/>
    <w:uiPriority w:val="99"/>
    <w:rPr>
      <w:rFonts w:ascii="Calibri" w:hAnsi="Calibri" w:eastAsia="宋体" w:cs="Times New Roman"/>
      <w:kern w:val="2"/>
      <w:sz w:val="21"/>
      <w:szCs w:val="24"/>
      <w:lang w:val="en-US" w:eastAsia="zh-CN" w:bidi="ar-SA"/>
    </w:rPr>
  </w:style>
  <w:style w:type="paragraph" w:customStyle="1" w:styleId="17">
    <w:name w:val="修订2"/>
    <w:hidden/>
    <w:unhideWhenUsed/>
    <w:qFormat/>
    <w:uiPriority w:val="99"/>
    <w:rPr>
      <w:rFonts w:ascii="Calibri" w:hAnsi="Calibri" w:eastAsia="宋体" w:cs="Times New Roman"/>
      <w:kern w:val="2"/>
      <w:sz w:val="21"/>
      <w:szCs w:val="24"/>
      <w:lang w:val="en-US" w:eastAsia="zh-CN" w:bidi="ar-SA"/>
    </w:rPr>
  </w:style>
  <w:style w:type="character" w:customStyle="1" w:styleId="18">
    <w:name w:val="未处理的提及1"/>
    <w:basedOn w:val="8"/>
    <w:semiHidden/>
    <w:unhideWhenUsed/>
    <w:qFormat/>
    <w:uiPriority w:val="99"/>
    <w:rPr>
      <w:color w:val="605E5C"/>
      <w:shd w:val="clear" w:color="auto" w:fill="E1DFDD"/>
    </w:rPr>
  </w:style>
  <w:style w:type="paragraph" w:customStyle="1" w:styleId="19">
    <w:name w:val="Revision"/>
    <w:hidden/>
    <w:unhideWhenUsed/>
    <w:qFormat/>
    <w:uiPriority w:val="99"/>
    <w:rPr>
      <w:rFonts w:ascii="Calibri" w:hAnsi="Calibri" w:eastAsia="宋体" w:cs="Times New Roman"/>
      <w:kern w:val="2"/>
      <w:sz w:val="21"/>
      <w:szCs w:val="24"/>
      <w:lang w:val="en-US" w:eastAsia="zh-CN" w:bidi="ar-SA"/>
    </w:rPr>
  </w:style>
  <w:style w:type="character" w:customStyle="1" w:styleId="20">
    <w:name w:val="标题 3 字符"/>
    <w:basedOn w:val="8"/>
    <w:link w:val="2"/>
    <w:qFormat/>
    <w:uiPriority w:val="9"/>
    <w:rPr>
      <w:rFonts w:ascii="楷体" w:hAnsi="楷体" w:eastAsia="楷体"/>
      <w:b/>
      <w:bCs/>
      <w:kern w:val="2"/>
      <w:sz w:val="24"/>
      <w:szCs w:val="24"/>
    </w:rPr>
  </w:style>
  <w:style w:type="character" w:customStyle="1" w:styleId="21">
    <w:name w:val="批注文字 字符"/>
    <w:basedOn w:val="8"/>
    <w:link w:val="3"/>
    <w:qFormat/>
    <w:uiPriority w:val="0"/>
    <w:rPr>
      <w:rFonts w:ascii="Calibri" w:hAnsi="Calibri"/>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E1880028-F64D-44DC-8D01-31F14BEC0FB5}">
  <ds:schemaRefs/>
</ds:datastoreItem>
</file>

<file path=docProps/app.xml><?xml version="1.0" encoding="utf-8"?>
<Properties xmlns="http://schemas.openxmlformats.org/officeDocument/2006/extended-properties" xmlns:vt="http://schemas.openxmlformats.org/officeDocument/2006/docPropsVTypes">
  <Pages>3</Pages>
  <Words>1807</Words>
  <Characters>1913</Characters>
  <Lines>56</Lines>
  <Paragraphs>45</Paragraphs>
  <TotalTime>0</TotalTime>
  <ScaleCrop>false</ScaleCrop>
  <LinksUpToDate>false</LinksUpToDate>
  <CharactersWithSpaces>1926</CharactersWithSpaces>
  <Application>WPS Office_12.1.0.22525_F1E327BC-269C-435d-A152-05C5408002CA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2025-07-11T14:45:00Z</dcterms:created>
  <dc:creator>曹雅楠-Abbey</dc:creator>
  <cp:lastModifiedBy>周阳帅</cp:lastModifiedBy>
  <cp:lastPrinted>2020-09-03T00:22:00Z</cp:lastPrinted>
  <dcterms:modified xsi:type="dcterms:W3CDTF">2025-09-05T09:50:56Z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2052-12.1.0.22525</vt:lpwstr>
  </property>
  <property fmtid="{D5CDD505-2E9C-101B-9397-08002B2CF9AE}" pid="3" name="KSOTemplateDocerSaveRecord">
    <vt:lpwstr>eyJoZGlkIjoiY2E4ZGQ2YmM5YjVmMWY1ZWVmMGQzNGQwMGQ2MzJiOTUiLCJ1c2VySWQiOiI5MzUwOTYyMTkifQ==</vt:lpwstr>
  </property>
  <property fmtid="{D5CDD505-2E9C-101B-9397-08002B2CF9AE}" pid="4" name="ICV">
    <vt:lpwstr>FDEF88FCF2754BD08D9D229628479A24_12</vt:lpwstr>
  </property>
</Properties>
</file>