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E00F" w14:textId="77777777" w:rsidR="00390B64" w:rsidRDefault="00000000">
      <w:pPr>
        <w:pStyle w:val="1"/>
        <w:ind w:firstLine="482"/>
        <w:rPr>
          <w:rFonts w:ascii="宋体" w:eastAsia="宋体" w:hAnsi="宋体" w:cs="宋体" w:hint="eastAsia"/>
          <w:b/>
          <w:bCs/>
          <w:sz w:val="24"/>
          <w:szCs w:val="24"/>
          <w:lang w:val="en-US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/>
        </w:rPr>
        <w:t>证券代码：603681                               证券简称：永冠新材</w:t>
      </w:r>
    </w:p>
    <w:p w14:paraId="5EE9DE7E" w14:textId="77777777" w:rsidR="00390B64" w:rsidRDefault="00390B64">
      <w:pPr>
        <w:ind w:firstLine="480"/>
        <w:rPr>
          <w:rFonts w:hint="eastAsia"/>
          <w:b/>
          <w:bCs/>
          <w:sz w:val="24"/>
          <w:szCs w:val="24"/>
          <w:lang w:val="en-US"/>
        </w:rPr>
      </w:pPr>
    </w:p>
    <w:p w14:paraId="1EE799D5" w14:textId="77777777" w:rsidR="00390B64" w:rsidRDefault="00000000">
      <w:pPr>
        <w:pStyle w:val="1"/>
        <w:ind w:firstLine="482"/>
        <w:rPr>
          <w:rFonts w:ascii="宋体" w:eastAsia="宋体" w:hAnsi="宋体" w:cs="宋体" w:hint="eastAsia"/>
          <w:b/>
          <w:bCs/>
          <w:sz w:val="24"/>
          <w:szCs w:val="24"/>
          <w:lang w:val="en-US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/>
        </w:rPr>
        <w:t>转债代码：113653                               转债简称：永22转债</w:t>
      </w:r>
    </w:p>
    <w:p w14:paraId="499B44DB" w14:textId="77777777" w:rsidR="00390B64" w:rsidRDefault="00390B64">
      <w:pPr>
        <w:spacing w:line="360" w:lineRule="auto"/>
        <w:ind w:firstLine="480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285DA3C7" w14:textId="77777777" w:rsidR="00390B64" w:rsidRDefault="00000000">
      <w:pPr>
        <w:spacing w:line="360" w:lineRule="auto"/>
        <w:ind w:firstLine="602"/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上海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永冠众诚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新材料科技(集团)股份有限公司</w:t>
      </w:r>
    </w:p>
    <w:p w14:paraId="7B8E6FEA" w14:textId="77777777" w:rsidR="00390B64" w:rsidRDefault="00000000">
      <w:pPr>
        <w:spacing w:line="360" w:lineRule="auto"/>
        <w:ind w:firstLine="602"/>
        <w:jc w:val="center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投资者关系活动记录表</w:t>
      </w:r>
    </w:p>
    <w:p w14:paraId="1CA8C85C" w14:textId="20AAAA5E" w:rsidR="00390B64" w:rsidRDefault="00000000">
      <w:pPr>
        <w:spacing w:line="360" w:lineRule="auto"/>
        <w:ind w:firstLine="643"/>
        <w:jc w:val="center"/>
        <w:rPr>
          <w:rFonts w:ascii="宋体" w:eastAsia="宋体" w:hAnsi="宋体" w:cs="宋体" w:hint="eastAsia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编号：</w:t>
      </w:r>
      <w:r w:rsidR="00671DDA">
        <w:rPr>
          <w:rFonts w:ascii="宋体" w:eastAsia="宋体" w:hAnsi="宋体" w:cs="宋体" w:hint="eastAsia"/>
          <w:sz w:val="24"/>
          <w:szCs w:val="24"/>
        </w:rPr>
        <w:t>20250905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390B64" w14:paraId="09B3E315" w14:textId="77777777">
        <w:trPr>
          <w:trHeight w:val="2801"/>
          <w:jc w:val="center"/>
        </w:trPr>
        <w:tc>
          <w:tcPr>
            <w:tcW w:w="2580" w:type="dxa"/>
          </w:tcPr>
          <w:p w14:paraId="0B2173E6" w14:textId="77777777" w:rsidR="00390B64" w:rsidRDefault="00390B64" w:rsidP="00671DDA">
            <w:pPr>
              <w:pStyle w:val="TableParagraph"/>
              <w:spacing w:before="7"/>
              <w:ind w:firstLine="360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</w:rPr>
            </w:pPr>
          </w:p>
          <w:p w14:paraId="5B94DBB4" w14:textId="77777777" w:rsidR="00390B64" w:rsidRDefault="00000000" w:rsidP="00671DDA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</w:rPr>
              <w:t>投资者关系活动类别</w:t>
            </w:r>
          </w:p>
        </w:tc>
        <w:tc>
          <w:tcPr>
            <w:tcW w:w="5945" w:type="dxa"/>
          </w:tcPr>
          <w:p w14:paraId="3A63F1D1" w14:textId="77777777" w:rsidR="00390B64" w:rsidRDefault="00390B64">
            <w:pPr>
              <w:pStyle w:val="TableParagraph"/>
              <w:spacing w:before="7"/>
              <w:ind w:firstLine="361"/>
              <w:rPr>
                <w:rFonts w:asciiTheme="minorEastAsia" w:eastAsiaTheme="minorEastAsia" w:hAnsiTheme="minorEastAsia" w:cstheme="minorEastAsia" w:hint="eastAsia"/>
                <w:sz w:val="18"/>
              </w:rPr>
            </w:pPr>
          </w:p>
          <w:p w14:paraId="705FA417" w14:textId="77777777" w:rsidR="00390B64" w:rsidRDefault="00000000">
            <w:pPr>
              <w:pStyle w:val="TableParagraph"/>
              <w:tabs>
                <w:tab w:val="left" w:pos="2418"/>
              </w:tabs>
              <w:spacing w:before="1"/>
              <w:ind w:left="107" w:firstLine="422"/>
              <w:rPr>
                <w:rFonts w:asciiTheme="minorEastAsia" w:eastAsiaTheme="minorEastAsia" w:hAnsiTheme="minorEastAsia" w:cstheme="minorEastAsia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Theme="minorEastAsia" w:hAnsi="Segoe UI Symbol" w:cs="Segoe UI Symbol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1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1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1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1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议</w:t>
            </w:r>
          </w:p>
          <w:p w14:paraId="46CF129B" w14:textId="77777777" w:rsidR="00390B64" w:rsidRDefault="00390B64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</w:rPr>
            </w:pPr>
          </w:p>
          <w:p w14:paraId="3D9E0AD0" w14:textId="77777777" w:rsidR="00390B64" w:rsidRDefault="00000000">
            <w:pPr>
              <w:pStyle w:val="TableParagraph"/>
              <w:tabs>
                <w:tab w:val="left" w:pos="2418"/>
              </w:tabs>
              <w:ind w:left="107" w:firstLine="422"/>
              <w:rPr>
                <w:rFonts w:asciiTheme="minorEastAsia" w:eastAsiaTheme="minorEastAsia" w:hAnsiTheme="minorEastAsia" w:cstheme="minorEastAsia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Theme="minorEastAsia" w:hAnsi="Segoe UI Symbol" w:cs="Segoe UI Symbol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1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Theme="minorEastAsia" w:hAnsi="Wingdings 2" w:cstheme="minorEastAsia" w:hint="eastAsia"/>
                    <w:sz w:val="21"/>
                  </w:rPr>
                  <w:t>R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1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1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会</w:t>
            </w:r>
          </w:p>
          <w:p w14:paraId="70A1AF93" w14:textId="77777777" w:rsidR="00390B64" w:rsidRDefault="00390B64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</w:rPr>
            </w:pPr>
          </w:p>
          <w:p w14:paraId="4337EAB9" w14:textId="77777777" w:rsidR="00390B64" w:rsidRDefault="00000000">
            <w:pPr>
              <w:pStyle w:val="TableParagraph"/>
              <w:tabs>
                <w:tab w:val="left" w:pos="2418"/>
              </w:tabs>
              <w:ind w:left="107" w:firstLine="422"/>
              <w:rPr>
                <w:rFonts w:asciiTheme="minorEastAsia" w:eastAsiaTheme="minorEastAsia" w:hAnsiTheme="minorEastAsia" w:cstheme="minorEastAsia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Theme="minorEastAsia" w:hAnsi="Segoe UI Symbol" w:cs="Segoe UI Symbol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1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1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1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活动</w:t>
            </w:r>
          </w:p>
          <w:p w14:paraId="25EEF755" w14:textId="77777777" w:rsidR="00390B64" w:rsidRDefault="00390B64">
            <w:pPr>
              <w:pStyle w:val="TableParagraph"/>
              <w:spacing w:before="8"/>
              <w:rPr>
                <w:rFonts w:asciiTheme="minorEastAsia" w:eastAsiaTheme="minorEastAsia" w:hAnsiTheme="minorEastAsia" w:cstheme="minorEastAsia" w:hint="eastAsia"/>
              </w:rPr>
            </w:pPr>
          </w:p>
          <w:p w14:paraId="451FC7FA" w14:textId="77777777" w:rsidR="00390B64" w:rsidRDefault="00000000">
            <w:pPr>
              <w:pStyle w:val="TableParagraph"/>
              <w:ind w:left="107" w:firstLine="422"/>
              <w:rPr>
                <w:rFonts w:asciiTheme="minorEastAsia" w:eastAsiaTheme="minorEastAsia" w:hAnsiTheme="minorEastAsia" w:cstheme="minorEastAsia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Theme="minorEastAsia" w:hAnsi="Segoe UI Symbol" w:cs="Segoe UI Symbol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现场参观       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1282988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一对一沟通</w:t>
            </w:r>
          </w:p>
          <w:p w14:paraId="26573865" w14:textId="77777777" w:rsidR="00390B64" w:rsidRDefault="00390B64">
            <w:pPr>
              <w:pStyle w:val="TableParagraph"/>
              <w:spacing w:before="11"/>
              <w:rPr>
                <w:rFonts w:asciiTheme="minorEastAsia" w:eastAsiaTheme="minorEastAsia" w:hAnsiTheme="minorEastAsia" w:cstheme="minorEastAsia" w:hint="eastAsia"/>
              </w:rPr>
            </w:pPr>
          </w:p>
          <w:p w14:paraId="33178929" w14:textId="77777777" w:rsidR="00390B64" w:rsidRDefault="00000000">
            <w:pPr>
              <w:pStyle w:val="TableParagraph"/>
              <w:ind w:left="107" w:firstLine="422"/>
              <w:rPr>
                <w:rFonts w:asciiTheme="minorEastAsia" w:eastAsiaTheme="minorEastAsia" w:hAnsiTheme="minorEastAsia" w:cstheme="minorEastAsia" w:hint="eastAsia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Theme="minorEastAsia" w:hAnsi="Segoe UI Symbol" w:cs="Segoe UI Symbol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u w:val="single"/>
              </w:rPr>
              <w:t>说明其他活动内容）</w:t>
            </w:r>
          </w:p>
        </w:tc>
      </w:tr>
      <w:tr w:rsidR="00390B64" w14:paraId="185C565D" w14:textId="77777777">
        <w:trPr>
          <w:trHeight w:val="90"/>
          <w:jc w:val="center"/>
        </w:trPr>
        <w:tc>
          <w:tcPr>
            <w:tcW w:w="2580" w:type="dxa"/>
          </w:tcPr>
          <w:p w14:paraId="70193FF0" w14:textId="77777777" w:rsidR="00390B64" w:rsidRDefault="00000000" w:rsidP="00671DDA">
            <w:pPr>
              <w:pStyle w:val="TableParagraph"/>
              <w:spacing w:line="560" w:lineRule="exact"/>
              <w:ind w:right="96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lang w:val="en-US"/>
              </w:rPr>
              <w:t>形式</w:t>
            </w:r>
          </w:p>
        </w:tc>
        <w:tc>
          <w:tcPr>
            <w:tcW w:w="5945" w:type="dxa"/>
          </w:tcPr>
          <w:p w14:paraId="13F941AD" w14:textId="77777777" w:rsidR="00390B64" w:rsidRDefault="00000000">
            <w:pPr>
              <w:pStyle w:val="TableParagraph"/>
              <w:spacing w:beforeLines="100" w:before="240" w:line="360" w:lineRule="auto"/>
              <w:ind w:left="108" w:firstLine="422"/>
              <w:rPr>
                <w:rFonts w:asciiTheme="minorEastAsia" w:eastAsiaTheme="minorEastAsia" w:hAnsiTheme="minorEastAsia" w:cstheme="minorEastAsia" w:hint="eastAsia"/>
                <w:sz w:val="26"/>
                <w:lang w:val="en-US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201993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Theme="minorEastAsia" w:hAnsi="Segoe UI Symbol" w:cs="Segoe UI Symbol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lang w:val="en-US"/>
              </w:rPr>
              <w:t xml:space="preserve">现场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-190289641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1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lang w:val="en-US"/>
              </w:rPr>
              <w:t xml:space="preserve">网上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1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lang w:val="en-US"/>
              </w:rPr>
              <w:t>电话会议</w:t>
            </w:r>
          </w:p>
        </w:tc>
      </w:tr>
      <w:tr w:rsidR="00390B64" w14:paraId="6F33A3D4" w14:textId="77777777">
        <w:trPr>
          <w:trHeight w:val="1120"/>
          <w:jc w:val="center"/>
        </w:trPr>
        <w:tc>
          <w:tcPr>
            <w:tcW w:w="2580" w:type="dxa"/>
            <w:vAlign w:val="center"/>
          </w:tcPr>
          <w:p w14:paraId="6623C92B" w14:textId="77777777" w:rsidR="00390B64" w:rsidRDefault="00000000" w:rsidP="00671DDA">
            <w:pPr>
              <w:pStyle w:val="TableParagraph"/>
              <w:spacing w:line="560" w:lineRule="exact"/>
              <w:ind w:left="107" w:right="96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25B25187" w14:textId="37783BA3" w:rsidR="00390B64" w:rsidRDefault="00000000">
            <w:pPr>
              <w:pStyle w:val="TableParagraph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参与公司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2025年</w:t>
            </w:r>
            <w:r w:rsidR="00671DD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半年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度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业绩说明会的全体投资者</w:t>
            </w:r>
          </w:p>
        </w:tc>
      </w:tr>
      <w:tr w:rsidR="00390B64" w14:paraId="79B188B0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7B07DEC3" w14:textId="77777777" w:rsidR="00390B64" w:rsidRDefault="00000000" w:rsidP="00671DDA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945" w:type="dxa"/>
            <w:vAlign w:val="center"/>
          </w:tcPr>
          <w:p w14:paraId="24FB6922" w14:textId="1EFB4AAB" w:rsidR="00390B64" w:rsidRDefault="00000000">
            <w:pP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  <w:r w:rsidR="00671DD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 w:rsidR="00671DD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日 </w:t>
            </w:r>
            <w:r w:rsidR="00671DD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 w:rsidR="00671DD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</w:t>
            </w:r>
            <w:r w:rsidR="00671DD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 w:rsidR="00671DD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0</w:t>
            </w:r>
          </w:p>
        </w:tc>
      </w:tr>
      <w:tr w:rsidR="00390B64" w14:paraId="7CB99422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6F140138" w14:textId="77777777" w:rsidR="00390B64" w:rsidRDefault="00000000" w:rsidP="00671DDA">
            <w:pPr>
              <w:pStyle w:val="TableParagraph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5945" w:type="dxa"/>
            <w:vAlign w:val="center"/>
          </w:tcPr>
          <w:p w14:paraId="241D8705" w14:textId="77777777" w:rsidR="00390B64" w:rsidRDefault="00000000">
            <w:pPr>
              <w:shd w:val="clear" w:color="auto" w:fill="FFFFFF"/>
              <w:autoSpaceDE/>
              <w:autoSpaceDN/>
              <w:spacing w:before="100" w:beforeAutospacing="1" w:line="360" w:lineRule="auto"/>
              <w:jc w:val="both"/>
              <w:rPr>
                <w:rFonts w:asciiTheme="minorEastAsia" w:eastAsiaTheme="minorEastAsia" w:hAnsiTheme="minorEastAsia" w:cstheme="minorEastAsia" w:hint="eastAsia"/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  <w:lang w:val="en-US" w:bidi="ar-SA"/>
              </w:rPr>
              <w:t>上海证券报•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4"/>
                <w:szCs w:val="24"/>
                <w:lang w:val="en-US" w:bidi="ar-SA"/>
              </w:rPr>
              <w:t>中国证券网路演中心</w:t>
            </w:r>
            <w:r>
              <w:rPr>
                <w:rFonts w:asciiTheme="minorEastAsia" w:eastAsiaTheme="minorEastAsia" w:hAnsiTheme="minorEastAsia" w:cstheme="minorEastAsia" w:hint="eastAsia"/>
                <w:kern w:val="2"/>
                <w:sz w:val="24"/>
                <w:szCs w:val="24"/>
                <w:lang w:val="en-US" w:bidi="ar-SA"/>
              </w:rPr>
              <w:t>（网址：https://roadshow.cnstock.com/）</w:t>
            </w:r>
          </w:p>
        </w:tc>
      </w:tr>
      <w:tr w:rsidR="00390B64" w14:paraId="752EA641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46FFB8FE" w14:textId="77777777" w:rsidR="00390B64" w:rsidRDefault="00000000" w:rsidP="00671DDA">
            <w:pPr>
              <w:pStyle w:val="TableParagraph"/>
              <w:spacing w:before="1"/>
              <w:ind w:left="107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67543EC6" w14:textId="77777777" w:rsidR="00390B64" w:rsidRDefault="00000000">
            <w:pPr>
              <w:shd w:val="clear" w:color="auto" w:fill="FFFFFF"/>
              <w:spacing w:before="100" w:beforeAutospacing="1"/>
              <w:jc w:val="both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董事长：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新民先生</w:t>
            </w:r>
          </w:p>
          <w:p w14:paraId="52CA41C7" w14:textId="77777777" w:rsidR="00390B64" w:rsidRDefault="00000000">
            <w:pPr>
              <w:shd w:val="clear" w:color="auto" w:fill="FFFFFF"/>
              <w:spacing w:before="100" w:beforeAutospacing="1"/>
              <w:jc w:val="both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董事会秘书：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lang w:val="en-US"/>
              </w:rPr>
              <w:t>卢莎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女士</w:t>
            </w:r>
          </w:p>
          <w:p w14:paraId="1332F648" w14:textId="77777777" w:rsidR="00390B64" w:rsidRDefault="00000000">
            <w:pPr>
              <w:shd w:val="clear" w:color="auto" w:fill="FFFFFF"/>
              <w:spacing w:before="100" w:beforeAutospacing="1"/>
              <w:jc w:val="both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财务总监：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石理善先生</w:t>
            </w:r>
            <w:proofErr w:type="gramEnd"/>
          </w:p>
          <w:p w14:paraId="676C77A2" w14:textId="3E6308E8" w:rsidR="00390B64" w:rsidRPr="00671DDA" w:rsidRDefault="00000000" w:rsidP="00671DDA">
            <w:pPr>
              <w:shd w:val="clear" w:color="auto" w:fill="FFFFFF"/>
              <w:spacing w:before="100" w:beforeAutospacing="1"/>
              <w:jc w:val="both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独立董事：</w:t>
            </w:r>
            <w:r w:rsidR="00671DDA">
              <w:rPr>
                <w:rFonts w:asciiTheme="minorEastAsia" w:eastAsiaTheme="minorEastAsia" w:hAnsiTheme="minorEastAsia" w:cstheme="minorEastAsia" w:hint="eastAsia"/>
                <w:sz w:val="24"/>
                <w:lang w:val="en-US"/>
              </w:rPr>
              <w:t>沈梦晖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先生</w:t>
            </w:r>
          </w:p>
        </w:tc>
      </w:tr>
      <w:tr w:rsidR="00390B64" w14:paraId="331E04DC" w14:textId="77777777">
        <w:trPr>
          <w:trHeight w:val="3302"/>
          <w:jc w:val="center"/>
        </w:trPr>
        <w:tc>
          <w:tcPr>
            <w:tcW w:w="2580" w:type="dxa"/>
          </w:tcPr>
          <w:p w14:paraId="568D8A0B" w14:textId="77777777" w:rsidR="00390B64" w:rsidRDefault="00390B64" w:rsidP="00671DDA">
            <w:pPr>
              <w:pStyle w:val="TableParagraph"/>
              <w:spacing w:line="360" w:lineRule="auto"/>
              <w:ind w:firstLine="400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</w:rPr>
            </w:pPr>
          </w:p>
          <w:p w14:paraId="1FC058EE" w14:textId="77777777" w:rsidR="00390B64" w:rsidRDefault="00390B64" w:rsidP="00671DDA">
            <w:pPr>
              <w:pStyle w:val="TableParagraph"/>
              <w:spacing w:line="360" w:lineRule="auto"/>
              <w:ind w:firstLine="400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0"/>
              </w:rPr>
            </w:pPr>
          </w:p>
          <w:p w14:paraId="79765907" w14:textId="77777777" w:rsidR="00390B64" w:rsidRDefault="00390B64" w:rsidP="00671DDA">
            <w:pPr>
              <w:pStyle w:val="TableParagraph"/>
              <w:spacing w:before="5" w:line="360" w:lineRule="auto"/>
              <w:ind w:firstLine="480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</w:rPr>
            </w:pPr>
          </w:p>
          <w:p w14:paraId="2E34001B" w14:textId="77777777" w:rsidR="00390B64" w:rsidRDefault="00000000" w:rsidP="00671DDA">
            <w:pPr>
              <w:pStyle w:val="TableParagraph"/>
              <w:spacing w:before="1" w:line="360" w:lineRule="auto"/>
              <w:ind w:left="107" w:right="96"/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</w:rPr>
              <w:t>投资者关系活动主要内容介绍</w:t>
            </w:r>
          </w:p>
        </w:tc>
        <w:tc>
          <w:tcPr>
            <w:tcW w:w="5945" w:type="dxa"/>
          </w:tcPr>
          <w:p w14:paraId="67B1C40C" w14:textId="659747F9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</w:pPr>
            <w:r w:rsidRPr="00671DDA">
              <w:rPr>
                <w:rFonts w:ascii="宋体" w:eastAsia="宋体" w:hAnsi="宋体" w:cs="宋体" w:hint="eastAsia"/>
                <w:b/>
                <w:sz w:val="24"/>
                <w:szCs w:val="24"/>
                <w:lang w:val="en-US"/>
              </w:rPr>
              <w:t>问：</w:t>
            </w:r>
            <w:r w:rsidRPr="00671DDA"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  <w:t>公司整体业绩下滑的主要原因是什么？是否具备改善的基础？</w:t>
            </w:r>
          </w:p>
          <w:p w14:paraId="29BB01C3" w14:textId="77777777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</w:pPr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答：尊敬的投资者，您好！报告期内，公司所处行业受到宏观环境和下游需求的影响，胶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粘材料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领域面临产品价差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收窄和市场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竞争加剧的阶段性压力。但公司在汽车、消费电子、智能家居、动力电池等新兴业务板块持续扩张，2025年上半年公司车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规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级胶膜新材料实现收入1.40亿元，同比增长56.33%；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工业级胶粘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新材料实现收入5.86亿元，同比增长1.12%。同时，公司在精益管理、成本控制方面已采取措施，公司将坚持以锻造新质生产力为目标，加快培育持续发展的新引擎。感谢您的关注！</w:t>
            </w:r>
          </w:p>
          <w:p w14:paraId="063F63EB" w14:textId="77777777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</w:pPr>
          </w:p>
          <w:p w14:paraId="48E8EC30" w14:textId="3E6813FC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</w:pPr>
            <w:r w:rsidRPr="00671DDA">
              <w:rPr>
                <w:rFonts w:ascii="宋体" w:eastAsia="宋体" w:hAnsi="宋体" w:cs="宋体" w:hint="eastAsia"/>
                <w:b/>
                <w:sz w:val="24"/>
                <w:szCs w:val="24"/>
                <w:lang w:val="en-US"/>
              </w:rPr>
              <w:t>问：</w:t>
            </w:r>
            <w:r w:rsidRPr="00671DDA"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  <w:t>尊敬的董事长，您好，公司海外市场布局情况如何？是否会继续扩大国际业务？</w:t>
            </w:r>
          </w:p>
          <w:p w14:paraId="2AB9C1A9" w14:textId="77777777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</w:pPr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答：尊敬的投资者，您好！公司坚持“内外销并举、客户多元化、区域分散化”的市场战略，积极拓展海外业务。目前，公司在美国设有仓储销售中心，在越南和马来西亚设有生产基地。其中，越南工厂已多年稳定运营，2024年公司前瞻性布局马来西亚工厂，目前已进入稳步出货阶段，这不仅显著增强了公司在全球的交付和服务能力，也为公司进一步提升国际化竞争力奠定了坚实基础。感谢您的关注！</w:t>
            </w:r>
          </w:p>
          <w:p w14:paraId="33472A2A" w14:textId="77777777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</w:pPr>
          </w:p>
          <w:p w14:paraId="4C2968D2" w14:textId="02F216FC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</w:pPr>
            <w:r w:rsidRPr="00671DDA">
              <w:rPr>
                <w:rFonts w:ascii="宋体" w:eastAsia="宋体" w:hAnsi="宋体" w:cs="宋体" w:hint="eastAsia"/>
                <w:b/>
                <w:sz w:val="24"/>
                <w:szCs w:val="24"/>
                <w:lang w:val="en-US"/>
              </w:rPr>
              <w:t>问：</w:t>
            </w:r>
            <w:r w:rsidRPr="00671DDA"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  <w:t>吕董事长好，请问公司工业胶</w:t>
            </w:r>
            <w:proofErr w:type="gramStart"/>
            <w:r w:rsidRPr="00671DDA"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  <w:t>粘材料</w:t>
            </w:r>
            <w:proofErr w:type="gramEnd"/>
            <w:r w:rsidRPr="00671DDA"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  <w:t>进口替代的进展如何？未来市场空间有多大？</w:t>
            </w:r>
          </w:p>
          <w:p w14:paraId="6BA718C7" w14:textId="77777777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</w:pPr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答：尊敬的投资者，您好！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工业级胶粘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新材料在消费电子、智能家居、家用电器、动力电池等领域有着广阔的进口替代空间。公司部分产品已进入头部客户的供应链验证阶段，预计随着验证推进，将逐步形成规模化供货。未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lastRenderedPageBreak/>
              <w:t>来工业级胶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粘新材料有望成为公司新的增长引擎。感谢您的关注！</w:t>
            </w:r>
          </w:p>
          <w:p w14:paraId="046E77FE" w14:textId="77777777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</w:pPr>
          </w:p>
          <w:p w14:paraId="1CFDFBC1" w14:textId="6F1070D5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</w:pPr>
            <w:r w:rsidRPr="00671DDA">
              <w:rPr>
                <w:rFonts w:ascii="宋体" w:eastAsia="宋体" w:hAnsi="宋体" w:cs="宋体" w:hint="eastAsia"/>
                <w:b/>
                <w:sz w:val="24"/>
                <w:szCs w:val="24"/>
                <w:lang w:val="en-US"/>
              </w:rPr>
              <w:t>问：</w:t>
            </w:r>
            <w:r w:rsidRPr="00671DDA"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  <w:t>你好，请问马来西亚工厂是否已投产， 产能情况如何？</w:t>
            </w:r>
          </w:p>
          <w:p w14:paraId="56AFE298" w14:textId="77777777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</w:pPr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答：尊敬的投资者，您好！公司马来西亚工厂目前已进入逐步出货阶段，整体运行情况良好。马来西亚工厂主要面向美国、墨西哥、土耳其等重点市场，公司坚持“以市场需求为导向”的原则，将根据海外客户的需求情况，逐步匹配和释放产能，不断提升全球交付与服务能力。感谢您的关注！</w:t>
            </w:r>
          </w:p>
          <w:p w14:paraId="3494C600" w14:textId="77777777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</w:pPr>
          </w:p>
          <w:p w14:paraId="4A7CAD3D" w14:textId="0B8419BD" w:rsidR="00671DDA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</w:pPr>
            <w:r w:rsidRPr="00671DDA">
              <w:rPr>
                <w:rFonts w:ascii="宋体" w:eastAsia="宋体" w:hAnsi="宋体" w:cs="宋体" w:hint="eastAsia"/>
                <w:b/>
                <w:sz w:val="24"/>
                <w:szCs w:val="24"/>
                <w:lang w:val="en-US"/>
              </w:rPr>
              <w:t>问：</w:t>
            </w:r>
            <w:r w:rsidRPr="00671DDA"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  <w:t>卢总您好！面对美国加关税等宏观环境不确定性，公司采取了哪些措施来保障稳健经营？</w:t>
            </w:r>
          </w:p>
          <w:p w14:paraId="05922E1A" w14:textId="785979D4" w:rsidR="00390B64" w:rsidRPr="00671DDA" w:rsidRDefault="00671DDA" w:rsidP="00671D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eastAsia="宋体" w:hAnsi="宋体" w:cs="宋体" w:hint="eastAsia"/>
                <w:bCs/>
                <w:sz w:val="24"/>
                <w:szCs w:val="24"/>
                <w:lang w:val="en-US"/>
              </w:rPr>
            </w:pPr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答：尊敬的投资者，您好！面对宏观环境的不确定性，公司重点从以下几方面着手：一是客户多元化，降低单一市场波动风险，公司客户遍布全球110多个国家和地区，本报告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期出口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美国的业务占主营业务收入的比例约3.45%，占比较低；二是供应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链区域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分散化，公司在海外设有越南生产基地、马来西亚生产基地及美国仓储销售中心，能够有效分散潜在贸易风险；三是内外销并举，坚持构建“国内国际双循环”的发展格局；四是转型升级，公司近年来顺应新形势的变化，持续加强科技创新与研发投入，公司车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规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级胶膜新材料、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工业级胶粘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新材料和</w:t>
            </w:r>
            <w:proofErr w:type="gramStart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可</w:t>
            </w:r>
            <w:proofErr w:type="gramEnd"/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t>降解新材料实现新的规模化增长点，业务不断向汽车、工业、可降解等新兴领域延伸，目前公司产品已经广泛运用于新能源汽车制造、汽车美容、电子电器、新能源动力电池等新兴领域，以及零售包装、食品包装、餐饮外卖、快递物流、广告耗材、装修建材、办公文具、医疗卫生等消费场</w:t>
            </w:r>
            <w:r w:rsidRPr="00671DDA">
              <w:rPr>
                <w:rFonts w:ascii="宋体" w:eastAsia="宋体" w:hAnsi="宋体" w:cs="宋体"/>
                <w:bCs/>
                <w:sz w:val="24"/>
                <w:szCs w:val="24"/>
                <w:lang w:val="en-US"/>
              </w:rPr>
              <w:lastRenderedPageBreak/>
              <w:t>景；五是苦练内功、降本增效，公司各业务条线都将降本增效作为重要任务，持续提升运营效率与竞争力。公司通过以上等措施来保障稳健经营，应对美国加关税等宏观环境不确定性。感谢您的关注！</w:t>
            </w:r>
          </w:p>
        </w:tc>
      </w:tr>
      <w:tr w:rsidR="00390B64" w14:paraId="6305DA4A" w14:textId="77777777">
        <w:trPr>
          <w:trHeight w:val="561"/>
          <w:jc w:val="center"/>
        </w:trPr>
        <w:tc>
          <w:tcPr>
            <w:tcW w:w="2580" w:type="dxa"/>
            <w:vAlign w:val="center"/>
          </w:tcPr>
          <w:p w14:paraId="6187A30B" w14:textId="77777777" w:rsidR="00390B64" w:rsidRDefault="00000000">
            <w:pPr>
              <w:pStyle w:val="TableParagraph"/>
              <w:spacing w:before="1"/>
              <w:ind w:left="107" w:firstLine="482"/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945" w:type="dxa"/>
            <w:vAlign w:val="center"/>
          </w:tcPr>
          <w:p w14:paraId="78EEB9E7" w14:textId="77777777" w:rsidR="00390B64" w:rsidRDefault="00000000">
            <w:pPr>
              <w:pStyle w:val="TableParagraph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 w:eastAsia="zh-Hans"/>
              </w:rPr>
              <w:t>无</w:t>
            </w:r>
          </w:p>
        </w:tc>
      </w:tr>
      <w:tr w:rsidR="00390B64" w14:paraId="6071EE95" w14:textId="77777777">
        <w:trPr>
          <w:trHeight w:val="558"/>
          <w:jc w:val="center"/>
        </w:trPr>
        <w:tc>
          <w:tcPr>
            <w:tcW w:w="2580" w:type="dxa"/>
            <w:vAlign w:val="center"/>
          </w:tcPr>
          <w:p w14:paraId="34895D24" w14:textId="77777777" w:rsidR="00390B64" w:rsidRDefault="00000000">
            <w:pPr>
              <w:pStyle w:val="TableParagraph"/>
              <w:spacing w:before="1"/>
              <w:ind w:left="107" w:firstLine="482"/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945" w:type="dxa"/>
            <w:vAlign w:val="center"/>
          </w:tcPr>
          <w:p w14:paraId="46C227D5" w14:textId="177AE57C" w:rsidR="00390B64" w:rsidRDefault="00000000">
            <w:pPr>
              <w:pStyle w:val="TableParagraph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0</w:t>
            </w:r>
            <w:r w:rsidR="00671DD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 w:rsidR="00671DD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</w:tbl>
    <w:p w14:paraId="25848615" w14:textId="77777777" w:rsidR="00390B64" w:rsidRDefault="00390B64">
      <w:pPr>
        <w:ind w:firstLine="562"/>
        <w:rPr>
          <w:rFonts w:ascii="宋体" w:eastAsia="宋体" w:hAnsi="宋体" w:cs="宋体" w:hint="eastAsia"/>
          <w:sz w:val="28"/>
          <w:szCs w:val="36"/>
        </w:rPr>
      </w:pPr>
    </w:p>
    <w:sectPr w:rsidR="00390B64">
      <w:type w:val="continuous"/>
      <w:pgSz w:w="11910" w:h="16840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U0OGViMjE4ZGYxN2E0YzI3NGViOWRmYmZkNWM2OWM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95ADF"/>
    <w:rsid w:val="001E59D1"/>
    <w:rsid w:val="001E5EA4"/>
    <w:rsid w:val="00203527"/>
    <w:rsid w:val="002042A7"/>
    <w:rsid w:val="00205911"/>
    <w:rsid w:val="002146AD"/>
    <w:rsid w:val="00222260"/>
    <w:rsid w:val="00275CB6"/>
    <w:rsid w:val="002800B5"/>
    <w:rsid w:val="00295B29"/>
    <w:rsid w:val="002D4073"/>
    <w:rsid w:val="002E7098"/>
    <w:rsid w:val="00301D32"/>
    <w:rsid w:val="00307E6B"/>
    <w:rsid w:val="00331211"/>
    <w:rsid w:val="00366FAD"/>
    <w:rsid w:val="0037105B"/>
    <w:rsid w:val="00390B64"/>
    <w:rsid w:val="003975BA"/>
    <w:rsid w:val="003A74E6"/>
    <w:rsid w:val="003B643A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4E20"/>
    <w:rsid w:val="00456EA8"/>
    <w:rsid w:val="00457548"/>
    <w:rsid w:val="00470DB2"/>
    <w:rsid w:val="004925E7"/>
    <w:rsid w:val="00495B11"/>
    <w:rsid w:val="004F6FF3"/>
    <w:rsid w:val="00571B49"/>
    <w:rsid w:val="005743AE"/>
    <w:rsid w:val="005A4089"/>
    <w:rsid w:val="005D64CA"/>
    <w:rsid w:val="005E5717"/>
    <w:rsid w:val="005E6DB2"/>
    <w:rsid w:val="0061433E"/>
    <w:rsid w:val="0062751D"/>
    <w:rsid w:val="006354AA"/>
    <w:rsid w:val="00661AFA"/>
    <w:rsid w:val="00671DD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2364A"/>
    <w:rsid w:val="00853463"/>
    <w:rsid w:val="00893F25"/>
    <w:rsid w:val="00895035"/>
    <w:rsid w:val="008B2B14"/>
    <w:rsid w:val="008C23E7"/>
    <w:rsid w:val="008C6AED"/>
    <w:rsid w:val="008C7604"/>
    <w:rsid w:val="008E1B27"/>
    <w:rsid w:val="00903379"/>
    <w:rsid w:val="00906975"/>
    <w:rsid w:val="00917F0B"/>
    <w:rsid w:val="00917F8B"/>
    <w:rsid w:val="009323C2"/>
    <w:rsid w:val="00960964"/>
    <w:rsid w:val="00965E4D"/>
    <w:rsid w:val="009B1D5C"/>
    <w:rsid w:val="009C2E31"/>
    <w:rsid w:val="009E1955"/>
    <w:rsid w:val="00A527AA"/>
    <w:rsid w:val="00A5684D"/>
    <w:rsid w:val="00A71CF2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B641A"/>
    <w:rsid w:val="00BF132F"/>
    <w:rsid w:val="00C13878"/>
    <w:rsid w:val="00CA1705"/>
    <w:rsid w:val="00CE1A54"/>
    <w:rsid w:val="00CF5FB6"/>
    <w:rsid w:val="00D02518"/>
    <w:rsid w:val="00D0458B"/>
    <w:rsid w:val="00D17454"/>
    <w:rsid w:val="00D33FBC"/>
    <w:rsid w:val="00D57EFD"/>
    <w:rsid w:val="00D7535C"/>
    <w:rsid w:val="00D76302"/>
    <w:rsid w:val="00DA5CE2"/>
    <w:rsid w:val="00DE10E8"/>
    <w:rsid w:val="00DE23EB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74D7E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016BFE"/>
    <w:rsid w:val="0B792C38"/>
    <w:rsid w:val="0C28640C"/>
    <w:rsid w:val="0E90599A"/>
    <w:rsid w:val="0ED720CD"/>
    <w:rsid w:val="12070CAE"/>
    <w:rsid w:val="12D70244"/>
    <w:rsid w:val="145F688C"/>
    <w:rsid w:val="15DD2205"/>
    <w:rsid w:val="17A67110"/>
    <w:rsid w:val="1864189B"/>
    <w:rsid w:val="18D73A7D"/>
    <w:rsid w:val="19557370"/>
    <w:rsid w:val="1BD06B6A"/>
    <w:rsid w:val="1D632E00"/>
    <w:rsid w:val="1F782BDE"/>
    <w:rsid w:val="217E28FF"/>
    <w:rsid w:val="23317869"/>
    <w:rsid w:val="25650CAE"/>
    <w:rsid w:val="26406598"/>
    <w:rsid w:val="28080056"/>
    <w:rsid w:val="28734C1A"/>
    <w:rsid w:val="28C72DDD"/>
    <w:rsid w:val="290F208E"/>
    <w:rsid w:val="29EE0E64"/>
    <w:rsid w:val="2A5D6CB9"/>
    <w:rsid w:val="2EF90F16"/>
    <w:rsid w:val="2F125C63"/>
    <w:rsid w:val="2FF64BF5"/>
    <w:rsid w:val="302C3D0A"/>
    <w:rsid w:val="30E91417"/>
    <w:rsid w:val="33DE31BB"/>
    <w:rsid w:val="389C49C0"/>
    <w:rsid w:val="39BC78F4"/>
    <w:rsid w:val="3C6109FB"/>
    <w:rsid w:val="3E5F2AC2"/>
    <w:rsid w:val="3EF1250A"/>
    <w:rsid w:val="40567DB0"/>
    <w:rsid w:val="40FF5CD2"/>
    <w:rsid w:val="42DB40B0"/>
    <w:rsid w:val="43B71B0A"/>
    <w:rsid w:val="44FA0589"/>
    <w:rsid w:val="45A663E3"/>
    <w:rsid w:val="469F09AF"/>
    <w:rsid w:val="4AF22850"/>
    <w:rsid w:val="4B756271"/>
    <w:rsid w:val="4C8E1CA8"/>
    <w:rsid w:val="4D6D36A4"/>
    <w:rsid w:val="4D700A9E"/>
    <w:rsid w:val="510903EF"/>
    <w:rsid w:val="53F137F4"/>
    <w:rsid w:val="543A6906"/>
    <w:rsid w:val="543C5B7E"/>
    <w:rsid w:val="549353B6"/>
    <w:rsid w:val="56850CBB"/>
    <w:rsid w:val="5A666D76"/>
    <w:rsid w:val="5B2253C2"/>
    <w:rsid w:val="5CA95D7B"/>
    <w:rsid w:val="5D373313"/>
    <w:rsid w:val="5DCA39A0"/>
    <w:rsid w:val="603269D2"/>
    <w:rsid w:val="61112470"/>
    <w:rsid w:val="61A52BCA"/>
    <w:rsid w:val="650C1094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E2421A8"/>
    <w:rsid w:val="6F134790"/>
    <w:rsid w:val="72446028"/>
    <w:rsid w:val="72DC512D"/>
    <w:rsid w:val="73076EC0"/>
    <w:rsid w:val="74210CA6"/>
    <w:rsid w:val="788C25F5"/>
    <w:rsid w:val="79F72AA9"/>
    <w:rsid w:val="7A9F2DFC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769B1"/>
  <w15:docId w15:val="{0CC5A594-9C4D-4F29-A168-855BE0B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Body Text"/>
    <w:basedOn w:val="a"/>
    <w:autoRedefine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  <w:lang w:val="en-US" w:bidi="ar-SA"/>
    </w:rPr>
  </w:style>
  <w:style w:type="paragraph" w:styleId="ac">
    <w:name w:val="annotation subject"/>
    <w:basedOn w:val="a3"/>
    <w:next w:val="a3"/>
    <w:link w:val="ad"/>
    <w:autoRedefine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annotation reference"/>
    <w:basedOn w:val="a0"/>
    <w:autoRedefine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autoRedefine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autoRedefine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autoRedefine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YG014</cp:lastModifiedBy>
  <cp:revision>9</cp:revision>
  <dcterms:created xsi:type="dcterms:W3CDTF">2022-11-08T08:18:00Z</dcterms:created>
  <dcterms:modified xsi:type="dcterms:W3CDTF">2025-09-05T10:06:00Z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eyJoZGlkIjoiMGU0OGViMjE4ZGYxN2E0YzI3NGViOWRmYmZkNWM2OWMiLCJ1c2VySWQiOiIxNTk2ODg4NzUwIn0=</vt:lpwstr>
  </property>
</Properties>
</file>